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宋体" w:hAnsi="宋体"/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 xml:space="preserve">688213                      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宋体" w:hAnsi="宋体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宋体" w:hAnsi="宋体" w:eastAsia="宋体"/>
          <w:bCs/>
          <w:iCs/>
          <w:color w:val="000000"/>
          <w:lang w:eastAsia="zh-CN"/>
        </w:rPr>
      </w:pPr>
      <w:r>
        <w:rPr>
          <w:rFonts w:hint="eastAsia" w:ascii="宋体" w:hAnsi="宋体"/>
          <w:bCs/>
          <w:iCs/>
          <w:color w:val="000000"/>
        </w:rPr>
        <w:t>编号：2024-1</w:t>
      </w:r>
      <w:r>
        <w:rPr>
          <w:rFonts w:hint="eastAsia" w:ascii="宋体" w:hAnsi="宋体"/>
          <w:bCs/>
          <w:iCs/>
          <w:color w:val="000000"/>
          <w:lang w:val="en-US" w:eastAsia="zh-CN"/>
        </w:rPr>
        <w:t>2</w:t>
      </w:r>
      <w:r>
        <w:rPr>
          <w:rFonts w:hint="eastAsia" w:ascii="宋体" w:hAnsi="宋体"/>
          <w:bCs/>
          <w:iCs/>
          <w:color w:val="000000"/>
        </w:rPr>
        <w:t>-</w:t>
      </w:r>
      <w:r>
        <w:rPr>
          <w:rFonts w:hint="eastAsia" w:ascii="宋体" w:hAnsi="宋体"/>
          <w:bCs/>
          <w:iCs/>
          <w:color w:val="000000"/>
          <w:lang w:val="en-US" w:eastAsia="zh-CN"/>
        </w:rPr>
        <w:t>5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</w:pPr>
            <w:r>
              <w:t>投资者关系</w:t>
            </w:r>
          </w:p>
          <w:p w14:paraId="48E659B3">
            <w:pPr>
              <w:ind w:firstLine="0" w:firstLineChars="0"/>
              <w:jc w:val="center"/>
            </w:pPr>
            <w:r>
              <w:t>活动类别</w:t>
            </w:r>
          </w:p>
          <w:p w14:paraId="480BF7C0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</w:pPr>
            <w:r>
              <w:rPr/>
              <w:sym w:font="Wingdings 2" w:char="0052"/>
            </w:r>
            <w:r>
              <w:t xml:space="preserve">特定对象调研        </w:t>
            </w:r>
            <w:r>
              <w:rPr/>
              <w:sym w:font="Wingdings 2" w:char="00A3"/>
            </w:r>
            <w:r>
              <w:t>分析师会议</w:t>
            </w:r>
          </w:p>
          <w:p w14:paraId="582312F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媒体采访            </w:t>
            </w:r>
            <w:r>
              <w:rPr/>
              <w:sym w:font="Wingdings 2" w:char="00A3"/>
            </w:r>
            <w:r>
              <w:t>业绩说明会</w:t>
            </w:r>
          </w:p>
          <w:p w14:paraId="549A6990">
            <w:pPr>
              <w:ind w:firstLine="480"/>
              <w:jc w:val="left"/>
            </w:pPr>
            <w:r>
              <w:rPr/>
              <w:sym w:font="Wingdings 2" w:char="00A3"/>
            </w:r>
            <w:r>
              <w:t xml:space="preserve">新闻发布会          </w:t>
            </w:r>
            <w:r>
              <w:rPr/>
              <w:sym w:font="Wingdings 2" w:char="0052"/>
            </w:r>
            <w:r>
              <w:t>路演活动</w:t>
            </w:r>
          </w:p>
          <w:p w14:paraId="42D09420">
            <w:pPr>
              <w:ind w:firstLine="480"/>
              <w:jc w:val="left"/>
            </w:pPr>
            <w:r>
              <w:rPr/>
              <w:sym w:font="Wingdings 2" w:char="00A3"/>
            </w:r>
            <w:r>
              <w:t>现场参观</w:t>
            </w:r>
          </w:p>
          <w:p w14:paraId="56CF6F28">
            <w:pPr>
              <w:ind w:firstLine="480"/>
              <w:jc w:val="left"/>
            </w:pPr>
            <w:r>
              <w:rPr/>
              <w:sym w:font="Wingdings 2" w:char="00A3"/>
            </w:r>
            <w: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</w:pPr>
            <w: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126A">
            <w:pPr>
              <w:ind w:firstLine="48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国海证券、汇添富基金、光大证券、易方达基金、国泰君安证券、华商基金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</w:pPr>
            <w: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</w:pPr>
            <w:r>
              <w:t>2024年</w:t>
            </w:r>
            <w:r>
              <w:rPr>
                <w:rFonts w:hint="eastAsia"/>
                <w:lang w:val="en-US" w:eastAsia="zh-CN"/>
              </w:rPr>
              <w:t>12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t>日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</w:pPr>
            <w: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t>线下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</w:pPr>
            <w: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</w:pPr>
            <w:r>
              <w:rPr>
                <w:rFonts w:hint="eastAsia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</w:pPr>
            <w:r>
              <w:t>投资者关系活动主要内容介绍</w:t>
            </w:r>
          </w:p>
          <w:p w14:paraId="01913D7E">
            <w:pPr>
              <w:ind w:firstLine="480"/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围绕公司近期的发展情况，公司管理层与投资者进行了充分交流，主要涉及以下方面：</w:t>
            </w:r>
          </w:p>
          <w:p w14:paraId="1CC55A2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公司2024年三季度的营收情况：</w:t>
            </w:r>
          </w:p>
          <w:p w14:paraId="5A213C19">
            <w:pPr>
              <w:ind w:firstLine="480"/>
            </w:pPr>
            <w:r>
              <w:rPr>
                <w:rFonts w:hint="eastAsia"/>
              </w:rPr>
              <w:t>答：2024年前三季度，公司实现营业收入420,755.06万元，较上年同期上升137.33%。2024年第三季度，公司实现单季度营业收入175,066.11万元，较上年同期上升150.04%，环比增长8.10%。</w:t>
            </w:r>
          </w:p>
          <w:p w14:paraId="480B7D6C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2、公司2024年三季度营收增长的原因：</w:t>
            </w:r>
          </w:p>
          <w:p w14:paraId="7BD7791D">
            <w:pPr>
              <w:ind w:firstLine="480"/>
            </w:pPr>
            <w:r>
              <w:rPr>
                <w:rFonts w:hint="eastAsia"/>
              </w:rPr>
              <w:t>答：公司在智能手机、汽车电子和智慧安防三大应用领域的出货均取得较高的增速，带动收入规模大幅增长。在智慧安防领域，公司新推出的迭代产品具备更优异的性能和竞争力，产品销量有较大的上升，销售收入增加较为显著；在智能手机领域，公司应用于旗舰手机主摄、广角、长焦和前摄镜头的数颗高阶5000万像素产品出货量大幅上升；同时公司与客户的合作全面加深、产品满足更多的应用需求，市场占有率持续提升，带动公司在智能手机领域的营收显著增长，成功开辟出第二条增长曲线。</w:t>
            </w:r>
          </w:p>
          <w:p w14:paraId="144E486C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请简单介绍下公司净利润显著增长的原因：</w:t>
            </w:r>
          </w:p>
          <w:p w14:paraId="1A3D0684">
            <w:pPr>
              <w:ind w:firstLine="480"/>
            </w:pPr>
            <w:r>
              <w:rPr>
                <w:rFonts w:hint="eastAsia"/>
              </w:rPr>
              <w:t>答：2024年前三季度，归属于上市公司股东的净利润为27,323.78万元，同比增长33,871.24万元。主要系公司销售收入大幅上升，同时公司控制销售费用、管理费用的支出、努力做到节费增效，从而改善了盈利能力，使净利润显著增长。</w:t>
            </w:r>
          </w:p>
          <w:p w14:paraId="72A0587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4、公司的研发投入情况：</w:t>
            </w:r>
          </w:p>
          <w:p w14:paraId="67BC118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2024年前三季度，公司研发投入为32,117.38万元。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2D0D15C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请简单介绍一下公司未来的战略规划：</w:t>
            </w:r>
          </w:p>
          <w:p w14:paraId="6A0A2A9E">
            <w:pPr>
              <w:ind w:firstLine="480"/>
            </w:pPr>
            <w:r>
              <w:rPr>
                <w:rFonts w:hint="eastAsia"/>
              </w:rPr>
              <w:t>答：公司始终坚持“智慧安防+智能手机+汽车电子”三足鼎立的发展方向，充分发挥高效研发竞争优势，进一步优化完善产品矩阵，打造更具韧性的供应链体系，成功开辟出智能手机领域第二增长曲线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</w:pPr>
            <w: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</w:pPr>
            <w:r>
              <w:t>无</w:t>
            </w:r>
          </w:p>
        </w:tc>
      </w:tr>
    </w:tbl>
    <w:p w14:paraId="6885F088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D06DE"/>
    <w:rsid w:val="14706BA3"/>
    <w:rsid w:val="1527455E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E72C92"/>
    <w:rsid w:val="19165065"/>
    <w:rsid w:val="19481100"/>
    <w:rsid w:val="19A60BA5"/>
    <w:rsid w:val="19B5395B"/>
    <w:rsid w:val="19C06599"/>
    <w:rsid w:val="19EE73F5"/>
    <w:rsid w:val="1A6E681F"/>
    <w:rsid w:val="1AB119E7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6D7A74"/>
    <w:rsid w:val="28754585"/>
    <w:rsid w:val="28CA1B43"/>
    <w:rsid w:val="28D81C9F"/>
    <w:rsid w:val="28DE3326"/>
    <w:rsid w:val="291B0D03"/>
    <w:rsid w:val="29287CE8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8D2504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3B0E06"/>
    <w:rsid w:val="3BB02D7C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E0F5BD9"/>
    <w:rsid w:val="6E533D98"/>
    <w:rsid w:val="6E5F461D"/>
    <w:rsid w:val="6E732015"/>
    <w:rsid w:val="6E7A184A"/>
    <w:rsid w:val="6EF634B7"/>
    <w:rsid w:val="6F0F7267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6D4602"/>
    <w:rsid w:val="74811FAE"/>
    <w:rsid w:val="7497789D"/>
    <w:rsid w:val="74AF0266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1116</Words>
  <Characters>1216</Characters>
  <Lines>383</Lines>
  <Paragraphs>125</Paragraphs>
  <TotalTime>206</TotalTime>
  <ScaleCrop>false</ScaleCrop>
  <LinksUpToDate>false</LinksUpToDate>
  <CharactersWithSpaces>1277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2024-12-30T07:00:42Z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