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243D6">
      <w:pPr>
        <w:jc w:val="center"/>
        <w:rPr>
          <w:b/>
          <w:bCs/>
          <w:sz w:val="28"/>
          <w:szCs w:val="28"/>
        </w:rPr>
      </w:pPr>
      <w:bookmarkStart w:id="0" w:name="_GoBack"/>
      <w:bookmarkEnd w:id="0"/>
      <w:r>
        <w:rPr>
          <w:rFonts w:hint="eastAsia"/>
          <w:b/>
          <w:bCs/>
          <w:sz w:val="28"/>
          <w:szCs w:val="28"/>
        </w:rPr>
        <w:t>江苏先锋精密科技股份有限公司</w:t>
      </w:r>
    </w:p>
    <w:p w14:paraId="2B3806DD">
      <w:pPr>
        <w:jc w:val="center"/>
        <w:rPr>
          <w:b/>
          <w:bCs/>
          <w:sz w:val="28"/>
          <w:szCs w:val="28"/>
        </w:rPr>
      </w:pPr>
      <w:r>
        <w:rPr>
          <w:rFonts w:hint="eastAsia"/>
          <w:b/>
          <w:bCs/>
          <w:sz w:val="28"/>
          <w:szCs w:val="28"/>
        </w:rPr>
        <w:t>投资者关系活动记录表</w:t>
      </w:r>
    </w:p>
    <w:p w14:paraId="007D86F8">
      <w:pPr>
        <w:spacing w:line="360" w:lineRule="auto"/>
        <w:rPr>
          <w:b/>
          <w:bCs/>
          <w:szCs w:val="24"/>
        </w:rPr>
      </w:pPr>
    </w:p>
    <w:p w14:paraId="0B3835CE">
      <w:pPr>
        <w:spacing w:line="360" w:lineRule="auto"/>
        <w:rPr>
          <w:b/>
          <w:bCs/>
          <w:color w:val="000000"/>
        </w:rPr>
      </w:pPr>
      <w:r>
        <w:rPr>
          <w:rFonts w:hint="eastAsia"/>
          <w:b/>
          <w:bCs/>
          <w:szCs w:val="24"/>
        </w:rPr>
        <w:t>证券简称：</w:t>
      </w:r>
      <w:r>
        <w:rPr>
          <w:rFonts w:hint="eastAsia"/>
          <w:color w:val="000000"/>
        </w:rPr>
        <w:t>先锋精科</w:t>
      </w:r>
      <w:r>
        <w:rPr>
          <w:rFonts w:hint="eastAsia"/>
          <w:b/>
          <w:bCs/>
          <w:szCs w:val="24"/>
        </w:rPr>
        <w:t xml:space="preserve"> </w:t>
      </w:r>
      <w:r>
        <w:rPr>
          <w:b/>
          <w:bCs/>
          <w:szCs w:val="24"/>
        </w:rPr>
        <w:t xml:space="preserve">   </w:t>
      </w:r>
      <w:r>
        <w:rPr>
          <w:rFonts w:hint="eastAsia"/>
          <w:b/>
          <w:bCs/>
          <w:szCs w:val="24"/>
        </w:rPr>
        <w:t xml:space="preserve">                              证券代码：</w:t>
      </w:r>
      <w:r>
        <w:rPr>
          <w:rFonts w:hint="eastAsia"/>
          <w:color w:val="000000"/>
        </w:rPr>
        <w:t>688605</w:t>
      </w:r>
      <w:r>
        <w:rPr>
          <w:b/>
          <w:bCs/>
          <w:szCs w:val="24"/>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3504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67827D5D">
            <w:pPr>
              <w:jc w:val="center"/>
              <w:rPr>
                <w:b/>
                <w:bCs/>
                <w:szCs w:val="24"/>
              </w:rPr>
            </w:pPr>
            <w:r>
              <w:rPr>
                <w:rFonts w:hint="eastAsia"/>
                <w:b/>
                <w:bCs/>
                <w:szCs w:val="24"/>
              </w:rPr>
              <w:t>投资者关系活动</w:t>
            </w:r>
          </w:p>
          <w:p w14:paraId="5D397BD5">
            <w:pPr>
              <w:jc w:val="center"/>
              <w:rPr>
                <w:b/>
                <w:bCs/>
                <w:szCs w:val="24"/>
              </w:rPr>
            </w:pPr>
            <w:r>
              <w:rPr>
                <w:rFonts w:hint="eastAsia"/>
                <w:b/>
                <w:bCs/>
                <w:szCs w:val="24"/>
              </w:rPr>
              <w:t>类别</w:t>
            </w:r>
          </w:p>
        </w:tc>
        <w:tc>
          <w:tcPr>
            <w:tcW w:w="5891" w:type="dxa"/>
            <w:vAlign w:val="center"/>
          </w:tcPr>
          <w:p w14:paraId="53487E2E">
            <w:pPr>
              <w:spacing w:line="360" w:lineRule="auto"/>
              <w:rPr>
                <w:rFonts w:hint="eastAsia"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2777A2A6">
            <w:pPr>
              <w:spacing w:line="360" w:lineRule="auto"/>
              <w:rPr>
                <w:rFonts w:hint="eastAsia"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14:paraId="768F5826">
            <w:pPr>
              <w:spacing w:line="360" w:lineRule="auto"/>
              <w:rPr>
                <w:rFonts w:hint="eastAsia"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6E273024">
            <w:pPr>
              <w:spacing w:line="360" w:lineRule="auto"/>
              <w:rPr>
                <w:szCs w:val="24"/>
              </w:rPr>
            </w:pPr>
            <w:r>
              <w:rPr>
                <w:rFonts w:hint="eastAsia" w:ascii="宋体" w:hAnsi="宋体"/>
                <w:szCs w:val="24"/>
              </w:rPr>
              <w:t>□现场参观□其他（</w:t>
            </w:r>
            <w:r>
              <w:rPr>
                <w:rFonts w:hint="eastAsia" w:ascii="宋体" w:hAnsi="宋体"/>
                <w:szCs w:val="24"/>
                <w:u w:val="thick"/>
              </w:rPr>
              <w:t>请文字说明其他活动内容</w:t>
            </w:r>
            <w:r>
              <w:rPr>
                <w:rFonts w:hint="eastAsia" w:ascii="宋体" w:hAnsi="宋体"/>
                <w:szCs w:val="24"/>
              </w:rPr>
              <w:t>）</w:t>
            </w:r>
          </w:p>
        </w:tc>
      </w:tr>
      <w:tr w14:paraId="1E46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405" w:type="dxa"/>
            <w:vAlign w:val="center"/>
          </w:tcPr>
          <w:p w14:paraId="0E9941BD">
            <w:pPr>
              <w:jc w:val="center"/>
              <w:rPr>
                <w:b/>
                <w:bCs/>
                <w:szCs w:val="24"/>
              </w:rPr>
            </w:pPr>
            <w:r>
              <w:rPr>
                <w:rFonts w:hint="eastAsia"/>
                <w:b/>
                <w:bCs/>
                <w:szCs w:val="24"/>
              </w:rPr>
              <w:t>参与单位名称</w:t>
            </w:r>
          </w:p>
        </w:tc>
        <w:tc>
          <w:tcPr>
            <w:tcW w:w="5891" w:type="dxa"/>
            <w:vAlign w:val="center"/>
          </w:tcPr>
          <w:p w14:paraId="66308224">
            <w:pPr>
              <w:spacing w:line="360" w:lineRule="auto"/>
              <w:rPr>
                <w:color w:val="000000"/>
              </w:rPr>
            </w:pPr>
            <w:r>
              <w:rPr>
                <w:rFonts w:hint="eastAsia"/>
                <w:color w:val="000000"/>
              </w:rPr>
              <w:t>富国基金</w:t>
            </w:r>
          </w:p>
          <w:p w14:paraId="3340FBC4">
            <w:pPr>
              <w:spacing w:line="360" w:lineRule="auto"/>
              <w:rPr>
                <w:color w:val="000000"/>
              </w:rPr>
            </w:pPr>
            <w:r>
              <w:rPr>
                <w:rFonts w:hint="eastAsia"/>
                <w:color w:val="000000"/>
              </w:rPr>
              <w:t>华泰证券</w:t>
            </w:r>
          </w:p>
          <w:p w14:paraId="6FBAB225">
            <w:pPr>
              <w:spacing w:line="360" w:lineRule="auto"/>
              <w:rPr>
                <w:color w:val="000000"/>
              </w:rPr>
            </w:pPr>
            <w:r>
              <w:rPr>
                <w:color w:val="000000"/>
              </w:rPr>
              <w:t>诺安基金</w:t>
            </w:r>
          </w:p>
          <w:p w14:paraId="5BA1B4DC">
            <w:pPr>
              <w:spacing w:line="360" w:lineRule="auto"/>
            </w:pPr>
            <w:r>
              <w:rPr>
                <w:rFonts w:hint="eastAsia"/>
              </w:rPr>
              <w:t>汇丰晋信基金</w:t>
            </w:r>
          </w:p>
          <w:p w14:paraId="12E794F3">
            <w:pPr>
              <w:spacing w:line="360" w:lineRule="auto"/>
            </w:pPr>
            <w:r>
              <w:rPr>
                <w:rFonts w:hint="eastAsia"/>
              </w:rPr>
              <w:t>宁泉资产</w:t>
            </w:r>
          </w:p>
          <w:p w14:paraId="32ED0836">
            <w:pPr>
              <w:spacing w:line="360" w:lineRule="auto"/>
              <w:rPr>
                <w:rFonts w:hint="eastAsia"/>
              </w:rPr>
            </w:pPr>
            <w:r>
              <w:rPr>
                <w:rFonts w:hint="eastAsia"/>
              </w:rPr>
              <w:t>Greencourt</w:t>
            </w:r>
          </w:p>
          <w:p w14:paraId="6B5DBDDF">
            <w:pPr>
              <w:spacing w:line="360" w:lineRule="auto"/>
            </w:pPr>
            <w:r>
              <w:rPr>
                <w:rFonts w:hint="eastAsia"/>
              </w:rPr>
              <w:t>中银国际证券</w:t>
            </w:r>
          </w:p>
          <w:p w14:paraId="5443638C">
            <w:pPr>
              <w:spacing w:line="360" w:lineRule="auto"/>
            </w:pPr>
            <w:r>
              <w:rPr>
                <w:rFonts w:hint="eastAsia"/>
              </w:rPr>
              <w:t>国海证券</w:t>
            </w:r>
          </w:p>
          <w:p w14:paraId="60D7B846">
            <w:pPr>
              <w:spacing w:line="360" w:lineRule="auto"/>
            </w:pPr>
            <w:r>
              <w:rPr>
                <w:rFonts w:hint="eastAsia"/>
              </w:rPr>
              <w:t>山西证券</w:t>
            </w:r>
          </w:p>
          <w:p w14:paraId="3222DE39">
            <w:pPr>
              <w:spacing w:line="360" w:lineRule="auto"/>
            </w:pPr>
            <w:r>
              <w:rPr>
                <w:rFonts w:hint="eastAsia"/>
              </w:rPr>
              <w:t>中邮证券</w:t>
            </w:r>
          </w:p>
          <w:p w14:paraId="0F573E51">
            <w:pPr>
              <w:spacing w:line="360" w:lineRule="auto"/>
            </w:pPr>
            <w:r>
              <w:rPr>
                <w:rFonts w:hint="eastAsia"/>
              </w:rPr>
              <w:t>华西证券</w:t>
            </w:r>
          </w:p>
          <w:p w14:paraId="27706256">
            <w:pPr>
              <w:spacing w:line="360" w:lineRule="auto"/>
            </w:pPr>
            <w:r>
              <w:rPr>
                <w:rFonts w:hint="eastAsia"/>
              </w:rPr>
              <w:t>民生证券</w:t>
            </w:r>
          </w:p>
          <w:p w14:paraId="31E88F1D">
            <w:pPr>
              <w:spacing w:line="360" w:lineRule="auto"/>
            </w:pPr>
            <w:r>
              <w:rPr>
                <w:rFonts w:hint="eastAsia"/>
              </w:rPr>
              <w:t>中金公司</w:t>
            </w:r>
          </w:p>
        </w:tc>
      </w:tr>
      <w:tr w14:paraId="6CD2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6DAAAF2">
            <w:pPr>
              <w:jc w:val="center"/>
              <w:rPr>
                <w:b/>
                <w:bCs/>
                <w:szCs w:val="24"/>
              </w:rPr>
            </w:pPr>
            <w:r>
              <w:rPr>
                <w:rFonts w:hint="eastAsia"/>
                <w:b/>
                <w:bCs/>
                <w:szCs w:val="24"/>
              </w:rPr>
              <w:t>时间</w:t>
            </w:r>
          </w:p>
        </w:tc>
        <w:tc>
          <w:tcPr>
            <w:tcW w:w="5891" w:type="dxa"/>
            <w:vAlign w:val="center"/>
          </w:tcPr>
          <w:p w14:paraId="6D32EB88">
            <w:pPr>
              <w:spacing w:line="360" w:lineRule="auto"/>
              <w:rPr>
                <w:szCs w:val="24"/>
              </w:rPr>
            </w:pPr>
            <w:r>
              <w:rPr>
                <w:rFonts w:hint="eastAsia"/>
                <w:color w:val="000000"/>
              </w:rPr>
              <w:t>2024年12月</w:t>
            </w:r>
          </w:p>
        </w:tc>
      </w:tr>
      <w:tr w14:paraId="199F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405" w:type="dxa"/>
            <w:vAlign w:val="center"/>
          </w:tcPr>
          <w:p w14:paraId="77A7784A">
            <w:pPr>
              <w:jc w:val="center"/>
              <w:rPr>
                <w:b/>
                <w:bCs/>
                <w:szCs w:val="24"/>
              </w:rPr>
            </w:pPr>
            <w:r>
              <w:rPr>
                <w:rFonts w:hint="eastAsia"/>
                <w:b/>
                <w:bCs/>
                <w:szCs w:val="24"/>
              </w:rPr>
              <w:t>地点</w:t>
            </w:r>
          </w:p>
        </w:tc>
        <w:tc>
          <w:tcPr>
            <w:tcW w:w="5891" w:type="dxa"/>
            <w:vAlign w:val="center"/>
          </w:tcPr>
          <w:p w14:paraId="5C621467">
            <w:pPr>
              <w:spacing w:line="360" w:lineRule="auto"/>
              <w:rPr>
                <w:szCs w:val="24"/>
              </w:rPr>
            </w:pPr>
            <w:r>
              <w:rPr>
                <w:rFonts w:hint="eastAsia"/>
                <w:color w:val="000000"/>
              </w:rPr>
              <w:t>先锋精科</w:t>
            </w:r>
          </w:p>
        </w:tc>
      </w:tr>
      <w:tr w14:paraId="0001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9B8CC29">
            <w:pPr>
              <w:jc w:val="center"/>
              <w:rPr>
                <w:b/>
                <w:bCs/>
                <w:szCs w:val="24"/>
              </w:rPr>
            </w:pPr>
            <w:r>
              <w:rPr>
                <w:rFonts w:hint="eastAsia"/>
                <w:b/>
                <w:bCs/>
                <w:szCs w:val="24"/>
              </w:rPr>
              <w:t>上市公司接待人员</w:t>
            </w:r>
          </w:p>
          <w:p w14:paraId="38B8A090">
            <w:pPr>
              <w:jc w:val="center"/>
              <w:rPr>
                <w:b/>
                <w:bCs/>
                <w:szCs w:val="24"/>
              </w:rPr>
            </w:pPr>
            <w:r>
              <w:rPr>
                <w:rFonts w:hint="eastAsia"/>
                <w:b/>
                <w:bCs/>
                <w:szCs w:val="24"/>
              </w:rPr>
              <w:t>姓名</w:t>
            </w:r>
          </w:p>
        </w:tc>
        <w:tc>
          <w:tcPr>
            <w:tcW w:w="5891" w:type="dxa"/>
            <w:vAlign w:val="center"/>
          </w:tcPr>
          <w:p w14:paraId="47E9332F">
            <w:pPr>
              <w:spacing w:line="360" w:lineRule="auto"/>
              <w:rPr>
                <w:szCs w:val="24"/>
              </w:rPr>
            </w:pPr>
            <w:r>
              <w:rPr>
                <w:szCs w:val="24"/>
              </w:rPr>
              <w:t>董事</w:t>
            </w:r>
            <w:r>
              <w:rPr>
                <w:rFonts w:hint="eastAsia"/>
                <w:szCs w:val="24"/>
              </w:rPr>
              <w:t>，</w:t>
            </w:r>
            <w:r>
              <w:rPr>
                <w:szCs w:val="24"/>
              </w:rPr>
              <w:t>副总经理</w:t>
            </w:r>
            <w:r>
              <w:rPr>
                <w:rFonts w:hint="eastAsia"/>
                <w:szCs w:val="24"/>
              </w:rPr>
              <w:t>，</w:t>
            </w:r>
            <w:r>
              <w:rPr>
                <w:szCs w:val="24"/>
              </w:rPr>
              <w:t>首席技术官</w:t>
            </w:r>
            <w:r>
              <w:rPr>
                <w:rFonts w:hint="eastAsia"/>
                <w:szCs w:val="24"/>
              </w:rPr>
              <w:t>：XU ZIMING</w:t>
            </w:r>
          </w:p>
          <w:p w14:paraId="52767251">
            <w:pPr>
              <w:spacing w:line="360" w:lineRule="auto"/>
              <w:rPr>
                <w:szCs w:val="24"/>
              </w:rPr>
            </w:pPr>
            <w:r>
              <w:rPr>
                <w:rFonts w:hint="eastAsia"/>
                <w:szCs w:val="24"/>
              </w:rPr>
              <w:t>董事，董秘：XIE MEI</w:t>
            </w:r>
          </w:p>
          <w:p w14:paraId="2C1E53F4">
            <w:pPr>
              <w:spacing w:line="360" w:lineRule="auto"/>
              <w:rPr>
                <w:szCs w:val="24"/>
              </w:rPr>
            </w:pPr>
            <w:r>
              <w:rPr>
                <w:szCs w:val="24"/>
              </w:rPr>
              <w:t>首席财务官</w:t>
            </w:r>
            <w:r>
              <w:rPr>
                <w:rFonts w:hint="eastAsia"/>
                <w:szCs w:val="24"/>
              </w:rPr>
              <w:t>：杨丽华</w:t>
            </w:r>
          </w:p>
          <w:p w14:paraId="046D6C2E">
            <w:pPr>
              <w:spacing w:line="360" w:lineRule="auto"/>
              <w:rPr>
                <w:szCs w:val="24"/>
              </w:rPr>
            </w:pPr>
            <w:r>
              <w:rPr>
                <w:rFonts w:hint="eastAsia"/>
                <w:szCs w:val="24"/>
              </w:rPr>
              <w:t>证券事务代表：申小亮</w:t>
            </w:r>
          </w:p>
        </w:tc>
      </w:tr>
      <w:tr w14:paraId="39FC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2405" w:type="dxa"/>
            <w:vAlign w:val="center"/>
          </w:tcPr>
          <w:p w14:paraId="6A7B4D33">
            <w:pPr>
              <w:jc w:val="center"/>
              <w:rPr>
                <w:b/>
                <w:bCs/>
                <w:szCs w:val="24"/>
              </w:rPr>
            </w:pPr>
            <w:r>
              <w:rPr>
                <w:rFonts w:hint="eastAsia"/>
                <w:b/>
                <w:bCs/>
                <w:szCs w:val="24"/>
              </w:rPr>
              <w:t>投资者关系活动主要内容介绍</w:t>
            </w:r>
          </w:p>
        </w:tc>
        <w:tc>
          <w:tcPr>
            <w:tcW w:w="5891" w:type="dxa"/>
            <w:vAlign w:val="center"/>
          </w:tcPr>
          <w:p w14:paraId="6FB789FC">
            <w:pPr>
              <w:widowControl/>
              <w:jc w:val="left"/>
              <w:rPr>
                <w:szCs w:val="24"/>
              </w:rPr>
            </w:pPr>
          </w:p>
          <w:p w14:paraId="48197E5C">
            <w:pPr>
              <w:widowControl/>
              <w:jc w:val="left"/>
              <w:rPr>
                <w:szCs w:val="24"/>
              </w:rPr>
            </w:pPr>
            <w:r>
              <w:rPr>
                <w:rFonts w:hint="eastAsia"/>
                <w:szCs w:val="24"/>
              </w:rPr>
              <w:t>投资者提出的问题及公司回复情况：</w:t>
            </w:r>
          </w:p>
          <w:p w14:paraId="5B6979E8">
            <w:pPr>
              <w:widowControl/>
              <w:jc w:val="left"/>
              <w:rPr>
                <w:szCs w:val="24"/>
              </w:rPr>
            </w:pPr>
          </w:p>
          <w:p w14:paraId="4DAA100F">
            <w:pPr>
              <w:widowControl/>
              <w:jc w:val="left"/>
              <w:rPr>
                <w:szCs w:val="24"/>
              </w:rPr>
            </w:pPr>
            <w:r>
              <w:rPr>
                <w:rFonts w:hint="eastAsia"/>
                <w:szCs w:val="24"/>
              </w:rPr>
              <w:t>1.公司的主营业务？</w:t>
            </w:r>
          </w:p>
          <w:p w14:paraId="5DD50A85">
            <w:pPr>
              <w:widowControl/>
              <w:jc w:val="left"/>
              <w:rPr>
                <w:szCs w:val="24"/>
              </w:rPr>
            </w:pPr>
            <w:r>
              <w:rPr>
                <w:rFonts w:hint="eastAsia"/>
                <w:szCs w:val="24"/>
              </w:rPr>
              <w:t>答：公司是国内半导体刻蚀和薄膜沉积设备细分领域关键零部件的精密制造专家，尤其在行业公认的技术难度仅次于光刻设备的刻蚀设备领域，公司是国内少数已量产供应先进制程国产刻蚀设备关键零部件的供应商，直接与国际厂商竞争。在聚焦半导体领域的同时，公司充分发挥精密零部件制造的扎实技术基础及创新能力优势，积极在光伏、医疗等其他领域探索和开发新产品。</w:t>
            </w:r>
          </w:p>
          <w:p w14:paraId="151C6144">
            <w:pPr>
              <w:widowControl/>
              <w:jc w:val="left"/>
              <w:rPr>
                <w:szCs w:val="24"/>
              </w:rPr>
            </w:pPr>
          </w:p>
          <w:p w14:paraId="41529F34">
            <w:pPr>
              <w:widowControl/>
              <w:jc w:val="left"/>
              <w:rPr>
                <w:szCs w:val="24"/>
              </w:rPr>
            </w:pPr>
            <w:r>
              <w:rPr>
                <w:rFonts w:hint="eastAsia"/>
                <w:szCs w:val="24"/>
              </w:rPr>
              <w:t>2.公司的主要产品？</w:t>
            </w:r>
          </w:p>
          <w:p w14:paraId="59DFD419">
            <w:pPr>
              <w:widowControl/>
              <w:jc w:val="left"/>
              <w:rPr>
                <w:szCs w:val="24"/>
              </w:rPr>
            </w:pPr>
            <w:r>
              <w:rPr>
                <w:rFonts w:hint="eastAsia"/>
                <w:szCs w:val="24"/>
              </w:rPr>
              <w:t>答：</w:t>
            </w:r>
            <w:r>
              <w:rPr>
                <w:szCs w:val="24"/>
              </w:rPr>
              <w:t>公司的产品为应用于半导体设备领域及其他领域的精密零部件</w:t>
            </w:r>
            <w:r>
              <w:rPr>
                <w:rFonts w:hint="eastAsia"/>
                <w:szCs w:val="24"/>
              </w:rPr>
              <w:t>。</w:t>
            </w:r>
          </w:p>
          <w:p w14:paraId="7D94CC7A">
            <w:pPr>
              <w:widowControl/>
              <w:jc w:val="left"/>
              <w:rPr>
                <w:szCs w:val="24"/>
              </w:rPr>
            </w:pPr>
            <w:r>
              <w:rPr>
                <w:szCs w:val="24"/>
              </w:rPr>
              <w:t>在半导体设备领域，公司产品主要分为关键工艺部件、工艺部件和结构部件。其中，关键工艺部件包括内衬、加热器、匀气盘及腔体，系晶圆反应工作区的关键部件，构成腐蚀隔离、可控温、反应气体特定分布、真空环境等晶圆制造工艺的必备条件，其产品质量直接影响工艺良率</w:t>
            </w:r>
            <w:r>
              <w:rPr>
                <w:rFonts w:hint="eastAsia"/>
                <w:szCs w:val="24"/>
              </w:rPr>
              <w:t>。</w:t>
            </w:r>
            <w:r>
              <w:rPr>
                <w:szCs w:val="24"/>
              </w:rPr>
              <w:t>工艺部件指与内衬、加热器、匀气盘及腔体共同构成反应工作区的零部件，通常起到密封、导流、运动等功能，其产品质量间接影响工艺良率</w:t>
            </w:r>
            <w:r>
              <w:rPr>
                <w:rFonts w:hint="eastAsia"/>
                <w:szCs w:val="24"/>
              </w:rPr>
              <w:t>。</w:t>
            </w:r>
            <w:r>
              <w:rPr>
                <w:szCs w:val="24"/>
              </w:rPr>
              <w:t>结构部件指位于反应工作区外、通常起到连接、支撑、传输等功能，种类繁多，不同产品差异较大。</w:t>
            </w:r>
          </w:p>
          <w:p w14:paraId="70985A89">
            <w:pPr>
              <w:widowControl/>
              <w:jc w:val="left"/>
              <w:rPr>
                <w:szCs w:val="24"/>
              </w:rPr>
            </w:pPr>
          </w:p>
          <w:p w14:paraId="15196277">
            <w:pPr>
              <w:widowControl/>
              <w:jc w:val="left"/>
              <w:rPr>
                <w:szCs w:val="24"/>
              </w:rPr>
            </w:pPr>
            <w:r>
              <w:rPr>
                <w:rFonts w:hint="eastAsia"/>
                <w:szCs w:val="24"/>
              </w:rPr>
              <w:t>3.公司核心技术情况？</w:t>
            </w:r>
          </w:p>
          <w:p w14:paraId="279544E3">
            <w:pPr>
              <w:widowControl/>
              <w:jc w:val="left"/>
              <w:rPr>
                <w:szCs w:val="24"/>
              </w:rPr>
            </w:pPr>
            <w:r>
              <w:rPr>
                <w:rFonts w:hint="eastAsia"/>
                <w:szCs w:val="24"/>
              </w:rPr>
              <w:t>答：经过逾 15 年的技术积累和产品工艺自主研发，公司建立了精密机械制造技术、表面处理技术、焊接技术、高端器件的设计及开发技术和定制化工装开发技术等五大核心技术平台。</w:t>
            </w:r>
          </w:p>
          <w:p w14:paraId="644EAB5E">
            <w:pPr>
              <w:widowControl/>
              <w:jc w:val="left"/>
              <w:rPr>
                <w:szCs w:val="24"/>
              </w:rPr>
            </w:pPr>
          </w:p>
          <w:p w14:paraId="646D1410">
            <w:pPr>
              <w:widowControl/>
              <w:jc w:val="left"/>
              <w:rPr>
                <w:szCs w:val="24"/>
              </w:rPr>
            </w:pPr>
            <w:r>
              <w:rPr>
                <w:rFonts w:hint="eastAsia"/>
                <w:szCs w:val="24"/>
              </w:rPr>
              <w:t xml:space="preserve">4.公司目前研发人员占比情况？ </w:t>
            </w:r>
          </w:p>
          <w:p w14:paraId="7FCBAD63">
            <w:pPr>
              <w:widowControl/>
              <w:jc w:val="left"/>
              <w:rPr>
                <w:szCs w:val="24"/>
              </w:rPr>
            </w:pPr>
            <w:r>
              <w:rPr>
                <w:rFonts w:hint="eastAsia"/>
                <w:szCs w:val="24"/>
              </w:rPr>
              <w:t>答：截至2024年3月末，公司研发人员占比约为 13%。</w:t>
            </w:r>
          </w:p>
          <w:p w14:paraId="67F9E656">
            <w:pPr>
              <w:widowControl/>
              <w:jc w:val="left"/>
              <w:rPr>
                <w:szCs w:val="24"/>
              </w:rPr>
            </w:pPr>
          </w:p>
          <w:p w14:paraId="6C9E9337">
            <w:pPr>
              <w:widowControl/>
              <w:jc w:val="left"/>
              <w:rPr>
                <w:szCs w:val="24"/>
              </w:rPr>
            </w:pPr>
            <w:r>
              <w:rPr>
                <w:rFonts w:hint="eastAsia"/>
                <w:szCs w:val="24"/>
              </w:rPr>
              <w:t>5.公司的主要客户？</w:t>
            </w:r>
          </w:p>
          <w:p w14:paraId="59F81AB5">
            <w:pPr>
              <w:widowControl/>
              <w:jc w:val="left"/>
              <w:rPr>
                <w:szCs w:val="24"/>
              </w:rPr>
            </w:pPr>
            <w:r>
              <w:rPr>
                <w:rFonts w:hint="eastAsia"/>
                <w:szCs w:val="24"/>
              </w:rPr>
              <w:t>答：通过长久的技术积累和工艺精进，公司已成为中微公司、北方华创、华海清科、拓荆科技、屹唐股份等国内头部半导体设备厂商的长期战略合作伙伴，并多次获得客户核心供应商、杰出供应商称号。</w:t>
            </w:r>
          </w:p>
          <w:p w14:paraId="42AAC806">
            <w:pPr>
              <w:widowControl/>
              <w:jc w:val="left"/>
              <w:rPr>
                <w:szCs w:val="24"/>
              </w:rPr>
            </w:pPr>
          </w:p>
          <w:p w14:paraId="29107692">
            <w:pPr>
              <w:widowControl/>
              <w:jc w:val="left"/>
              <w:rPr>
                <w:szCs w:val="24"/>
              </w:rPr>
            </w:pPr>
            <w:r>
              <w:rPr>
                <w:rFonts w:hint="eastAsia"/>
                <w:szCs w:val="24"/>
              </w:rPr>
              <w:t xml:space="preserve">6.公司确认收入的时点是什么？ </w:t>
            </w:r>
          </w:p>
          <w:p w14:paraId="505B3535">
            <w:pPr>
              <w:widowControl/>
              <w:jc w:val="left"/>
              <w:rPr>
                <w:szCs w:val="24"/>
              </w:rPr>
            </w:pPr>
            <w:r>
              <w:rPr>
                <w:rFonts w:hint="eastAsia"/>
                <w:szCs w:val="24"/>
              </w:rPr>
              <w:t>答：公司收入确认主要模式：（1）内销：公司根据合同约定将产品交付给购货方或者客户的指定地点并经对方签收或领用，确认收入实现；（2）外销：公司根据合同或者订单载明的相关条款，出口销售在办理完出口报关手续，取得报关单或者经对方签收或者领用后，确认收入实现。</w:t>
            </w:r>
          </w:p>
          <w:p w14:paraId="13917E4D">
            <w:pPr>
              <w:widowControl/>
              <w:jc w:val="left"/>
              <w:rPr>
                <w:szCs w:val="24"/>
              </w:rPr>
            </w:pPr>
          </w:p>
          <w:p w14:paraId="1B751E92">
            <w:pPr>
              <w:widowControl/>
              <w:jc w:val="left"/>
              <w:rPr>
                <w:szCs w:val="24"/>
              </w:rPr>
            </w:pPr>
            <w:r>
              <w:rPr>
                <w:rFonts w:hint="eastAsia"/>
                <w:szCs w:val="24"/>
              </w:rPr>
              <w:t>7.目前公司的产能情况？</w:t>
            </w:r>
          </w:p>
          <w:p w14:paraId="492DE428">
            <w:pPr>
              <w:widowControl/>
              <w:jc w:val="left"/>
              <w:rPr>
                <w:szCs w:val="24"/>
              </w:rPr>
            </w:pPr>
            <w:r>
              <w:rPr>
                <w:rFonts w:hint="eastAsia"/>
                <w:szCs w:val="24"/>
              </w:rPr>
              <w:t>答：公司产品呈现多品种、定制化的特点，且需经过多道工序组合生产，并存在产线共用的情形，因此产能利用率根据产线的产能计算。公司的柔性化生产模式确保自有产能能够充分应用，各车间自有产能与外协厂商协同配合。2024 年 1- 3 月，公司产能利用率趋于饱和，产能利用率约为98%。</w:t>
            </w:r>
          </w:p>
          <w:p w14:paraId="70373AD2">
            <w:pPr>
              <w:widowControl/>
              <w:jc w:val="left"/>
              <w:rPr>
                <w:szCs w:val="24"/>
              </w:rPr>
            </w:pPr>
          </w:p>
          <w:p w14:paraId="4ABB0F64">
            <w:pPr>
              <w:widowControl/>
              <w:jc w:val="left"/>
              <w:rPr>
                <w:szCs w:val="24"/>
              </w:rPr>
            </w:pPr>
            <w:r>
              <w:rPr>
                <w:rFonts w:hint="eastAsia"/>
                <w:szCs w:val="24"/>
              </w:rPr>
              <w:t>8.公司金属加热器毛利率如何？</w:t>
            </w:r>
          </w:p>
          <w:p w14:paraId="2BD96576">
            <w:pPr>
              <w:widowControl/>
              <w:jc w:val="left"/>
              <w:rPr>
                <w:szCs w:val="24"/>
              </w:rPr>
            </w:pPr>
            <w:r>
              <w:rPr>
                <w:rFonts w:hint="eastAsia"/>
                <w:szCs w:val="24"/>
              </w:rPr>
              <w:t>答：公司金属加热器毛利率在35%-40%左右。</w:t>
            </w:r>
          </w:p>
          <w:p w14:paraId="3B3EB81C">
            <w:pPr>
              <w:widowControl/>
              <w:jc w:val="left"/>
              <w:rPr>
                <w:szCs w:val="24"/>
              </w:rPr>
            </w:pPr>
          </w:p>
          <w:p w14:paraId="3CA7787B">
            <w:pPr>
              <w:widowControl/>
              <w:jc w:val="left"/>
              <w:rPr>
                <w:szCs w:val="24"/>
              </w:rPr>
            </w:pPr>
            <w:r>
              <w:rPr>
                <w:rFonts w:hint="eastAsia"/>
                <w:szCs w:val="24"/>
              </w:rPr>
              <w:t>9.公司在未来发展方向上有何想法？</w:t>
            </w:r>
          </w:p>
          <w:p w14:paraId="77470770">
            <w:pPr>
              <w:widowControl/>
              <w:jc w:val="left"/>
              <w:rPr>
                <w:szCs w:val="24"/>
              </w:rPr>
            </w:pPr>
            <w:r>
              <w:rPr>
                <w:rFonts w:hint="eastAsia"/>
                <w:szCs w:val="24"/>
              </w:rPr>
              <w:t>答：公司未来会进一步提高产能、新建研发中心，也会在半导体器件、基础材料和成形工艺、机械制造和表面处理、前瞻性技术工艺和项目管理四个方向上发力，同时也希望进一步提高薄膜沉积设备关键零部件在公司收入中的占比。公司的愿景是成为全球有竞争力的精密制造专家。</w:t>
            </w:r>
          </w:p>
          <w:p w14:paraId="0616BDDA">
            <w:pPr>
              <w:widowControl/>
              <w:jc w:val="left"/>
              <w:rPr>
                <w:szCs w:val="24"/>
              </w:rPr>
            </w:pPr>
          </w:p>
          <w:p w14:paraId="3B73FD1B">
            <w:pPr>
              <w:widowControl/>
              <w:jc w:val="left"/>
              <w:rPr>
                <w:szCs w:val="24"/>
              </w:rPr>
            </w:pPr>
            <w:r>
              <w:rPr>
                <w:rFonts w:hint="eastAsia"/>
                <w:szCs w:val="24"/>
              </w:rPr>
              <w:t>10.公司的企业文化及治理内容，这些措施如何有益于企业发展？</w:t>
            </w:r>
          </w:p>
          <w:p w14:paraId="214EF5A3">
            <w:pPr>
              <w:widowControl/>
              <w:jc w:val="left"/>
              <w:rPr>
                <w:szCs w:val="24"/>
              </w:rPr>
            </w:pPr>
            <w:r>
              <w:rPr>
                <w:rFonts w:hint="eastAsia"/>
                <w:szCs w:val="24"/>
              </w:rPr>
              <w:t>答：公司坚持正直诚实、团队合作、持之以恒、客户满意的核心价值观和先做对，再做好，改善不止的质量方针。公司创始团队在海内外有近 30 年的精密制造经验，充满热情且洞悉规律，推崇团队合作和持之以恒的工匠精神。在十多年的发展中，始终坚持以市场和客户需求导向，在相互尊重的商业规则上与客户建立长期伙伴关系；同时，公司致力于建设持续稳定的精益生产管理体系，倡导技术创新和基于效率与公正的企业文化共识，实现了内生式高质量发展。</w:t>
            </w:r>
          </w:p>
          <w:p w14:paraId="5EDC8A11">
            <w:pPr>
              <w:widowControl/>
              <w:jc w:val="left"/>
              <w:rPr>
                <w:szCs w:val="24"/>
              </w:rPr>
            </w:pPr>
          </w:p>
        </w:tc>
      </w:tr>
    </w:tbl>
    <w:p w14:paraId="1A27881D">
      <w:pPr>
        <w:spacing w:line="360" w:lineRule="auto"/>
        <w:rPr>
          <w:color w:val="000000"/>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46"/>
    <w:rsid w:val="000B61FC"/>
    <w:rsid w:val="000D2872"/>
    <w:rsid w:val="000E1009"/>
    <w:rsid w:val="00171B17"/>
    <w:rsid w:val="001F0F88"/>
    <w:rsid w:val="0020500F"/>
    <w:rsid w:val="002905AC"/>
    <w:rsid w:val="00294959"/>
    <w:rsid w:val="003A3A46"/>
    <w:rsid w:val="003F3C92"/>
    <w:rsid w:val="004754E9"/>
    <w:rsid w:val="004E40CA"/>
    <w:rsid w:val="004E4B5E"/>
    <w:rsid w:val="00513BB5"/>
    <w:rsid w:val="00586FEC"/>
    <w:rsid w:val="00597BE3"/>
    <w:rsid w:val="00773E29"/>
    <w:rsid w:val="00880942"/>
    <w:rsid w:val="009F4679"/>
    <w:rsid w:val="00A300B7"/>
    <w:rsid w:val="00AF3539"/>
    <w:rsid w:val="00B71EE6"/>
    <w:rsid w:val="00B748D0"/>
    <w:rsid w:val="00B86F10"/>
    <w:rsid w:val="00BF58EA"/>
    <w:rsid w:val="00C44A2E"/>
    <w:rsid w:val="00DC0644"/>
    <w:rsid w:val="00DC5E46"/>
    <w:rsid w:val="00DF0742"/>
    <w:rsid w:val="00E9000F"/>
    <w:rsid w:val="00FE32DA"/>
    <w:rsid w:val="01545A05"/>
    <w:rsid w:val="01853E11"/>
    <w:rsid w:val="01DC40DC"/>
    <w:rsid w:val="0200793B"/>
    <w:rsid w:val="0213141D"/>
    <w:rsid w:val="02186A33"/>
    <w:rsid w:val="035E700F"/>
    <w:rsid w:val="04310280"/>
    <w:rsid w:val="045F6B9B"/>
    <w:rsid w:val="0475016D"/>
    <w:rsid w:val="052D1535"/>
    <w:rsid w:val="054A15F9"/>
    <w:rsid w:val="059B00A7"/>
    <w:rsid w:val="067F3525"/>
    <w:rsid w:val="0790350F"/>
    <w:rsid w:val="08AF4D90"/>
    <w:rsid w:val="097D36AD"/>
    <w:rsid w:val="09FD46CD"/>
    <w:rsid w:val="0BE61950"/>
    <w:rsid w:val="0CEE6D0E"/>
    <w:rsid w:val="0DBF06AB"/>
    <w:rsid w:val="0DC61A39"/>
    <w:rsid w:val="0F07055B"/>
    <w:rsid w:val="0FD3043D"/>
    <w:rsid w:val="101A606C"/>
    <w:rsid w:val="115F2023"/>
    <w:rsid w:val="13F56BD4"/>
    <w:rsid w:val="14B52807"/>
    <w:rsid w:val="14D25167"/>
    <w:rsid w:val="15763D45"/>
    <w:rsid w:val="15B36D47"/>
    <w:rsid w:val="161A0B74"/>
    <w:rsid w:val="163045C2"/>
    <w:rsid w:val="16CD25C8"/>
    <w:rsid w:val="17783057"/>
    <w:rsid w:val="17D17958"/>
    <w:rsid w:val="17E56F60"/>
    <w:rsid w:val="187C5B16"/>
    <w:rsid w:val="193463F1"/>
    <w:rsid w:val="19691E2C"/>
    <w:rsid w:val="1988673C"/>
    <w:rsid w:val="1A2975D8"/>
    <w:rsid w:val="1AB07CF9"/>
    <w:rsid w:val="1B3A3A66"/>
    <w:rsid w:val="1B681114"/>
    <w:rsid w:val="1BD20669"/>
    <w:rsid w:val="1CB12AD7"/>
    <w:rsid w:val="1CD81789"/>
    <w:rsid w:val="1CE7774A"/>
    <w:rsid w:val="1D81772B"/>
    <w:rsid w:val="1D8B2357"/>
    <w:rsid w:val="1E0A4113"/>
    <w:rsid w:val="1E3A31EB"/>
    <w:rsid w:val="1F0B1D1B"/>
    <w:rsid w:val="1F647304"/>
    <w:rsid w:val="2000527E"/>
    <w:rsid w:val="2000702C"/>
    <w:rsid w:val="20355EF4"/>
    <w:rsid w:val="2091237A"/>
    <w:rsid w:val="20EC135F"/>
    <w:rsid w:val="21C127EB"/>
    <w:rsid w:val="227C6712"/>
    <w:rsid w:val="22D93B65"/>
    <w:rsid w:val="22F8223D"/>
    <w:rsid w:val="2322550C"/>
    <w:rsid w:val="23502079"/>
    <w:rsid w:val="2369138D"/>
    <w:rsid w:val="24074CD3"/>
    <w:rsid w:val="24676D12"/>
    <w:rsid w:val="2540611D"/>
    <w:rsid w:val="258B7398"/>
    <w:rsid w:val="26215F4F"/>
    <w:rsid w:val="2629095F"/>
    <w:rsid w:val="263C0693"/>
    <w:rsid w:val="269A3AE6"/>
    <w:rsid w:val="26F176CF"/>
    <w:rsid w:val="27A6495D"/>
    <w:rsid w:val="281178FD"/>
    <w:rsid w:val="28814A83"/>
    <w:rsid w:val="28EF5E90"/>
    <w:rsid w:val="2987431B"/>
    <w:rsid w:val="2A8D3BB3"/>
    <w:rsid w:val="2AF4778E"/>
    <w:rsid w:val="2CA156F3"/>
    <w:rsid w:val="2D430559"/>
    <w:rsid w:val="2E20089A"/>
    <w:rsid w:val="2E6115DE"/>
    <w:rsid w:val="2F573121"/>
    <w:rsid w:val="3011493E"/>
    <w:rsid w:val="304D4A5C"/>
    <w:rsid w:val="30CB71E3"/>
    <w:rsid w:val="31101099"/>
    <w:rsid w:val="3139239E"/>
    <w:rsid w:val="32452FC5"/>
    <w:rsid w:val="32696CB3"/>
    <w:rsid w:val="337D7AE1"/>
    <w:rsid w:val="346534AA"/>
    <w:rsid w:val="347B5013"/>
    <w:rsid w:val="35B00755"/>
    <w:rsid w:val="35B244CD"/>
    <w:rsid w:val="35BA24A6"/>
    <w:rsid w:val="393D67A4"/>
    <w:rsid w:val="39F03816"/>
    <w:rsid w:val="3A751F6D"/>
    <w:rsid w:val="3B4A51A8"/>
    <w:rsid w:val="3B4F44FE"/>
    <w:rsid w:val="3B567FF1"/>
    <w:rsid w:val="3C065573"/>
    <w:rsid w:val="3C1F6635"/>
    <w:rsid w:val="3E2756B2"/>
    <w:rsid w:val="3EA130E8"/>
    <w:rsid w:val="3F43263A"/>
    <w:rsid w:val="3F450160"/>
    <w:rsid w:val="3F7942AE"/>
    <w:rsid w:val="3FA94B93"/>
    <w:rsid w:val="3FBB48C6"/>
    <w:rsid w:val="409F7D44"/>
    <w:rsid w:val="41913B31"/>
    <w:rsid w:val="429513FF"/>
    <w:rsid w:val="42C85330"/>
    <w:rsid w:val="44BD64D2"/>
    <w:rsid w:val="45FD1795"/>
    <w:rsid w:val="460D74FE"/>
    <w:rsid w:val="46D52711"/>
    <w:rsid w:val="476615BC"/>
    <w:rsid w:val="477517FF"/>
    <w:rsid w:val="47E744AA"/>
    <w:rsid w:val="482C4538"/>
    <w:rsid w:val="48C20A74"/>
    <w:rsid w:val="4A273284"/>
    <w:rsid w:val="4A622179"/>
    <w:rsid w:val="4A77763C"/>
    <w:rsid w:val="4A895CED"/>
    <w:rsid w:val="4B9761E7"/>
    <w:rsid w:val="4C561BFF"/>
    <w:rsid w:val="4CD82614"/>
    <w:rsid w:val="4D0E072B"/>
    <w:rsid w:val="4D155616"/>
    <w:rsid w:val="4D811048"/>
    <w:rsid w:val="4DB50BA7"/>
    <w:rsid w:val="505C17AE"/>
    <w:rsid w:val="52C8312A"/>
    <w:rsid w:val="531B76FE"/>
    <w:rsid w:val="54C05EE1"/>
    <w:rsid w:val="552F123F"/>
    <w:rsid w:val="558D1470"/>
    <w:rsid w:val="562B40FC"/>
    <w:rsid w:val="568679FA"/>
    <w:rsid w:val="57A06424"/>
    <w:rsid w:val="57A852D8"/>
    <w:rsid w:val="57F12FF3"/>
    <w:rsid w:val="589A2E73"/>
    <w:rsid w:val="58AC2BA6"/>
    <w:rsid w:val="58B86690"/>
    <w:rsid w:val="58EE31BF"/>
    <w:rsid w:val="594F0101"/>
    <w:rsid w:val="59945B14"/>
    <w:rsid w:val="5A274BDA"/>
    <w:rsid w:val="5B184523"/>
    <w:rsid w:val="5B305D11"/>
    <w:rsid w:val="5B44356A"/>
    <w:rsid w:val="5BC8419B"/>
    <w:rsid w:val="5BD26DC8"/>
    <w:rsid w:val="5BEF1728"/>
    <w:rsid w:val="5E3945AA"/>
    <w:rsid w:val="5F3D09FC"/>
    <w:rsid w:val="5FB52C88"/>
    <w:rsid w:val="60172113"/>
    <w:rsid w:val="60636240"/>
    <w:rsid w:val="607E12CC"/>
    <w:rsid w:val="610F0176"/>
    <w:rsid w:val="61354081"/>
    <w:rsid w:val="619B6074"/>
    <w:rsid w:val="61A30FEA"/>
    <w:rsid w:val="62061579"/>
    <w:rsid w:val="628F77C1"/>
    <w:rsid w:val="62960B4F"/>
    <w:rsid w:val="62FE04A2"/>
    <w:rsid w:val="634836AF"/>
    <w:rsid w:val="63F66862"/>
    <w:rsid w:val="649B4B81"/>
    <w:rsid w:val="64CC0858"/>
    <w:rsid w:val="64D67929"/>
    <w:rsid w:val="64E57B6C"/>
    <w:rsid w:val="65586590"/>
    <w:rsid w:val="65626FA7"/>
    <w:rsid w:val="65A215B9"/>
    <w:rsid w:val="65D379C4"/>
    <w:rsid w:val="65DD6A95"/>
    <w:rsid w:val="669B1EC3"/>
    <w:rsid w:val="66CD6B09"/>
    <w:rsid w:val="66D6776C"/>
    <w:rsid w:val="68703BF0"/>
    <w:rsid w:val="691722BE"/>
    <w:rsid w:val="69B17C32"/>
    <w:rsid w:val="69BA1345"/>
    <w:rsid w:val="69F10D61"/>
    <w:rsid w:val="6AE368FC"/>
    <w:rsid w:val="6C305B70"/>
    <w:rsid w:val="6C6A44CD"/>
    <w:rsid w:val="6C90660F"/>
    <w:rsid w:val="6CFA617E"/>
    <w:rsid w:val="6ECB392F"/>
    <w:rsid w:val="6EE669BA"/>
    <w:rsid w:val="70115CB9"/>
    <w:rsid w:val="70292F5C"/>
    <w:rsid w:val="708A5F5B"/>
    <w:rsid w:val="72692FA1"/>
    <w:rsid w:val="72C844AE"/>
    <w:rsid w:val="72E6342D"/>
    <w:rsid w:val="733D0B73"/>
    <w:rsid w:val="73781BAB"/>
    <w:rsid w:val="75C724AA"/>
    <w:rsid w:val="761958C7"/>
    <w:rsid w:val="767945B8"/>
    <w:rsid w:val="76D01188"/>
    <w:rsid w:val="76EC4D8A"/>
    <w:rsid w:val="78175E36"/>
    <w:rsid w:val="781B69DB"/>
    <w:rsid w:val="79EE0E19"/>
    <w:rsid w:val="7A0B3779"/>
    <w:rsid w:val="7A613399"/>
    <w:rsid w:val="7ADB75EF"/>
    <w:rsid w:val="7ADE49EA"/>
    <w:rsid w:val="7B672C31"/>
    <w:rsid w:val="7CB97EFF"/>
    <w:rsid w:val="7D9B3066"/>
    <w:rsid w:val="7EF6727C"/>
    <w:rsid w:val="7F054C3B"/>
    <w:rsid w:val="7F793F39"/>
    <w:rsid w:val="7FAA448E"/>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rFonts w:ascii="Times New Roman" w:hAnsi="Times New Roman" w:eastAsia="宋体"/>
      <w:sz w:val="18"/>
      <w:szCs w:val="18"/>
    </w:rPr>
  </w:style>
  <w:style w:type="character" w:customStyle="1" w:styleId="9">
    <w:name w:val="页眉 字符"/>
    <w:basedOn w:val="7"/>
    <w:link w:val="4"/>
    <w:qFormat/>
    <w:uiPriority w:val="99"/>
    <w:rPr>
      <w:rFonts w:ascii="Times New Roman" w:hAnsi="Times New Roman" w:eastAsia="宋体"/>
      <w:sz w:val="18"/>
      <w:szCs w:val="18"/>
    </w:rPr>
  </w:style>
  <w:style w:type="character" w:customStyle="1" w:styleId="10">
    <w:name w:val="页脚 字符"/>
    <w:basedOn w:val="7"/>
    <w:link w:val="3"/>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1608</Words>
  <Characters>1666</Characters>
  <Lines>12</Lines>
  <Paragraphs>3</Paragraphs>
  <TotalTime>2</TotalTime>
  <ScaleCrop>false</ScaleCrop>
  <LinksUpToDate>false</LinksUpToDate>
  <CharactersWithSpaces>1737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2020-08-31T03:54:00Z</dcterms:created>
  <dc:creator>荣大-李雷</dc:creator>
  <cp:lastModifiedBy>申小亮</cp:lastModifiedBy>
  <dcterms:modified xsi:type="dcterms:W3CDTF">2024-12-31T08:38:02Z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6E08DE96A8C0486296F8DFE8207EDF68_13</vt:lpwstr>
  </property>
  <property fmtid="{D5CDD505-2E9C-101B-9397-08002B2CF9AE}" pid="4" name="KSOTemplateDocerSaveRecord">
    <vt:lpwstr>eyJoZGlkIjoiZTAzZmJlZTBjODlhN2ViYmM0YjBjMTY4MmE1OWE2OTEiLCJ1c2VySWQiOiIyMzUwNTE4OTkifQ==</vt:lpwstr>
  </property>
</Properties>
</file>