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93F60" w14:textId="34457E62" w:rsidR="00472422" w:rsidRDefault="00472422" w:rsidP="00472422">
      <w:pPr>
        <w:widowControl/>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证券代码：6</w:t>
      </w:r>
      <w:r>
        <w:rPr>
          <w:rFonts w:ascii="宋体" w:hAnsi="宋体" w:cs="宋体"/>
          <w:color w:val="000000"/>
          <w:kern w:val="0"/>
          <w:sz w:val="24"/>
          <w:szCs w:val="24"/>
        </w:rPr>
        <w:t xml:space="preserve">88326       </w:t>
      </w:r>
      <w:r w:rsidR="00AA047A">
        <w:rPr>
          <w:rFonts w:ascii="宋体" w:hAnsi="宋体" w:cs="宋体"/>
          <w:color w:val="000000"/>
          <w:kern w:val="0"/>
          <w:sz w:val="24"/>
          <w:szCs w:val="24"/>
        </w:rPr>
        <w:t xml:space="preserve">                        </w:t>
      </w:r>
      <w:r>
        <w:rPr>
          <w:rFonts w:ascii="宋体" w:hAnsi="宋体" w:cs="宋体"/>
          <w:color w:val="000000"/>
          <w:kern w:val="0"/>
          <w:sz w:val="24"/>
          <w:szCs w:val="24"/>
        </w:rPr>
        <w:t xml:space="preserve"> </w:t>
      </w:r>
      <w:r w:rsidR="00AA047A">
        <w:rPr>
          <w:rFonts w:ascii="宋体" w:hAnsi="宋体" w:cs="宋体"/>
          <w:color w:val="000000"/>
          <w:kern w:val="0"/>
          <w:sz w:val="24"/>
          <w:szCs w:val="24"/>
        </w:rPr>
        <w:t xml:space="preserve">   </w:t>
      </w:r>
      <w:r>
        <w:rPr>
          <w:rFonts w:ascii="宋体" w:hAnsi="宋体" w:cs="宋体" w:hint="eastAsia"/>
          <w:color w:val="000000"/>
          <w:kern w:val="0"/>
          <w:sz w:val="24"/>
          <w:szCs w:val="24"/>
        </w:rPr>
        <w:t>证券简称：经纬恒润</w:t>
      </w:r>
    </w:p>
    <w:p w14:paraId="4C712A34" w14:textId="77777777" w:rsidR="00472422" w:rsidRDefault="00472422" w:rsidP="00472422">
      <w:pPr>
        <w:widowControl/>
        <w:spacing w:line="360" w:lineRule="auto"/>
        <w:jc w:val="left"/>
        <w:rPr>
          <w:rFonts w:ascii="宋体" w:hAnsi="宋体" w:cs="宋体"/>
          <w:color w:val="000000"/>
          <w:kern w:val="0"/>
          <w:sz w:val="24"/>
          <w:szCs w:val="24"/>
        </w:rPr>
      </w:pPr>
    </w:p>
    <w:p w14:paraId="2C6CEF0C" w14:textId="77777777" w:rsidR="00472422" w:rsidRPr="0006181A" w:rsidRDefault="00472422" w:rsidP="00472422">
      <w:pPr>
        <w:adjustRightInd w:val="0"/>
        <w:snapToGrid w:val="0"/>
        <w:spacing w:line="360" w:lineRule="auto"/>
        <w:jc w:val="center"/>
        <w:rPr>
          <w:rFonts w:ascii="黑体" w:eastAsia="黑体" w:hAnsi="黑体"/>
          <w:b/>
          <w:bCs/>
          <w:sz w:val="36"/>
          <w:szCs w:val="36"/>
        </w:rPr>
      </w:pPr>
      <w:r w:rsidRPr="0006181A">
        <w:rPr>
          <w:rFonts w:ascii="黑体" w:eastAsia="黑体" w:hAnsi="黑体" w:hint="eastAsia"/>
          <w:b/>
          <w:bCs/>
          <w:sz w:val="36"/>
          <w:szCs w:val="36"/>
        </w:rPr>
        <w:t>北京经纬恒润科技股份有限公司</w:t>
      </w:r>
    </w:p>
    <w:p w14:paraId="6A1B773F" w14:textId="690E398F" w:rsidR="00472422" w:rsidRDefault="00472422" w:rsidP="00472422">
      <w:pPr>
        <w:adjustRightInd w:val="0"/>
        <w:snapToGrid w:val="0"/>
        <w:spacing w:line="360" w:lineRule="auto"/>
        <w:jc w:val="center"/>
        <w:rPr>
          <w:rFonts w:ascii="黑体" w:eastAsia="黑体" w:hAnsi="黑体"/>
          <w:b/>
          <w:bCs/>
          <w:sz w:val="36"/>
          <w:szCs w:val="36"/>
        </w:rPr>
      </w:pPr>
      <w:r w:rsidRPr="0006181A">
        <w:rPr>
          <w:rFonts w:ascii="黑体" w:eastAsia="黑体" w:hAnsi="黑体" w:hint="eastAsia"/>
          <w:b/>
          <w:bCs/>
          <w:sz w:val="36"/>
          <w:szCs w:val="36"/>
        </w:rPr>
        <w:t>投资者关系活动记录表</w:t>
      </w:r>
    </w:p>
    <w:p w14:paraId="61C3197C" w14:textId="05B4C4EB" w:rsidR="00AA047A" w:rsidRPr="00AA047A" w:rsidRDefault="00AA047A" w:rsidP="00AA047A">
      <w:pPr>
        <w:adjustRightInd w:val="0"/>
        <w:snapToGrid w:val="0"/>
        <w:spacing w:line="360" w:lineRule="auto"/>
        <w:jc w:val="right"/>
        <w:rPr>
          <w:rFonts w:ascii="宋体" w:hAnsi="宋体"/>
          <w:b/>
          <w:bCs/>
          <w:sz w:val="24"/>
          <w:szCs w:val="24"/>
        </w:rPr>
      </w:pPr>
      <w:r w:rsidRPr="00AA047A">
        <w:rPr>
          <w:rFonts w:ascii="宋体" w:hAnsi="宋体" w:hint="eastAsia"/>
          <w:b/>
          <w:bCs/>
          <w:sz w:val="24"/>
          <w:szCs w:val="24"/>
        </w:rPr>
        <w:t>编号：</w:t>
      </w:r>
      <w:r w:rsidR="006B63DA" w:rsidRPr="00AA047A">
        <w:rPr>
          <w:rFonts w:ascii="宋体" w:hAnsi="宋体" w:hint="eastAsia"/>
          <w:b/>
          <w:bCs/>
          <w:sz w:val="24"/>
          <w:szCs w:val="24"/>
        </w:rPr>
        <w:t>2</w:t>
      </w:r>
      <w:r w:rsidR="006B63DA" w:rsidRPr="00AA047A">
        <w:rPr>
          <w:rFonts w:ascii="宋体" w:hAnsi="宋体"/>
          <w:b/>
          <w:bCs/>
          <w:sz w:val="24"/>
          <w:szCs w:val="24"/>
        </w:rPr>
        <w:t>02</w:t>
      </w:r>
      <w:r w:rsidR="006B63DA">
        <w:rPr>
          <w:rFonts w:ascii="宋体" w:hAnsi="宋体"/>
          <w:b/>
          <w:bCs/>
          <w:sz w:val="24"/>
          <w:szCs w:val="24"/>
        </w:rPr>
        <w:t>4</w:t>
      </w:r>
      <w:r w:rsidRPr="00AA047A">
        <w:rPr>
          <w:rFonts w:ascii="宋体" w:hAnsi="宋体"/>
          <w:b/>
          <w:bCs/>
          <w:sz w:val="24"/>
          <w:szCs w:val="24"/>
        </w:rPr>
        <w:t>-</w:t>
      </w:r>
      <w:r w:rsidR="00CC0FAC">
        <w:rPr>
          <w:rFonts w:ascii="宋体" w:hAnsi="宋体"/>
          <w:b/>
          <w:bCs/>
          <w:sz w:val="24"/>
          <w:szCs w:val="24"/>
        </w:rPr>
        <w:t>0</w:t>
      </w:r>
      <w:r w:rsidR="00B6773F">
        <w:rPr>
          <w:rFonts w:ascii="宋体" w:hAnsi="宋体" w:hint="eastAsia"/>
          <w:b/>
          <w:bCs/>
          <w:sz w:val="24"/>
          <w:szCs w:val="24"/>
        </w:rPr>
        <w:t>2</w:t>
      </w:r>
      <w:r w:rsidR="00550E05">
        <w:rPr>
          <w:rFonts w:ascii="宋体" w:hAnsi="宋体" w:hint="eastAsia"/>
          <w:b/>
          <w:bCs/>
          <w:sz w:val="24"/>
          <w:szCs w:val="24"/>
        </w:rPr>
        <w:t>3</w:t>
      </w:r>
    </w:p>
    <w:tbl>
      <w:tblPr>
        <w:tblStyle w:val="a3"/>
        <w:tblW w:w="5000" w:type="pct"/>
        <w:tblLook w:val="04A0" w:firstRow="1" w:lastRow="0" w:firstColumn="1" w:lastColumn="0" w:noHBand="0" w:noVBand="1"/>
      </w:tblPr>
      <w:tblGrid>
        <w:gridCol w:w="1800"/>
        <w:gridCol w:w="6496"/>
      </w:tblGrid>
      <w:tr w:rsidR="00472422" w14:paraId="720774CE" w14:textId="77777777" w:rsidTr="00764D30">
        <w:tc>
          <w:tcPr>
            <w:tcW w:w="1085" w:type="pct"/>
            <w:vAlign w:val="center"/>
          </w:tcPr>
          <w:p w14:paraId="087AAE30" w14:textId="403C511A" w:rsidR="00472422" w:rsidRPr="00764D30" w:rsidRDefault="00472422" w:rsidP="00764D30">
            <w:pPr>
              <w:rPr>
                <w:b/>
                <w:bCs/>
                <w:sz w:val="24"/>
                <w:szCs w:val="24"/>
              </w:rPr>
            </w:pPr>
            <w:r w:rsidRPr="00764D30">
              <w:rPr>
                <w:rFonts w:hint="eastAsia"/>
                <w:b/>
                <w:bCs/>
                <w:sz w:val="24"/>
                <w:szCs w:val="24"/>
              </w:rPr>
              <w:t>投资者关系活动类别</w:t>
            </w:r>
          </w:p>
        </w:tc>
        <w:tc>
          <w:tcPr>
            <w:tcW w:w="3915" w:type="pct"/>
          </w:tcPr>
          <w:p w14:paraId="5B59358C" w14:textId="1119D90F" w:rsidR="00472422" w:rsidRPr="007B0D34" w:rsidRDefault="00CC4A48" w:rsidP="00764D30">
            <w:pPr>
              <w:spacing w:line="360" w:lineRule="auto"/>
              <w:rPr>
                <w:rFonts w:ascii="宋体" w:hAnsi="宋体"/>
                <w:sz w:val="24"/>
                <w:szCs w:val="24"/>
              </w:rPr>
            </w:pPr>
            <w:r w:rsidRPr="007B0D34">
              <w:rPr>
                <w:rFonts w:ascii="宋体" w:hAnsi="宋体" w:hint="eastAsia"/>
                <w:sz w:val="24"/>
                <w:szCs w:val="24"/>
              </w:rPr>
              <w:sym w:font="Wingdings" w:char="F0FE"/>
            </w:r>
            <w:r w:rsidR="00472422" w:rsidRPr="007B0D34">
              <w:rPr>
                <w:rFonts w:hint="eastAsia"/>
                <w:sz w:val="24"/>
                <w:szCs w:val="24"/>
              </w:rPr>
              <w:t>特定对象调研</w:t>
            </w:r>
            <w:r w:rsidR="00472422" w:rsidRPr="007B0D34">
              <w:rPr>
                <w:rFonts w:hint="eastAsia"/>
                <w:sz w:val="24"/>
                <w:szCs w:val="24"/>
              </w:rPr>
              <w:t xml:space="preserve"> </w:t>
            </w:r>
            <w:r w:rsidR="00C10EFB" w:rsidRPr="007B0D34">
              <w:rPr>
                <w:sz w:val="24"/>
                <w:szCs w:val="24"/>
              </w:rPr>
              <w:t xml:space="preserve">        </w:t>
            </w:r>
            <w:r w:rsidR="00472422" w:rsidRPr="007B0D34">
              <w:rPr>
                <w:sz w:val="24"/>
                <w:szCs w:val="24"/>
              </w:rPr>
              <w:t xml:space="preserve">  </w:t>
            </w:r>
            <w:r w:rsidR="00472422" w:rsidRPr="007B0D34">
              <w:rPr>
                <w:rFonts w:ascii="宋体" w:hAnsi="宋体" w:hint="eastAsia"/>
                <w:sz w:val="24"/>
                <w:szCs w:val="24"/>
              </w:rPr>
              <w:t>□分析师会议</w:t>
            </w:r>
          </w:p>
          <w:p w14:paraId="02118FFA" w14:textId="104A0970" w:rsidR="00472422" w:rsidRPr="007B0D34" w:rsidRDefault="00472422" w:rsidP="00764D30">
            <w:pPr>
              <w:spacing w:line="360" w:lineRule="auto"/>
              <w:rPr>
                <w:rFonts w:ascii="宋体" w:hAnsi="宋体"/>
                <w:sz w:val="24"/>
                <w:szCs w:val="24"/>
              </w:rPr>
            </w:pPr>
            <w:r w:rsidRPr="007B0D34">
              <w:rPr>
                <w:rFonts w:ascii="宋体" w:hAnsi="宋体" w:hint="eastAsia"/>
                <w:sz w:val="24"/>
                <w:szCs w:val="24"/>
              </w:rPr>
              <w:t xml:space="preserve">□媒体采访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7C2BB7">
              <w:rPr>
                <w:rFonts w:ascii="宋体" w:hAnsi="宋体"/>
                <w:sz w:val="24"/>
                <w:szCs w:val="24"/>
              </w:rPr>
              <w:t xml:space="preserve"> </w:t>
            </w:r>
            <w:r w:rsidR="00CC4A48" w:rsidRPr="007B0D34">
              <w:rPr>
                <w:rFonts w:ascii="宋体" w:hAnsi="宋体" w:hint="eastAsia"/>
                <w:sz w:val="24"/>
                <w:szCs w:val="24"/>
              </w:rPr>
              <w:t>□</w:t>
            </w:r>
            <w:r w:rsidRPr="007B0D34">
              <w:rPr>
                <w:rFonts w:ascii="宋体" w:hAnsi="宋体" w:hint="eastAsia"/>
                <w:sz w:val="24"/>
                <w:szCs w:val="24"/>
              </w:rPr>
              <w:t>业绩说明会</w:t>
            </w:r>
          </w:p>
          <w:p w14:paraId="116A5338" w14:textId="067D6B10" w:rsidR="00472422" w:rsidRPr="007B0D34" w:rsidRDefault="00472422" w:rsidP="00764D30">
            <w:pPr>
              <w:spacing w:line="360" w:lineRule="auto"/>
              <w:rPr>
                <w:rFonts w:ascii="宋体" w:hAnsi="宋体"/>
                <w:sz w:val="24"/>
                <w:szCs w:val="24"/>
              </w:rPr>
            </w:pPr>
            <w:r w:rsidRPr="007B0D34">
              <w:rPr>
                <w:rFonts w:ascii="宋体" w:hAnsi="宋体" w:hint="eastAsia"/>
                <w:sz w:val="24"/>
                <w:szCs w:val="24"/>
              </w:rPr>
              <w:t xml:space="preserve">□新闻发布会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2E0E84" w:rsidRPr="007B0D34">
              <w:rPr>
                <w:rFonts w:ascii="宋体" w:hAnsi="宋体" w:hint="eastAsia"/>
                <w:sz w:val="24"/>
                <w:szCs w:val="24"/>
              </w:rPr>
              <w:t>□</w:t>
            </w:r>
            <w:r w:rsidRPr="007B0D34">
              <w:rPr>
                <w:rFonts w:ascii="宋体" w:hAnsi="宋体" w:hint="eastAsia"/>
                <w:sz w:val="24"/>
                <w:szCs w:val="24"/>
              </w:rPr>
              <w:t>路演活动</w:t>
            </w:r>
          </w:p>
          <w:p w14:paraId="4E4A6447" w14:textId="07E89FFA" w:rsidR="00472422" w:rsidRPr="007B0D34" w:rsidRDefault="00472422" w:rsidP="00764D30">
            <w:pPr>
              <w:spacing w:line="360" w:lineRule="auto"/>
              <w:rPr>
                <w:rFonts w:ascii="宋体" w:hAnsi="宋体"/>
                <w:sz w:val="24"/>
                <w:szCs w:val="24"/>
              </w:rPr>
            </w:pPr>
            <w:r w:rsidRPr="007B0D34">
              <w:rPr>
                <w:rFonts w:ascii="宋体" w:hAnsi="宋体" w:hint="eastAsia"/>
                <w:sz w:val="24"/>
                <w:szCs w:val="24"/>
              </w:rPr>
              <w:t xml:space="preserve">□现场参观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355E52" w:rsidRPr="007B0D34">
              <w:rPr>
                <w:rFonts w:ascii="宋体" w:hAnsi="宋体" w:hint="eastAsia"/>
                <w:sz w:val="24"/>
                <w:szCs w:val="24"/>
              </w:rPr>
              <w:t>□</w:t>
            </w:r>
            <w:r w:rsidR="005D51F1" w:rsidRPr="007B0D34">
              <w:rPr>
                <w:rFonts w:ascii="宋体" w:hAnsi="宋体" w:hint="eastAsia"/>
                <w:sz w:val="24"/>
                <w:szCs w:val="24"/>
              </w:rPr>
              <w:t>电话会议</w:t>
            </w:r>
          </w:p>
          <w:p w14:paraId="65791AD6" w14:textId="20DF4323" w:rsidR="00472422" w:rsidRPr="007B0D34" w:rsidRDefault="00472422" w:rsidP="00764D30">
            <w:pPr>
              <w:spacing w:line="360" w:lineRule="auto"/>
              <w:rPr>
                <w:sz w:val="24"/>
                <w:szCs w:val="24"/>
              </w:rPr>
            </w:pPr>
            <w:r w:rsidRPr="007B0D34">
              <w:rPr>
                <w:rFonts w:ascii="宋体" w:hAnsi="宋体" w:hint="eastAsia"/>
                <w:sz w:val="24"/>
                <w:szCs w:val="24"/>
              </w:rPr>
              <w:t xml:space="preserve">□券商策略会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Pr="007B0D34">
              <w:rPr>
                <w:rFonts w:ascii="宋体" w:hAnsi="宋体" w:hint="eastAsia"/>
                <w:sz w:val="24"/>
                <w:szCs w:val="24"/>
              </w:rPr>
              <w:t>□其他</w:t>
            </w:r>
          </w:p>
        </w:tc>
      </w:tr>
      <w:tr w:rsidR="00472422" w:rsidRPr="004B671F" w14:paraId="6DA6965E" w14:textId="77777777" w:rsidTr="00764D30">
        <w:tc>
          <w:tcPr>
            <w:tcW w:w="1085" w:type="pct"/>
            <w:vAlign w:val="center"/>
          </w:tcPr>
          <w:p w14:paraId="231906B6" w14:textId="11182E03" w:rsidR="00472422" w:rsidRPr="00764D30" w:rsidRDefault="00472422" w:rsidP="00764D30">
            <w:pPr>
              <w:rPr>
                <w:b/>
                <w:bCs/>
                <w:sz w:val="24"/>
                <w:szCs w:val="24"/>
              </w:rPr>
            </w:pPr>
            <w:r w:rsidRPr="00764D30">
              <w:rPr>
                <w:rFonts w:hint="eastAsia"/>
                <w:b/>
                <w:bCs/>
                <w:sz w:val="24"/>
                <w:szCs w:val="24"/>
              </w:rPr>
              <w:t>参与单位名称</w:t>
            </w:r>
          </w:p>
        </w:tc>
        <w:tc>
          <w:tcPr>
            <w:tcW w:w="3915" w:type="pct"/>
          </w:tcPr>
          <w:p w14:paraId="408E7337" w14:textId="77777777" w:rsidR="00C62206" w:rsidRDefault="00C62206" w:rsidP="00C62206">
            <w:pPr>
              <w:spacing w:line="360" w:lineRule="auto"/>
              <w:rPr>
                <w:sz w:val="24"/>
                <w:szCs w:val="24"/>
              </w:rPr>
            </w:pPr>
            <w:r w:rsidRPr="00D91C2D">
              <w:rPr>
                <w:rFonts w:hint="eastAsia"/>
                <w:sz w:val="24"/>
                <w:szCs w:val="24"/>
              </w:rPr>
              <w:t>（排名不分先后，按字母顺序排列）</w:t>
            </w:r>
          </w:p>
          <w:p w14:paraId="122341F9" w14:textId="11173B9B" w:rsidR="00534CD0" w:rsidRPr="000D756B" w:rsidRDefault="000D756B" w:rsidP="000D756B">
            <w:pPr>
              <w:widowControl/>
              <w:spacing w:line="360" w:lineRule="auto"/>
              <w:rPr>
                <w:rFonts w:ascii="等线" w:eastAsia="等线" w:hAnsi="等线" w:hint="eastAsia"/>
                <w:color w:val="000000"/>
                <w:sz w:val="22"/>
              </w:rPr>
            </w:pPr>
            <w:proofErr w:type="gramStart"/>
            <w:r w:rsidRPr="000D756B">
              <w:rPr>
                <w:rFonts w:hint="eastAsia"/>
                <w:sz w:val="24"/>
                <w:szCs w:val="24"/>
              </w:rPr>
              <w:t>泓德基金</w:t>
            </w:r>
            <w:proofErr w:type="gramEnd"/>
            <w:r w:rsidRPr="000D756B">
              <w:rPr>
                <w:rFonts w:hint="eastAsia"/>
                <w:sz w:val="24"/>
                <w:szCs w:val="24"/>
              </w:rPr>
              <w:t>，</w:t>
            </w:r>
            <w:proofErr w:type="gramStart"/>
            <w:r w:rsidRPr="000D756B">
              <w:rPr>
                <w:rFonts w:hint="eastAsia"/>
                <w:sz w:val="24"/>
                <w:szCs w:val="24"/>
              </w:rPr>
              <w:t>鸿竹资产</w:t>
            </w:r>
            <w:proofErr w:type="gramEnd"/>
            <w:r w:rsidRPr="000D756B">
              <w:rPr>
                <w:rFonts w:hint="eastAsia"/>
                <w:sz w:val="24"/>
                <w:szCs w:val="24"/>
              </w:rPr>
              <w:t>，华创证券，</w:t>
            </w:r>
            <w:proofErr w:type="gramStart"/>
            <w:r w:rsidRPr="000D756B">
              <w:rPr>
                <w:rFonts w:hint="eastAsia"/>
                <w:sz w:val="24"/>
                <w:szCs w:val="24"/>
              </w:rPr>
              <w:t>磊</w:t>
            </w:r>
            <w:proofErr w:type="gramEnd"/>
            <w:r w:rsidRPr="000D756B">
              <w:rPr>
                <w:rFonts w:hint="eastAsia"/>
                <w:sz w:val="24"/>
                <w:szCs w:val="24"/>
              </w:rPr>
              <w:t>萌资产，融通基金，天风证券，新华资产，中信建投，中邮资管</w:t>
            </w:r>
          </w:p>
        </w:tc>
      </w:tr>
      <w:tr w:rsidR="00472422" w:rsidRPr="004B2CD6" w14:paraId="3020CB8D" w14:textId="77777777" w:rsidTr="00764D30">
        <w:tc>
          <w:tcPr>
            <w:tcW w:w="1085" w:type="pct"/>
            <w:vAlign w:val="center"/>
          </w:tcPr>
          <w:p w14:paraId="2AE374BC" w14:textId="06E319BF" w:rsidR="00472422" w:rsidRPr="00764D30" w:rsidRDefault="00105034" w:rsidP="00764D30">
            <w:pPr>
              <w:rPr>
                <w:b/>
                <w:bCs/>
                <w:sz w:val="24"/>
                <w:szCs w:val="24"/>
              </w:rPr>
            </w:pPr>
            <w:r>
              <w:rPr>
                <w:rFonts w:hint="eastAsia"/>
                <w:b/>
                <w:bCs/>
                <w:sz w:val="24"/>
                <w:szCs w:val="24"/>
              </w:rPr>
              <w:t>会议</w:t>
            </w:r>
            <w:r w:rsidR="00472422" w:rsidRPr="00764D30">
              <w:rPr>
                <w:rFonts w:hint="eastAsia"/>
                <w:b/>
                <w:bCs/>
                <w:sz w:val="24"/>
                <w:szCs w:val="24"/>
              </w:rPr>
              <w:t>时间</w:t>
            </w:r>
          </w:p>
        </w:tc>
        <w:tc>
          <w:tcPr>
            <w:tcW w:w="3915" w:type="pct"/>
          </w:tcPr>
          <w:p w14:paraId="73020904" w14:textId="73D9DD56" w:rsidR="00472422" w:rsidRPr="006C199E" w:rsidRDefault="006B63DA" w:rsidP="00764D30">
            <w:pPr>
              <w:spacing w:line="360" w:lineRule="auto"/>
              <w:rPr>
                <w:sz w:val="24"/>
                <w:szCs w:val="24"/>
              </w:rPr>
            </w:pPr>
            <w:r w:rsidRPr="007B0D34">
              <w:rPr>
                <w:rFonts w:hint="eastAsia"/>
                <w:sz w:val="24"/>
                <w:szCs w:val="24"/>
              </w:rPr>
              <w:t>2</w:t>
            </w:r>
            <w:r w:rsidRPr="007B0D34">
              <w:rPr>
                <w:sz w:val="24"/>
                <w:szCs w:val="24"/>
              </w:rPr>
              <w:t>02</w:t>
            </w:r>
            <w:r>
              <w:rPr>
                <w:sz w:val="24"/>
                <w:szCs w:val="24"/>
              </w:rPr>
              <w:t>4</w:t>
            </w:r>
            <w:r w:rsidR="00343A5D" w:rsidRPr="007B0D34">
              <w:rPr>
                <w:rFonts w:hint="eastAsia"/>
                <w:sz w:val="24"/>
                <w:szCs w:val="24"/>
              </w:rPr>
              <w:t>年</w:t>
            </w:r>
            <w:r w:rsidR="00FD4E21">
              <w:rPr>
                <w:rFonts w:hint="eastAsia"/>
                <w:sz w:val="24"/>
                <w:szCs w:val="24"/>
              </w:rPr>
              <w:t>1</w:t>
            </w:r>
            <w:r w:rsidR="00B6773F">
              <w:rPr>
                <w:rFonts w:hint="eastAsia"/>
                <w:sz w:val="24"/>
                <w:szCs w:val="24"/>
              </w:rPr>
              <w:t>2</w:t>
            </w:r>
            <w:r w:rsidR="00124B3C">
              <w:rPr>
                <w:sz w:val="24"/>
                <w:szCs w:val="24"/>
              </w:rPr>
              <w:t>月</w:t>
            </w:r>
            <w:r w:rsidR="00550E05">
              <w:rPr>
                <w:rFonts w:hint="eastAsia"/>
                <w:sz w:val="24"/>
                <w:szCs w:val="24"/>
              </w:rPr>
              <w:t>31</w:t>
            </w:r>
            <w:r w:rsidR="00DB1BA8">
              <w:rPr>
                <w:rFonts w:hint="eastAsia"/>
                <w:sz w:val="24"/>
                <w:szCs w:val="24"/>
              </w:rPr>
              <w:t>日</w:t>
            </w:r>
          </w:p>
        </w:tc>
      </w:tr>
      <w:tr w:rsidR="00472422" w14:paraId="1038F154" w14:textId="77777777" w:rsidTr="00764D30">
        <w:tc>
          <w:tcPr>
            <w:tcW w:w="1085" w:type="pct"/>
            <w:vAlign w:val="center"/>
          </w:tcPr>
          <w:p w14:paraId="752DA5AE" w14:textId="55BBCFD8" w:rsidR="00472422" w:rsidRPr="00764D30" w:rsidRDefault="00105034" w:rsidP="00764D30">
            <w:pPr>
              <w:rPr>
                <w:b/>
                <w:bCs/>
                <w:sz w:val="24"/>
                <w:szCs w:val="24"/>
              </w:rPr>
            </w:pPr>
            <w:r>
              <w:rPr>
                <w:rFonts w:hint="eastAsia"/>
                <w:b/>
                <w:bCs/>
                <w:sz w:val="24"/>
                <w:szCs w:val="24"/>
              </w:rPr>
              <w:t>会议</w:t>
            </w:r>
            <w:r w:rsidR="00764D30" w:rsidRPr="00764D30">
              <w:rPr>
                <w:rFonts w:hint="eastAsia"/>
                <w:b/>
                <w:bCs/>
                <w:sz w:val="24"/>
                <w:szCs w:val="24"/>
              </w:rPr>
              <w:t>地点</w:t>
            </w:r>
          </w:p>
        </w:tc>
        <w:tc>
          <w:tcPr>
            <w:tcW w:w="3915" w:type="pct"/>
          </w:tcPr>
          <w:p w14:paraId="7339ECA8" w14:textId="1480E675" w:rsidR="00472422" w:rsidRPr="007B0D34" w:rsidRDefault="009968E3" w:rsidP="00764D30">
            <w:pPr>
              <w:spacing w:line="360" w:lineRule="auto"/>
              <w:rPr>
                <w:sz w:val="24"/>
                <w:szCs w:val="24"/>
              </w:rPr>
            </w:pPr>
            <w:r w:rsidRPr="00A854DE">
              <w:rPr>
                <w:rFonts w:hint="eastAsia"/>
                <w:sz w:val="24"/>
                <w:szCs w:val="24"/>
              </w:rPr>
              <w:t>价值在线（</w:t>
            </w:r>
            <w:r w:rsidRPr="00A854DE">
              <w:rPr>
                <w:rFonts w:hint="eastAsia"/>
                <w:sz w:val="24"/>
                <w:szCs w:val="24"/>
              </w:rPr>
              <w:t>www.ir-online.cn</w:t>
            </w:r>
            <w:r w:rsidRPr="00A854DE">
              <w:rPr>
                <w:rFonts w:hint="eastAsia"/>
                <w:sz w:val="24"/>
                <w:szCs w:val="24"/>
              </w:rPr>
              <w:t>）</w:t>
            </w:r>
          </w:p>
        </w:tc>
      </w:tr>
      <w:tr w:rsidR="00764D30" w14:paraId="53B220CE" w14:textId="77777777" w:rsidTr="00CC4A48">
        <w:tc>
          <w:tcPr>
            <w:tcW w:w="1085" w:type="pct"/>
            <w:vAlign w:val="center"/>
          </w:tcPr>
          <w:p w14:paraId="3FD3E51A" w14:textId="476324F9" w:rsidR="00764D30" w:rsidRPr="00764D30" w:rsidRDefault="00764D30" w:rsidP="009A23F4">
            <w:pPr>
              <w:rPr>
                <w:b/>
                <w:bCs/>
                <w:sz w:val="24"/>
                <w:szCs w:val="24"/>
              </w:rPr>
            </w:pPr>
            <w:r w:rsidRPr="00764D30">
              <w:rPr>
                <w:rFonts w:hint="eastAsia"/>
                <w:b/>
                <w:bCs/>
                <w:sz w:val="24"/>
                <w:szCs w:val="24"/>
              </w:rPr>
              <w:t>上市公司接待人员姓名</w:t>
            </w:r>
          </w:p>
        </w:tc>
        <w:tc>
          <w:tcPr>
            <w:tcW w:w="3915" w:type="pct"/>
            <w:vAlign w:val="center"/>
          </w:tcPr>
          <w:p w14:paraId="3F08E7D1" w14:textId="10B04CFE" w:rsidR="00FE3257" w:rsidRPr="002C3654" w:rsidRDefault="00CC4A48" w:rsidP="00CC4A48">
            <w:pPr>
              <w:spacing w:line="360" w:lineRule="auto"/>
              <w:rPr>
                <w:sz w:val="24"/>
                <w:szCs w:val="24"/>
              </w:rPr>
            </w:pPr>
            <w:r>
              <w:rPr>
                <w:rFonts w:hint="eastAsia"/>
                <w:sz w:val="24"/>
                <w:szCs w:val="24"/>
              </w:rPr>
              <w:t>证券事务代表</w:t>
            </w:r>
            <w:r w:rsidR="006B63DA">
              <w:rPr>
                <w:rFonts w:hint="eastAsia"/>
                <w:sz w:val="24"/>
                <w:szCs w:val="24"/>
              </w:rPr>
              <w:t>：</w:t>
            </w:r>
            <w:r>
              <w:rPr>
                <w:rFonts w:hint="eastAsia"/>
                <w:sz w:val="24"/>
                <w:szCs w:val="24"/>
              </w:rPr>
              <w:t>高冰</w:t>
            </w:r>
          </w:p>
        </w:tc>
      </w:tr>
      <w:tr w:rsidR="00764D30" w:rsidRPr="00093BDE" w14:paraId="32F867D0" w14:textId="77777777" w:rsidTr="009A23F4">
        <w:tc>
          <w:tcPr>
            <w:tcW w:w="1085" w:type="pct"/>
            <w:vAlign w:val="center"/>
          </w:tcPr>
          <w:p w14:paraId="47EEC8AC" w14:textId="12C3A4A5" w:rsidR="00764D30" w:rsidRPr="00764D30" w:rsidRDefault="00764D30" w:rsidP="009A23F4">
            <w:pPr>
              <w:rPr>
                <w:b/>
                <w:bCs/>
                <w:sz w:val="24"/>
                <w:szCs w:val="24"/>
              </w:rPr>
            </w:pPr>
            <w:r w:rsidRPr="00764D30">
              <w:rPr>
                <w:rFonts w:hint="eastAsia"/>
                <w:b/>
                <w:bCs/>
                <w:sz w:val="24"/>
                <w:szCs w:val="24"/>
              </w:rPr>
              <w:t>投资者关系活动主要内容介绍</w:t>
            </w:r>
          </w:p>
        </w:tc>
        <w:tc>
          <w:tcPr>
            <w:tcW w:w="3915" w:type="pct"/>
          </w:tcPr>
          <w:p w14:paraId="2814606E" w14:textId="6EA1F590" w:rsidR="00550E05" w:rsidRDefault="00550E05" w:rsidP="00550E05">
            <w:pPr>
              <w:spacing w:line="360" w:lineRule="auto"/>
              <w:rPr>
                <w:sz w:val="24"/>
                <w:szCs w:val="24"/>
              </w:rPr>
            </w:pPr>
            <w:r>
              <w:rPr>
                <w:rFonts w:hint="eastAsia"/>
                <w:sz w:val="24"/>
                <w:szCs w:val="24"/>
              </w:rPr>
              <w:t>1</w:t>
            </w:r>
            <w:r w:rsidRPr="00550E05">
              <w:rPr>
                <w:rFonts w:hint="eastAsia"/>
                <w:sz w:val="24"/>
                <w:szCs w:val="24"/>
              </w:rPr>
              <w:t>.</w:t>
            </w:r>
            <w:r w:rsidRPr="00550E05">
              <w:rPr>
                <w:rFonts w:hint="eastAsia"/>
                <w:sz w:val="24"/>
                <w:szCs w:val="24"/>
              </w:rPr>
              <w:t>公司研发服务及解决方案业务的增长驱动和未来方向如何？</w:t>
            </w:r>
          </w:p>
          <w:p w14:paraId="6C074DB5" w14:textId="223A0D13" w:rsidR="00550E05" w:rsidRDefault="00550E05" w:rsidP="00550E05">
            <w:pPr>
              <w:spacing w:line="360" w:lineRule="auto"/>
              <w:rPr>
                <w:sz w:val="24"/>
                <w:szCs w:val="24"/>
              </w:rPr>
            </w:pPr>
            <w:r w:rsidRPr="00550E05">
              <w:rPr>
                <w:rFonts w:hint="eastAsia"/>
                <w:sz w:val="24"/>
                <w:szCs w:val="24"/>
              </w:rPr>
              <w:t>答：公司对研发服务的增长比较有信心。在上一个经营周期内，研发服务发生了一些变化：</w:t>
            </w:r>
          </w:p>
          <w:p w14:paraId="39E4D1F4" w14:textId="77777777" w:rsidR="00550E05" w:rsidRDefault="00550E05" w:rsidP="00550E05">
            <w:pPr>
              <w:spacing w:line="360" w:lineRule="auto"/>
              <w:rPr>
                <w:sz w:val="24"/>
                <w:szCs w:val="24"/>
              </w:rPr>
            </w:pPr>
            <w:r w:rsidRPr="00550E05">
              <w:rPr>
                <w:rFonts w:hint="eastAsia"/>
                <w:sz w:val="24"/>
                <w:szCs w:val="24"/>
              </w:rPr>
              <w:t>（</w:t>
            </w:r>
            <w:r w:rsidRPr="00550E05">
              <w:rPr>
                <w:rFonts w:hint="eastAsia"/>
                <w:sz w:val="24"/>
                <w:szCs w:val="24"/>
              </w:rPr>
              <w:t>1</w:t>
            </w:r>
            <w:r w:rsidRPr="00550E05">
              <w:rPr>
                <w:rFonts w:hint="eastAsia"/>
                <w:sz w:val="24"/>
                <w:szCs w:val="24"/>
              </w:rPr>
              <w:t>）国内当前对自主工具和自主设备的接受程度较以往更高，公司目前也在与部分头部整车厂洽谈国产研发工具链的导入，因此公司研发服务中轻资产的软件以及工具的收入占比会进一步提升，预计明年销量会有明显的增量；</w:t>
            </w:r>
          </w:p>
          <w:p w14:paraId="02BE4186" w14:textId="15C8229E" w:rsidR="00B75D91" w:rsidRDefault="00550E05" w:rsidP="00550E05">
            <w:pPr>
              <w:spacing w:line="360" w:lineRule="auto"/>
              <w:rPr>
                <w:sz w:val="24"/>
                <w:szCs w:val="24"/>
              </w:rPr>
            </w:pPr>
            <w:r w:rsidRPr="00550E05">
              <w:rPr>
                <w:rFonts w:hint="eastAsia"/>
                <w:sz w:val="24"/>
                <w:szCs w:val="24"/>
              </w:rPr>
              <w:t>（</w:t>
            </w:r>
            <w:r w:rsidRPr="00550E05">
              <w:rPr>
                <w:rFonts w:hint="eastAsia"/>
                <w:sz w:val="24"/>
                <w:szCs w:val="24"/>
              </w:rPr>
              <w:t>2</w:t>
            </w:r>
            <w:r w:rsidRPr="00550E05">
              <w:rPr>
                <w:rFonts w:hint="eastAsia"/>
                <w:sz w:val="24"/>
                <w:szCs w:val="24"/>
              </w:rPr>
              <w:t>）当前的全球化竞争状态下，许多国外的</w:t>
            </w:r>
            <w:r w:rsidRPr="00550E05">
              <w:rPr>
                <w:rFonts w:hint="eastAsia"/>
                <w:sz w:val="24"/>
                <w:szCs w:val="24"/>
              </w:rPr>
              <w:t>OEM</w:t>
            </w:r>
            <w:r w:rsidRPr="00550E05">
              <w:rPr>
                <w:rFonts w:hint="eastAsia"/>
                <w:sz w:val="24"/>
                <w:szCs w:val="24"/>
              </w:rPr>
              <w:t>除了会关注</w:t>
            </w:r>
            <w:proofErr w:type="gramStart"/>
            <w:r w:rsidRPr="00550E05">
              <w:rPr>
                <w:rFonts w:hint="eastAsia"/>
                <w:sz w:val="24"/>
                <w:szCs w:val="24"/>
              </w:rPr>
              <w:t>国内整</w:t>
            </w:r>
            <w:proofErr w:type="gramEnd"/>
            <w:r w:rsidRPr="00550E05">
              <w:rPr>
                <w:rFonts w:hint="eastAsia"/>
                <w:sz w:val="24"/>
                <w:szCs w:val="24"/>
              </w:rPr>
              <w:t>车厂的技术，也会对国内的咨询服务商和供应链有所关注。公司目前也在与国外的部分厂商进行交流，交流范围涵盖电子电气架构、网络开发、嵌入式软件、测试设备、研</w:t>
            </w:r>
            <w:r w:rsidRPr="00550E05">
              <w:rPr>
                <w:rFonts w:hint="eastAsia"/>
                <w:sz w:val="24"/>
                <w:szCs w:val="24"/>
              </w:rPr>
              <w:lastRenderedPageBreak/>
              <w:t>发工具等多个方面，因此公司目前海外客户的需求和预计订单也会有一定增量。整体上轻资产的咨询和软件业务比重会进一步提升。</w:t>
            </w:r>
          </w:p>
          <w:p w14:paraId="7CF8AB05" w14:textId="77777777" w:rsidR="00550E05" w:rsidRPr="002C3654" w:rsidRDefault="00550E05" w:rsidP="00550E05">
            <w:pPr>
              <w:spacing w:line="360" w:lineRule="auto"/>
              <w:rPr>
                <w:rFonts w:hint="eastAsia"/>
                <w:sz w:val="24"/>
                <w:szCs w:val="24"/>
              </w:rPr>
            </w:pPr>
          </w:p>
          <w:p w14:paraId="4161496D" w14:textId="77777777" w:rsidR="00006550" w:rsidRDefault="00DE0042" w:rsidP="00006550">
            <w:pPr>
              <w:spacing w:line="360" w:lineRule="auto"/>
              <w:rPr>
                <w:sz w:val="24"/>
                <w:szCs w:val="24"/>
              </w:rPr>
            </w:pPr>
            <w:r>
              <w:rPr>
                <w:rFonts w:hint="eastAsia"/>
                <w:sz w:val="24"/>
                <w:szCs w:val="24"/>
              </w:rPr>
              <w:t>2.</w:t>
            </w:r>
            <w:r w:rsidR="00006550" w:rsidRPr="00006550">
              <w:rPr>
                <w:rFonts w:hint="eastAsia"/>
                <w:sz w:val="24"/>
                <w:szCs w:val="24"/>
              </w:rPr>
              <w:t>公司汽车电子产品业务明年的主要增长点有哪些？</w:t>
            </w:r>
          </w:p>
          <w:p w14:paraId="225AF657" w14:textId="70BDEE06" w:rsidR="00006550" w:rsidRPr="00006550" w:rsidRDefault="00006550" w:rsidP="00006550">
            <w:pPr>
              <w:spacing w:line="360" w:lineRule="auto"/>
              <w:rPr>
                <w:rFonts w:hint="eastAsia"/>
                <w:sz w:val="24"/>
                <w:szCs w:val="24"/>
              </w:rPr>
            </w:pPr>
            <w:r w:rsidRPr="00006550">
              <w:rPr>
                <w:rFonts w:hint="eastAsia"/>
                <w:sz w:val="24"/>
                <w:szCs w:val="24"/>
              </w:rPr>
              <w:t>答：（</w:t>
            </w:r>
            <w:r w:rsidRPr="00006550">
              <w:rPr>
                <w:rFonts w:hint="eastAsia"/>
                <w:sz w:val="24"/>
                <w:szCs w:val="24"/>
              </w:rPr>
              <w:t>1</w:t>
            </w:r>
            <w:r w:rsidRPr="00006550">
              <w:rPr>
                <w:rFonts w:hint="eastAsia"/>
                <w:sz w:val="24"/>
                <w:szCs w:val="24"/>
              </w:rPr>
              <w:t>）车身和舒适域方面，物理区域控制器</w:t>
            </w:r>
            <w:r w:rsidRPr="00006550">
              <w:rPr>
                <w:rFonts w:hint="eastAsia"/>
                <w:sz w:val="24"/>
                <w:szCs w:val="24"/>
              </w:rPr>
              <w:t>ZCU</w:t>
            </w:r>
            <w:r w:rsidRPr="00006550">
              <w:rPr>
                <w:rFonts w:hint="eastAsia"/>
                <w:sz w:val="24"/>
                <w:szCs w:val="24"/>
              </w:rPr>
              <w:t>产品除已量</w:t>
            </w:r>
            <w:proofErr w:type="gramStart"/>
            <w:r w:rsidRPr="00006550">
              <w:rPr>
                <w:rFonts w:hint="eastAsia"/>
                <w:sz w:val="24"/>
                <w:szCs w:val="24"/>
              </w:rPr>
              <w:t>产配套</w:t>
            </w:r>
            <w:proofErr w:type="gramEnd"/>
            <w:r w:rsidRPr="00006550">
              <w:rPr>
                <w:rFonts w:hint="eastAsia"/>
                <w:sz w:val="24"/>
                <w:szCs w:val="24"/>
              </w:rPr>
              <w:t>小米外，新获得其他客户多个车型项目定点，预计</w:t>
            </w:r>
            <w:proofErr w:type="gramStart"/>
            <w:r w:rsidRPr="00006550">
              <w:rPr>
                <w:rFonts w:hint="eastAsia"/>
                <w:sz w:val="24"/>
                <w:szCs w:val="24"/>
              </w:rPr>
              <w:t>明年量</w:t>
            </w:r>
            <w:proofErr w:type="gramEnd"/>
            <w:r w:rsidRPr="00006550">
              <w:rPr>
                <w:rFonts w:hint="eastAsia"/>
                <w:sz w:val="24"/>
                <w:szCs w:val="24"/>
              </w:rPr>
              <w:t>产；中央计算平台</w:t>
            </w:r>
            <w:r w:rsidRPr="00006550">
              <w:rPr>
                <w:rFonts w:hint="eastAsia"/>
                <w:sz w:val="24"/>
                <w:szCs w:val="24"/>
              </w:rPr>
              <w:t>CCP</w:t>
            </w:r>
            <w:r w:rsidRPr="00006550">
              <w:rPr>
                <w:rFonts w:hint="eastAsia"/>
                <w:sz w:val="24"/>
                <w:szCs w:val="24"/>
              </w:rPr>
              <w:t>产品于本年中开始量</w:t>
            </w:r>
            <w:proofErr w:type="gramStart"/>
            <w:r w:rsidRPr="00006550">
              <w:rPr>
                <w:rFonts w:hint="eastAsia"/>
                <w:sz w:val="24"/>
                <w:szCs w:val="24"/>
              </w:rPr>
              <w:t>产配套</w:t>
            </w:r>
            <w:proofErr w:type="gramEnd"/>
            <w:r w:rsidRPr="00006550">
              <w:rPr>
                <w:rFonts w:hint="eastAsia"/>
                <w:sz w:val="24"/>
                <w:szCs w:val="24"/>
              </w:rPr>
              <w:t>小鹏</w:t>
            </w:r>
            <w:r w:rsidRPr="00006550">
              <w:rPr>
                <w:rFonts w:hint="eastAsia"/>
                <w:sz w:val="24"/>
                <w:szCs w:val="24"/>
              </w:rPr>
              <w:t>MONA</w:t>
            </w:r>
            <w:r w:rsidRPr="00006550">
              <w:rPr>
                <w:rFonts w:hint="eastAsia"/>
                <w:sz w:val="24"/>
                <w:szCs w:val="24"/>
              </w:rPr>
              <w:t>，预计明年有明显增量；同时，公司分布式的控制器也获得了较多新的客户车型项目定点，预计明年陆续起量。</w:t>
            </w:r>
          </w:p>
          <w:p w14:paraId="04282A00" w14:textId="7AC4B30B" w:rsidR="00006550" w:rsidRDefault="00006550" w:rsidP="00006550">
            <w:pPr>
              <w:spacing w:line="360" w:lineRule="auto"/>
              <w:rPr>
                <w:sz w:val="24"/>
                <w:szCs w:val="24"/>
              </w:rPr>
            </w:pPr>
            <w:r w:rsidRPr="00006550">
              <w:rPr>
                <w:rFonts w:hint="eastAsia"/>
                <w:sz w:val="24"/>
                <w:szCs w:val="24"/>
              </w:rPr>
              <w:t>（</w:t>
            </w:r>
            <w:r w:rsidRPr="00006550">
              <w:rPr>
                <w:rFonts w:hint="eastAsia"/>
                <w:sz w:val="24"/>
                <w:szCs w:val="24"/>
              </w:rPr>
              <w:t>2</w:t>
            </w:r>
            <w:r w:rsidRPr="00006550">
              <w:rPr>
                <w:rFonts w:hint="eastAsia"/>
                <w:sz w:val="24"/>
                <w:szCs w:val="24"/>
              </w:rPr>
              <w:t>）智能驾驶电子产品方面，</w:t>
            </w:r>
            <w:r w:rsidRPr="00006550">
              <w:rPr>
                <w:rFonts w:hint="eastAsia"/>
                <w:sz w:val="24"/>
                <w:szCs w:val="24"/>
              </w:rPr>
              <w:t>EyeQ6L</w:t>
            </w:r>
            <w:r w:rsidRPr="00006550">
              <w:rPr>
                <w:rFonts w:hint="eastAsia"/>
                <w:sz w:val="24"/>
                <w:szCs w:val="24"/>
              </w:rPr>
              <w:t>方案的前向八百万一体机会陆续上量，同时，公司基于</w:t>
            </w:r>
            <w:r w:rsidR="008B201E">
              <w:rPr>
                <w:rFonts w:hint="eastAsia"/>
                <w:sz w:val="24"/>
                <w:szCs w:val="24"/>
              </w:rPr>
              <w:t>辉</w:t>
            </w:r>
            <w:proofErr w:type="gramStart"/>
            <w:r w:rsidR="008B201E">
              <w:rPr>
                <w:rFonts w:hint="eastAsia"/>
                <w:sz w:val="24"/>
                <w:szCs w:val="24"/>
              </w:rPr>
              <w:t>羲</w:t>
            </w:r>
            <w:proofErr w:type="gramEnd"/>
            <w:r w:rsidRPr="00006550">
              <w:rPr>
                <w:rFonts w:hint="eastAsia"/>
                <w:sz w:val="24"/>
                <w:szCs w:val="24"/>
              </w:rPr>
              <w:t>500T</w:t>
            </w:r>
            <w:r w:rsidRPr="00006550">
              <w:rPr>
                <w:rFonts w:hint="eastAsia"/>
                <w:sz w:val="24"/>
                <w:szCs w:val="24"/>
              </w:rPr>
              <w:t>芯片开发的城市</w:t>
            </w:r>
            <w:r w:rsidRPr="00006550">
              <w:rPr>
                <w:rFonts w:hint="eastAsia"/>
                <w:sz w:val="24"/>
                <w:szCs w:val="24"/>
              </w:rPr>
              <w:t>NOA</w:t>
            </w:r>
            <w:r w:rsidRPr="00006550">
              <w:rPr>
                <w:rFonts w:hint="eastAsia"/>
                <w:sz w:val="24"/>
                <w:szCs w:val="24"/>
              </w:rPr>
              <w:t>项目预计</w:t>
            </w:r>
            <w:proofErr w:type="gramStart"/>
            <w:r w:rsidRPr="00006550">
              <w:rPr>
                <w:rFonts w:hint="eastAsia"/>
                <w:sz w:val="24"/>
                <w:szCs w:val="24"/>
              </w:rPr>
              <w:t>明年量</w:t>
            </w:r>
            <w:proofErr w:type="gramEnd"/>
            <w:r w:rsidRPr="00006550">
              <w:rPr>
                <w:rFonts w:hint="eastAsia"/>
                <w:sz w:val="24"/>
                <w:szCs w:val="24"/>
              </w:rPr>
              <w:t>产落地。</w:t>
            </w:r>
          </w:p>
          <w:p w14:paraId="2D994C8D" w14:textId="77777777" w:rsidR="00006550" w:rsidRDefault="00006550" w:rsidP="00006550">
            <w:pPr>
              <w:spacing w:line="360" w:lineRule="auto"/>
              <w:rPr>
                <w:sz w:val="24"/>
                <w:szCs w:val="24"/>
              </w:rPr>
            </w:pPr>
            <w:r w:rsidRPr="00006550">
              <w:rPr>
                <w:rFonts w:hint="eastAsia"/>
                <w:sz w:val="24"/>
                <w:szCs w:val="24"/>
              </w:rPr>
              <w:t>（</w:t>
            </w:r>
            <w:r w:rsidRPr="00006550">
              <w:rPr>
                <w:rFonts w:hint="eastAsia"/>
                <w:sz w:val="24"/>
                <w:szCs w:val="24"/>
              </w:rPr>
              <w:t>3</w:t>
            </w:r>
            <w:r w:rsidRPr="00006550">
              <w:rPr>
                <w:rFonts w:hint="eastAsia"/>
                <w:sz w:val="24"/>
                <w:szCs w:val="24"/>
              </w:rPr>
              <w:t>）底盘方面，公司底盘域控制器本年新增配套多个车型项目，预计明年陆续起量。</w:t>
            </w:r>
          </w:p>
          <w:p w14:paraId="3DB957D8" w14:textId="77777777" w:rsidR="00006550" w:rsidRDefault="00006550" w:rsidP="00006550">
            <w:pPr>
              <w:spacing w:line="360" w:lineRule="auto"/>
              <w:rPr>
                <w:sz w:val="24"/>
                <w:szCs w:val="24"/>
              </w:rPr>
            </w:pPr>
            <w:r w:rsidRPr="00006550">
              <w:rPr>
                <w:rFonts w:hint="eastAsia"/>
                <w:sz w:val="24"/>
                <w:szCs w:val="24"/>
              </w:rPr>
              <w:t>（</w:t>
            </w:r>
            <w:r w:rsidRPr="00006550">
              <w:rPr>
                <w:rFonts w:hint="eastAsia"/>
                <w:sz w:val="24"/>
                <w:szCs w:val="24"/>
              </w:rPr>
              <w:t>4</w:t>
            </w:r>
            <w:r w:rsidRPr="00006550">
              <w:rPr>
                <w:rFonts w:hint="eastAsia"/>
                <w:sz w:val="24"/>
                <w:szCs w:val="24"/>
              </w:rPr>
              <w:t>）新能源和动力系统方面，</w:t>
            </w:r>
            <w:r w:rsidRPr="00006550">
              <w:rPr>
                <w:rFonts w:hint="eastAsia"/>
                <w:sz w:val="24"/>
                <w:szCs w:val="24"/>
              </w:rPr>
              <w:t>BMS</w:t>
            </w:r>
            <w:r w:rsidRPr="00006550">
              <w:rPr>
                <w:rFonts w:hint="eastAsia"/>
                <w:sz w:val="24"/>
                <w:szCs w:val="24"/>
              </w:rPr>
              <w:t>、多合一等产品将陆续起量，此外公司之前定点的</w:t>
            </w:r>
            <w:proofErr w:type="spellStart"/>
            <w:r w:rsidRPr="00006550">
              <w:rPr>
                <w:rFonts w:hint="eastAsia"/>
                <w:sz w:val="24"/>
                <w:szCs w:val="24"/>
              </w:rPr>
              <w:t>Stellantis</w:t>
            </w:r>
            <w:proofErr w:type="spellEnd"/>
            <w:r w:rsidRPr="00006550">
              <w:rPr>
                <w:rFonts w:hint="eastAsia"/>
                <w:sz w:val="24"/>
                <w:szCs w:val="24"/>
              </w:rPr>
              <w:t>的</w:t>
            </w:r>
            <w:r w:rsidRPr="00006550">
              <w:rPr>
                <w:rFonts w:hint="eastAsia"/>
                <w:sz w:val="24"/>
                <w:szCs w:val="24"/>
              </w:rPr>
              <w:t>VCU</w:t>
            </w:r>
            <w:r w:rsidRPr="00006550">
              <w:rPr>
                <w:rFonts w:hint="eastAsia"/>
                <w:sz w:val="24"/>
                <w:szCs w:val="24"/>
              </w:rPr>
              <w:t>产品明年也会陆续起量。</w:t>
            </w:r>
          </w:p>
          <w:p w14:paraId="039088E4" w14:textId="77777777" w:rsidR="00006550" w:rsidRDefault="00006550" w:rsidP="00006550">
            <w:pPr>
              <w:spacing w:line="360" w:lineRule="auto"/>
              <w:rPr>
                <w:sz w:val="24"/>
                <w:szCs w:val="24"/>
              </w:rPr>
            </w:pPr>
            <w:r w:rsidRPr="00006550">
              <w:rPr>
                <w:rFonts w:hint="eastAsia"/>
                <w:sz w:val="24"/>
                <w:szCs w:val="24"/>
              </w:rPr>
              <w:t>（</w:t>
            </w:r>
            <w:r w:rsidRPr="00006550">
              <w:rPr>
                <w:rFonts w:hint="eastAsia"/>
                <w:sz w:val="24"/>
                <w:szCs w:val="24"/>
              </w:rPr>
              <w:t>5</w:t>
            </w:r>
            <w:r w:rsidRPr="00006550">
              <w:rPr>
                <w:rFonts w:hint="eastAsia"/>
                <w:sz w:val="24"/>
                <w:szCs w:val="24"/>
              </w:rPr>
              <w:t>）智能网联方面，</w:t>
            </w:r>
            <w:r w:rsidRPr="00006550">
              <w:rPr>
                <w:rFonts w:hint="eastAsia"/>
                <w:sz w:val="24"/>
                <w:szCs w:val="24"/>
              </w:rPr>
              <w:t>5G T-BOX</w:t>
            </w:r>
            <w:r w:rsidRPr="00006550">
              <w:rPr>
                <w:rFonts w:hint="eastAsia"/>
                <w:sz w:val="24"/>
                <w:szCs w:val="24"/>
              </w:rPr>
              <w:t>出货量持续增加，同时公司获得多个海外车型项目的</w:t>
            </w:r>
            <w:r w:rsidRPr="00006550">
              <w:rPr>
                <w:rFonts w:hint="eastAsia"/>
                <w:sz w:val="24"/>
                <w:szCs w:val="24"/>
              </w:rPr>
              <w:t>T-BOX</w:t>
            </w:r>
            <w:r w:rsidRPr="00006550">
              <w:rPr>
                <w:rFonts w:hint="eastAsia"/>
                <w:sz w:val="24"/>
                <w:szCs w:val="24"/>
              </w:rPr>
              <w:t>定点。</w:t>
            </w:r>
          </w:p>
          <w:p w14:paraId="3C11F9D6" w14:textId="66346842" w:rsidR="00905164" w:rsidRDefault="00006550" w:rsidP="00006550">
            <w:pPr>
              <w:spacing w:line="360" w:lineRule="auto"/>
              <w:rPr>
                <w:sz w:val="24"/>
                <w:szCs w:val="24"/>
              </w:rPr>
            </w:pPr>
            <w:r w:rsidRPr="00006550">
              <w:rPr>
                <w:rFonts w:hint="eastAsia"/>
                <w:sz w:val="24"/>
                <w:szCs w:val="24"/>
              </w:rPr>
              <w:t>（</w:t>
            </w:r>
            <w:r w:rsidRPr="00006550">
              <w:rPr>
                <w:rFonts w:hint="eastAsia"/>
                <w:sz w:val="24"/>
                <w:szCs w:val="24"/>
              </w:rPr>
              <w:t>6</w:t>
            </w:r>
            <w:r w:rsidRPr="00006550">
              <w:rPr>
                <w:rFonts w:hint="eastAsia"/>
                <w:sz w:val="24"/>
                <w:szCs w:val="24"/>
              </w:rPr>
              <w:t>）智能座舱方面，</w:t>
            </w:r>
            <w:r w:rsidRPr="00006550">
              <w:rPr>
                <w:rFonts w:hint="eastAsia"/>
                <w:sz w:val="24"/>
                <w:szCs w:val="24"/>
              </w:rPr>
              <w:t>HUD</w:t>
            </w:r>
            <w:r w:rsidRPr="00006550">
              <w:rPr>
                <w:rFonts w:hint="eastAsia"/>
                <w:sz w:val="24"/>
                <w:szCs w:val="24"/>
              </w:rPr>
              <w:t>本年量</w:t>
            </w:r>
            <w:proofErr w:type="gramStart"/>
            <w:r w:rsidRPr="00006550">
              <w:rPr>
                <w:rFonts w:hint="eastAsia"/>
                <w:sz w:val="24"/>
                <w:szCs w:val="24"/>
              </w:rPr>
              <w:t>产配套新</w:t>
            </w:r>
            <w:proofErr w:type="gramEnd"/>
            <w:r w:rsidRPr="00006550">
              <w:rPr>
                <w:rFonts w:hint="eastAsia"/>
                <w:sz w:val="24"/>
                <w:szCs w:val="24"/>
              </w:rPr>
              <w:t>车型项目，预计明年陆续起量，同时该产品获得新客户车型项目定点</w:t>
            </w:r>
            <w:r w:rsidR="00DE0042" w:rsidRPr="00DE0042">
              <w:rPr>
                <w:rFonts w:hint="eastAsia"/>
                <w:sz w:val="24"/>
                <w:szCs w:val="24"/>
              </w:rPr>
              <w:t>。</w:t>
            </w:r>
          </w:p>
          <w:p w14:paraId="58ECD43B" w14:textId="77777777" w:rsidR="00E15762" w:rsidRPr="00A460BF" w:rsidRDefault="00E15762" w:rsidP="00972BC9">
            <w:pPr>
              <w:spacing w:line="360" w:lineRule="auto"/>
              <w:rPr>
                <w:sz w:val="24"/>
                <w:szCs w:val="24"/>
              </w:rPr>
            </w:pPr>
          </w:p>
          <w:p w14:paraId="17F5B264" w14:textId="77777777" w:rsidR="00550E05" w:rsidRDefault="006976E4" w:rsidP="003B579B">
            <w:pPr>
              <w:spacing w:line="360" w:lineRule="auto"/>
              <w:rPr>
                <w:sz w:val="24"/>
                <w:szCs w:val="24"/>
              </w:rPr>
            </w:pPr>
            <w:r>
              <w:rPr>
                <w:rFonts w:hint="eastAsia"/>
                <w:sz w:val="24"/>
                <w:szCs w:val="24"/>
              </w:rPr>
              <w:t>3</w:t>
            </w:r>
            <w:r w:rsidR="00760E90">
              <w:rPr>
                <w:rFonts w:hint="eastAsia"/>
                <w:sz w:val="24"/>
                <w:szCs w:val="24"/>
              </w:rPr>
              <w:t>.</w:t>
            </w:r>
            <w:r w:rsidR="00550E05" w:rsidRPr="00550E05">
              <w:rPr>
                <w:rFonts w:hint="eastAsia"/>
                <w:sz w:val="24"/>
                <w:szCs w:val="24"/>
              </w:rPr>
              <w:t>公司在高级别智能驾驶整体解决方案业务方向的商业模式拓展计划及进展如何？</w:t>
            </w:r>
          </w:p>
          <w:p w14:paraId="16AE95A9" w14:textId="77777777" w:rsidR="00550E05" w:rsidRDefault="00550E05" w:rsidP="003B579B">
            <w:pPr>
              <w:spacing w:line="360" w:lineRule="auto"/>
              <w:rPr>
                <w:sz w:val="24"/>
                <w:szCs w:val="24"/>
              </w:rPr>
            </w:pPr>
            <w:r w:rsidRPr="00550E05">
              <w:rPr>
                <w:rFonts w:hint="eastAsia"/>
                <w:sz w:val="24"/>
                <w:szCs w:val="24"/>
              </w:rPr>
              <w:t>答：首先，公司会继续保持在港口场景的持续的业务投放。</w:t>
            </w:r>
          </w:p>
          <w:p w14:paraId="2C88142D" w14:textId="77777777" w:rsidR="00550E05" w:rsidRDefault="00550E05" w:rsidP="003B579B">
            <w:pPr>
              <w:spacing w:line="360" w:lineRule="auto"/>
              <w:rPr>
                <w:sz w:val="24"/>
                <w:szCs w:val="24"/>
              </w:rPr>
            </w:pPr>
            <w:r w:rsidRPr="00550E05">
              <w:rPr>
                <w:rFonts w:hint="eastAsia"/>
                <w:sz w:val="24"/>
                <w:szCs w:val="24"/>
              </w:rPr>
              <w:t>第二，在场景拓展方面，一个是围绕港口周边或者是城市货场的货运，公司在货运业务方面积累的时间较长，后续会推动其从封闭园区向开放道路拓展；另一个是公司目前也在基</w:t>
            </w:r>
            <w:r w:rsidRPr="00550E05">
              <w:rPr>
                <w:rFonts w:hint="eastAsia"/>
                <w:sz w:val="24"/>
                <w:szCs w:val="24"/>
              </w:rPr>
              <w:lastRenderedPageBreak/>
              <w:t>于国家的车路云的大背景，运用过去几年在港口积累的车路云的技术解决方案，在城市里面进行载人微公交的试运营，该项目为测试性质的项目。</w:t>
            </w:r>
          </w:p>
          <w:p w14:paraId="2E955C08" w14:textId="440FC868" w:rsidR="00EB35E5" w:rsidRPr="00760E90" w:rsidRDefault="00550E05" w:rsidP="003B579B">
            <w:pPr>
              <w:spacing w:line="360" w:lineRule="auto"/>
              <w:rPr>
                <w:sz w:val="24"/>
                <w:szCs w:val="24"/>
              </w:rPr>
            </w:pPr>
            <w:r w:rsidRPr="00550E05">
              <w:rPr>
                <w:rFonts w:hint="eastAsia"/>
                <w:sz w:val="24"/>
                <w:szCs w:val="24"/>
              </w:rPr>
              <w:t>第三，在技术层面，后续公司会将汽车电子产品业务中应用的类似于城市</w:t>
            </w:r>
            <w:r w:rsidRPr="00550E05">
              <w:rPr>
                <w:rFonts w:hint="eastAsia"/>
                <w:sz w:val="24"/>
                <w:szCs w:val="24"/>
              </w:rPr>
              <w:t>NOA</w:t>
            </w:r>
            <w:r w:rsidRPr="00550E05">
              <w:rPr>
                <w:rFonts w:hint="eastAsia"/>
                <w:sz w:val="24"/>
                <w:szCs w:val="24"/>
              </w:rPr>
              <w:t>的技术与较为完善的封闭园区的车路云技术进行二次的整合，从而进一步提升公司的技术体系与研发效率。</w:t>
            </w:r>
          </w:p>
        </w:tc>
      </w:tr>
    </w:tbl>
    <w:p w14:paraId="2EE411BA" w14:textId="77777777" w:rsidR="00D65459" w:rsidRPr="0095540F" w:rsidRDefault="00D65459"/>
    <w:sectPr w:rsidR="00D65459" w:rsidRPr="009554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784F7" w14:textId="77777777" w:rsidR="00D02F00" w:rsidRDefault="00D02F00" w:rsidP="006804F5">
      <w:r>
        <w:separator/>
      </w:r>
    </w:p>
  </w:endnote>
  <w:endnote w:type="continuationSeparator" w:id="0">
    <w:p w14:paraId="38107667" w14:textId="77777777" w:rsidR="00D02F00" w:rsidRDefault="00D02F00" w:rsidP="0068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11F22" w14:textId="77777777" w:rsidR="00D02F00" w:rsidRDefault="00D02F00" w:rsidP="006804F5">
      <w:r>
        <w:separator/>
      </w:r>
    </w:p>
  </w:footnote>
  <w:footnote w:type="continuationSeparator" w:id="0">
    <w:p w14:paraId="28E9F141" w14:textId="77777777" w:rsidR="00D02F00" w:rsidRDefault="00D02F00" w:rsidP="00680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5560"/>
    <w:multiLevelType w:val="hybridMultilevel"/>
    <w:tmpl w:val="ED7416DE"/>
    <w:lvl w:ilvl="0" w:tplc="B12A49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B4D3365"/>
    <w:multiLevelType w:val="hybridMultilevel"/>
    <w:tmpl w:val="25BC1F42"/>
    <w:lvl w:ilvl="0" w:tplc="427C096E">
      <w:start w:val="1"/>
      <w:numFmt w:val="decimal"/>
      <w:lvlText w:val="%1."/>
      <w:lvlJc w:val="left"/>
      <w:pPr>
        <w:ind w:left="290" w:hanging="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FD77CED"/>
    <w:multiLevelType w:val="hybridMultilevel"/>
    <w:tmpl w:val="5C92E414"/>
    <w:lvl w:ilvl="0" w:tplc="254EA71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CDC78B6"/>
    <w:multiLevelType w:val="hybridMultilevel"/>
    <w:tmpl w:val="B9D2313E"/>
    <w:lvl w:ilvl="0" w:tplc="C840B7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1165165">
    <w:abstractNumId w:val="1"/>
  </w:num>
  <w:num w:numId="2" w16cid:durableId="1990472382">
    <w:abstractNumId w:val="3"/>
  </w:num>
  <w:num w:numId="3" w16cid:durableId="532158852">
    <w:abstractNumId w:val="2"/>
  </w:num>
  <w:num w:numId="4" w16cid:durableId="187264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8A"/>
    <w:rsid w:val="000020AB"/>
    <w:rsid w:val="00003E07"/>
    <w:rsid w:val="00006550"/>
    <w:rsid w:val="000115ED"/>
    <w:rsid w:val="0001654A"/>
    <w:rsid w:val="000233C0"/>
    <w:rsid w:val="000267A1"/>
    <w:rsid w:val="0003184B"/>
    <w:rsid w:val="000340EE"/>
    <w:rsid w:val="00034B05"/>
    <w:rsid w:val="00037ACA"/>
    <w:rsid w:val="0004297E"/>
    <w:rsid w:val="00050A16"/>
    <w:rsid w:val="000622D5"/>
    <w:rsid w:val="00070603"/>
    <w:rsid w:val="00073FA0"/>
    <w:rsid w:val="00082534"/>
    <w:rsid w:val="00082BD2"/>
    <w:rsid w:val="00093BDE"/>
    <w:rsid w:val="000960D2"/>
    <w:rsid w:val="000966BF"/>
    <w:rsid w:val="00097FFA"/>
    <w:rsid w:val="000A77DB"/>
    <w:rsid w:val="000B0E9B"/>
    <w:rsid w:val="000B7205"/>
    <w:rsid w:val="000C298D"/>
    <w:rsid w:val="000C3C53"/>
    <w:rsid w:val="000C60D3"/>
    <w:rsid w:val="000C62D8"/>
    <w:rsid w:val="000D3AF8"/>
    <w:rsid w:val="000D756B"/>
    <w:rsid w:val="000E1939"/>
    <w:rsid w:val="000E2512"/>
    <w:rsid w:val="000F2F70"/>
    <w:rsid w:val="000F319B"/>
    <w:rsid w:val="000F3C11"/>
    <w:rsid w:val="000F57D4"/>
    <w:rsid w:val="00104B5F"/>
    <w:rsid w:val="00105034"/>
    <w:rsid w:val="00124B3C"/>
    <w:rsid w:val="001261E6"/>
    <w:rsid w:val="001324FF"/>
    <w:rsid w:val="00136A14"/>
    <w:rsid w:val="0016015F"/>
    <w:rsid w:val="00166CA7"/>
    <w:rsid w:val="00171883"/>
    <w:rsid w:val="0017678D"/>
    <w:rsid w:val="00177438"/>
    <w:rsid w:val="00183052"/>
    <w:rsid w:val="00183A8D"/>
    <w:rsid w:val="00185273"/>
    <w:rsid w:val="001908FE"/>
    <w:rsid w:val="001A2411"/>
    <w:rsid w:val="001A528C"/>
    <w:rsid w:val="001B1FBD"/>
    <w:rsid w:val="001B4470"/>
    <w:rsid w:val="001D6056"/>
    <w:rsid w:val="001E65BC"/>
    <w:rsid w:val="001E6E04"/>
    <w:rsid w:val="002031DF"/>
    <w:rsid w:val="00213F3C"/>
    <w:rsid w:val="002143D0"/>
    <w:rsid w:val="00215E37"/>
    <w:rsid w:val="00216D55"/>
    <w:rsid w:val="00226229"/>
    <w:rsid w:val="0023478A"/>
    <w:rsid w:val="00237506"/>
    <w:rsid w:val="00242049"/>
    <w:rsid w:val="00243371"/>
    <w:rsid w:val="00247F13"/>
    <w:rsid w:val="002528F4"/>
    <w:rsid w:val="00252D8C"/>
    <w:rsid w:val="00254F6C"/>
    <w:rsid w:val="00255C6F"/>
    <w:rsid w:val="00263D92"/>
    <w:rsid w:val="00264406"/>
    <w:rsid w:val="00267FF7"/>
    <w:rsid w:val="00275971"/>
    <w:rsid w:val="002813D7"/>
    <w:rsid w:val="00286CB3"/>
    <w:rsid w:val="00293A4D"/>
    <w:rsid w:val="002A3292"/>
    <w:rsid w:val="002B01C6"/>
    <w:rsid w:val="002B3697"/>
    <w:rsid w:val="002B7D10"/>
    <w:rsid w:val="002C3654"/>
    <w:rsid w:val="002D1612"/>
    <w:rsid w:val="002D4893"/>
    <w:rsid w:val="002E0E84"/>
    <w:rsid w:val="002E6039"/>
    <w:rsid w:val="002F63AE"/>
    <w:rsid w:val="0030214F"/>
    <w:rsid w:val="0030246B"/>
    <w:rsid w:val="00317CF0"/>
    <w:rsid w:val="003256A0"/>
    <w:rsid w:val="0033094F"/>
    <w:rsid w:val="00330D51"/>
    <w:rsid w:val="0033383C"/>
    <w:rsid w:val="003342A3"/>
    <w:rsid w:val="003349EA"/>
    <w:rsid w:val="00335266"/>
    <w:rsid w:val="00343A5D"/>
    <w:rsid w:val="00345D71"/>
    <w:rsid w:val="00347D59"/>
    <w:rsid w:val="003511BC"/>
    <w:rsid w:val="00355E52"/>
    <w:rsid w:val="00356029"/>
    <w:rsid w:val="003613B6"/>
    <w:rsid w:val="00382931"/>
    <w:rsid w:val="003929CE"/>
    <w:rsid w:val="00393E93"/>
    <w:rsid w:val="003A4008"/>
    <w:rsid w:val="003A6F33"/>
    <w:rsid w:val="003A7336"/>
    <w:rsid w:val="003B5321"/>
    <w:rsid w:val="003B5346"/>
    <w:rsid w:val="003B579B"/>
    <w:rsid w:val="003C3359"/>
    <w:rsid w:val="003D628D"/>
    <w:rsid w:val="003E3F3B"/>
    <w:rsid w:val="003E5780"/>
    <w:rsid w:val="003E78BB"/>
    <w:rsid w:val="003F3154"/>
    <w:rsid w:val="00410382"/>
    <w:rsid w:val="0044748F"/>
    <w:rsid w:val="00451BE4"/>
    <w:rsid w:val="00454B77"/>
    <w:rsid w:val="00455477"/>
    <w:rsid w:val="004671C0"/>
    <w:rsid w:val="0047228E"/>
    <w:rsid w:val="00472422"/>
    <w:rsid w:val="0048262A"/>
    <w:rsid w:val="004843EA"/>
    <w:rsid w:val="00485792"/>
    <w:rsid w:val="004922BD"/>
    <w:rsid w:val="004A0E9E"/>
    <w:rsid w:val="004A36FE"/>
    <w:rsid w:val="004A495F"/>
    <w:rsid w:val="004A6796"/>
    <w:rsid w:val="004B2CD6"/>
    <w:rsid w:val="004B671F"/>
    <w:rsid w:val="004C420D"/>
    <w:rsid w:val="004C4F0F"/>
    <w:rsid w:val="004C6C6B"/>
    <w:rsid w:val="004D0678"/>
    <w:rsid w:val="004F2B64"/>
    <w:rsid w:val="004F3876"/>
    <w:rsid w:val="004F539F"/>
    <w:rsid w:val="004F71D6"/>
    <w:rsid w:val="00504E33"/>
    <w:rsid w:val="0050700D"/>
    <w:rsid w:val="0050735A"/>
    <w:rsid w:val="005157ED"/>
    <w:rsid w:val="00521D9A"/>
    <w:rsid w:val="00523609"/>
    <w:rsid w:val="00534CD0"/>
    <w:rsid w:val="005367AC"/>
    <w:rsid w:val="005460B5"/>
    <w:rsid w:val="005503D6"/>
    <w:rsid w:val="00550E05"/>
    <w:rsid w:val="0055381F"/>
    <w:rsid w:val="00554655"/>
    <w:rsid w:val="0056260D"/>
    <w:rsid w:val="0057710E"/>
    <w:rsid w:val="005804B4"/>
    <w:rsid w:val="00582C56"/>
    <w:rsid w:val="00584CFF"/>
    <w:rsid w:val="00587073"/>
    <w:rsid w:val="005901B0"/>
    <w:rsid w:val="00591AF4"/>
    <w:rsid w:val="0059413B"/>
    <w:rsid w:val="005A0730"/>
    <w:rsid w:val="005A41E3"/>
    <w:rsid w:val="005D51F1"/>
    <w:rsid w:val="005E3426"/>
    <w:rsid w:val="005E6A3C"/>
    <w:rsid w:val="005F0A8D"/>
    <w:rsid w:val="005F2505"/>
    <w:rsid w:val="005F2987"/>
    <w:rsid w:val="005F49C1"/>
    <w:rsid w:val="0060494A"/>
    <w:rsid w:val="0061238F"/>
    <w:rsid w:val="00620E58"/>
    <w:rsid w:val="00626777"/>
    <w:rsid w:val="00630333"/>
    <w:rsid w:val="006410E5"/>
    <w:rsid w:val="00651E8B"/>
    <w:rsid w:val="006556E5"/>
    <w:rsid w:val="006804F5"/>
    <w:rsid w:val="006851D5"/>
    <w:rsid w:val="0068538C"/>
    <w:rsid w:val="0069133F"/>
    <w:rsid w:val="006913E0"/>
    <w:rsid w:val="006976E4"/>
    <w:rsid w:val="006A610E"/>
    <w:rsid w:val="006B63DA"/>
    <w:rsid w:val="006B739D"/>
    <w:rsid w:val="006C199E"/>
    <w:rsid w:val="006C23E5"/>
    <w:rsid w:val="006C63C8"/>
    <w:rsid w:val="006D237C"/>
    <w:rsid w:val="006E56E1"/>
    <w:rsid w:val="006E7871"/>
    <w:rsid w:val="00704A2F"/>
    <w:rsid w:val="00707268"/>
    <w:rsid w:val="00715D21"/>
    <w:rsid w:val="00724B7A"/>
    <w:rsid w:val="007411CA"/>
    <w:rsid w:val="00747E21"/>
    <w:rsid w:val="00755F04"/>
    <w:rsid w:val="00760E90"/>
    <w:rsid w:val="00762C10"/>
    <w:rsid w:val="00764D30"/>
    <w:rsid w:val="00785BF0"/>
    <w:rsid w:val="007A10D1"/>
    <w:rsid w:val="007A22D4"/>
    <w:rsid w:val="007B0D34"/>
    <w:rsid w:val="007C2BB7"/>
    <w:rsid w:val="007D53FB"/>
    <w:rsid w:val="007D6C42"/>
    <w:rsid w:val="007D7150"/>
    <w:rsid w:val="007E798D"/>
    <w:rsid w:val="0080074C"/>
    <w:rsid w:val="008057BB"/>
    <w:rsid w:val="00810FAA"/>
    <w:rsid w:val="008114DF"/>
    <w:rsid w:val="0081467C"/>
    <w:rsid w:val="00815866"/>
    <w:rsid w:val="00820757"/>
    <w:rsid w:val="0082086E"/>
    <w:rsid w:val="00825210"/>
    <w:rsid w:val="0083327C"/>
    <w:rsid w:val="0083468A"/>
    <w:rsid w:val="00842ED2"/>
    <w:rsid w:val="0084535E"/>
    <w:rsid w:val="00851D26"/>
    <w:rsid w:val="00857EA6"/>
    <w:rsid w:val="0086155A"/>
    <w:rsid w:val="008631E3"/>
    <w:rsid w:val="00866C13"/>
    <w:rsid w:val="008740D1"/>
    <w:rsid w:val="00875716"/>
    <w:rsid w:val="00881215"/>
    <w:rsid w:val="00893EF7"/>
    <w:rsid w:val="008A04C4"/>
    <w:rsid w:val="008A1B72"/>
    <w:rsid w:val="008B201E"/>
    <w:rsid w:val="008B2656"/>
    <w:rsid w:val="008B35CE"/>
    <w:rsid w:val="008B6CF1"/>
    <w:rsid w:val="008C1658"/>
    <w:rsid w:val="008C6346"/>
    <w:rsid w:val="008E5A6A"/>
    <w:rsid w:val="008F2DEB"/>
    <w:rsid w:val="00904B95"/>
    <w:rsid w:val="00905164"/>
    <w:rsid w:val="0091202E"/>
    <w:rsid w:val="009157A8"/>
    <w:rsid w:val="00921C08"/>
    <w:rsid w:val="00932D2A"/>
    <w:rsid w:val="0094501C"/>
    <w:rsid w:val="0095087F"/>
    <w:rsid w:val="0095540F"/>
    <w:rsid w:val="00972BC9"/>
    <w:rsid w:val="00973A0E"/>
    <w:rsid w:val="00973BD0"/>
    <w:rsid w:val="0098294E"/>
    <w:rsid w:val="0098342D"/>
    <w:rsid w:val="00987D0A"/>
    <w:rsid w:val="0099064A"/>
    <w:rsid w:val="00990A4E"/>
    <w:rsid w:val="00993D0A"/>
    <w:rsid w:val="009968E3"/>
    <w:rsid w:val="009A23F4"/>
    <w:rsid w:val="009B236F"/>
    <w:rsid w:val="009B24C7"/>
    <w:rsid w:val="009B36E1"/>
    <w:rsid w:val="009B63EA"/>
    <w:rsid w:val="009C630E"/>
    <w:rsid w:val="009D28F2"/>
    <w:rsid w:val="009D3F0C"/>
    <w:rsid w:val="009D5B65"/>
    <w:rsid w:val="009E50BE"/>
    <w:rsid w:val="009F2D49"/>
    <w:rsid w:val="00A104D9"/>
    <w:rsid w:val="00A16E3B"/>
    <w:rsid w:val="00A269FF"/>
    <w:rsid w:val="00A30A30"/>
    <w:rsid w:val="00A32272"/>
    <w:rsid w:val="00A36C46"/>
    <w:rsid w:val="00A44F9F"/>
    <w:rsid w:val="00A460BF"/>
    <w:rsid w:val="00A56738"/>
    <w:rsid w:val="00A66A8A"/>
    <w:rsid w:val="00A8068A"/>
    <w:rsid w:val="00A814E8"/>
    <w:rsid w:val="00A91F60"/>
    <w:rsid w:val="00A962C7"/>
    <w:rsid w:val="00A96AE3"/>
    <w:rsid w:val="00AA047A"/>
    <w:rsid w:val="00AA5C2B"/>
    <w:rsid w:val="00AB0EE8"/>
    <w:rsid w:val="00AC09E2"/>
    <w:rsid w:val="00AC45CF"/>
    <w:rsid w:val="00AC79B0"/>
    <w:rsid w:val="00AD598A"/>
    <w:rsid w:val="00AD726C"/>
    <w:rsid w:val="00AF1115"/>
    <w:rsid w:val="00AF61BC"/>
    <w:rsid w:val="00B00F3D"/>
    <w:rsid w:val="00B2124F"/>
    <w:rsid w:val="00B25501"/>
    <w:rsid w:val="00B4415D"/>
    <w:rsid w:val="00B4716C"/>
    <w:rsid w:val="00B52FD2"/>
    <w:rsid w:val="00B622CF"/>
    <w:rsid w:val="00B6773F"/>
    <w:rsid w:val="00B75D91"/>
    <w:rsid w:val="00B8228A"/>
    <w:rsid w:val="00BA51AF"/>
    <w:rsid w:val="00BB170B"/>
    <w:rsid w:val="00BB648B"/>
    <w:rsid w:val="00BC3198"/>
    <w:rsid w:val="00BC5541"/>
    <w:rsid w:val="00BF3989"/>
    <w:rsid w:val="00C10EFB"/>
    <w:rsid w:val="00C14DFF"/>
    <w:rsid w:val="00C202B5"/>
    <w:rsid w:val="00C26CFB"/>
    <w:rsid w:val="00C368FE"/>
    <w:rsid w:val="00C42CA1"/>
    <w:rsid w:val="00C5598E"/>
    <w:rsid w:val="00C56654"/>
    <w:rsid w:val="00C606CF"/>
    <w:rsid w:val="00C62206"/>
    <w:rsid w:val="00C65DD0"/>
    <w:rsid w:val="00C71202"/>
    <w:rsid w:val="00C7180F"/>
    <w:rsid w:val="00C71DE4"/>
    <w:rsid w:val="00C72874"/>
    <w:rsid w:val="00C837F5"/>
    <w:rsid w:val="00C9131F"/>
    <w:rsid w:val="00C91986"/>
    <w:rsid w:val="00C930CA"/>
    <w:rsid w:val="00CB3BCE"/>
    <w:rsid w:val="00CB40A9"/>
    <w:rsid w:val="00CB56E1"/>
    <w:rsid w:val="00CC0FAC"/>
    <w:rsid w:val="00CC1170"/>
    <w:rsid w:val="00CC4A48"/>
    <w:rsid w:val="00CC554F"/>
    <w:rsid w:val="00CD7976"/>
    <w:rsid w:val="00CE3996"/>
    <w:rsid w:val="00CE6700"/>
    <w:rsid w:val="00CF392E"/>
    <w:rsid w:val="00CF7D92"/>
    <w:rsid w:val="00D02F00"/>
    <w:rsid w:val="00D05138"/>
    <w:rsid w:val="00D062F9"/>
    <w:rsid w:val="00D331C5"/>
    <w:rsid w:val="00D460CF"/>
    <w:rsid w:val="00D51CF0"/>
    <w:rsid w:val="00D53EBA"/>
    <w:rsid w:val="00D57C1F"/>
    <w:rsid w:val="00D65459"/>
    <w:rsid w:val="00D919F4"/>
    <w:rsid w:val="00DB1BA8"/>
    <w:rsid w:val="00DC253E"/>
    <w:rsid w:val="00DC365B"/>
    <w:rsid w:val="00DD27B4"/>
    <w:rsid w:val="00DD3061"/>
    <w:rsid w:val="00DD477D"/>
    <w:rsid w:val="00DD7A1C"/>
    <w:rsid w:val="00DE0042"/>
    <w:rsid w:val="00DE4446"/>
    <w:rsid w:val="00DE5B81"/>
    <w:rsid w:val="00DF12FE"/>
    <w:rsid w:val="00DF1C37"/>
    <w:rsid w:val="00DF6005"/>
    <w:rsid w:val="00DF65FE"/>
    <w:rsid w:val="00E14DD0"/>
    <w:rsid w:val="00E15762"/>
    <w:rsid w:val="00E1680C"/>
    <w:rsid w:val="00E216B5"/>
    <w:rsid w:val="00E25455"/>
    <w:rsid w:val="00E41119"/>
    <w:rsid w:val="00E440AF"/>
    <w:rsid w:val="00E5031F"/>
    <w:rsid w:val="00E51EBF"/>
    <w:rsid w:val="00E65C0A"/>
    <w:rsid w:val="00E65F46"/>
    <w:rsid w:val="00E67C1F"/>
    <w:rsid w:val="00E711FA"/>
    <w:rsid w:val="00E861A8"/>
    <w:rsid w:val="00E92C7B"/>
    <w:rsid w:val="00E9583D"/>
    <w:rsid w:val="00EB35E5"/>
    <w:rsid w:val="00EB5554"/>
    <w:rsid w:val="00EC5EBD"/>
    <w:rsid w:val="00ED00AA"/>
    <w:rsid w:val="00ED2845"/>
    <w:rsid w:val="00EE2927"/>
    <w:rsid w:val="00EE371F"/>
    <w:rsid w:val="00EF2E4C"/>
    <w:rsid w:val="00EF36E6"/>
    <w:rsid w:val="00F12596"/>
    <w:rsid w:val="00F13256"/>
    <w:rsid w:val="00F23D93"/>
    <w:rsid w:val="00F24487"/>
    <w:rsid w:val="00F25A53"/>
    <w:rsid w:val="00F27D56"/>
    <w:rsid w:val="00F4062D"/>
    <w:rsid w:val="00F412A1"/>
    <w:rsid w:val="00F53E6A"/>
    <w:rsid w:val="00F61444"/>
    <w:rsid w:val="00F80E50"/>
    <w:rsid w:val="00F8738C"/>
    <w:rsid w:val="00F92A64"/>
    <w:rsid w:val="00F97C47"/>
    <w:rsid w:val="00FA0D9D"/>
    <w:rsid w:val="00FA3A06"/>
    <w:rsid w:val="00FB4FB0"/>
    <w:rsid w:val="00FB52C9"/>
    <w:rsid w:val="00FB7BEA"/>
    <w:rsid w:val="00FD07A8"/>
    <w:rsid w:val="00FD4E21"/>
    <w:rsid w:val="00FE1A30"/>
    <w:rsid w:val="00FE3257"/>
    <w:rsid w:val="00FE4DA3"/>
    <w:rsid w:val="00FE5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133AB"/>
  <w15:chartTrackingRefBased/>
  <w15:docId w15:val="{87B7AA68-E410-4CFA-9C0E-6E7469F7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42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2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57EA6"/>
    <w:pPr>
      <w:ind w:firstLineChars="200" w:firstLine="420"/>
    </w:pPr>
  </w:style>
  <w:style w:type="paragraph" w:styleId="a5">
    <w:name w:val="header"/>
    <w:basedOn w:val="a"/>
    <w:link w:val="a6"/>
    <w:uiPriority w:val="99"/>
    <w:unhideWhenUsed/>
    <w:rsid w:val="00680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804F5"/>
    <w:rPr>
      <w:rFonts w:ascii="Calibri" w:eastAsia="宋体" w:hAnsi="Calibri" w:cs="Times New Roman"/>
      <w:sz w:val="18"/>
      <w:szCs w:val="18"/>
    </w:rPr>
  </w:style>
  <w:style w:type="paragraph" w:styleId="a7">
    <w:name w:val="footer"/>
    <w:basedOn w:val="a"/>
    <w:link w:val="a8"/>
    <w:uiPriority w:val="99"/>
    <w:unhideWhenUsed/>
    <w:rsid w:val="006804F5"/>
    <w:pPr>
      <w:tabs>
        <w:tab w:val="center" w:pos="4153"/>
        <w:tab w:val="right" w:pos="8306"/>
      </w:tabs>
      <w:snapToGrid w:val="0"/>
      <w:jc w:val="left"/>
    </w:pPr>
    <w:rPr>
      <w:sz w:val="18"/>
      <w:szCs w:val="18"/>
    </w:rPr>
  </w:style>
  <w:style w:type="character" w:customStyle="1" w:styleId="a8">
    <w:name w:val="页脚 字符"/>
    <w:basedOn w:val="a0"/>
    <w:link w:val="a7"/>
    <w:uiPriority w:val="99"/>
    <w:rsid w:val="006804F5"/>
    <w:rPr>
      <w:rFonts w:ascii="Calibri" w:eastAsia="宋体" w:hAnsi="Calibri" w:cs="Times New Roman"/>
      <w:sz w:val="18"/>
      <w:szCs w:val="18"/>
    </w:rPr>
  </w:style>
  <w:style w:type="character" w:styleId="a9">
    <w:name w:val="annotation reference"/>
    <w:basedOn w:val="a0"/>
    <w:uiPriority w:val="99"/>
    <w:semiHidden/>
    <w:unhideWhenUsed/>
    <w:rsid w:val="00AF1115"/>
    <w:rPr>
      <w:sz w:val="21"/>
      <w:szCs w:val="21"/>
    </w:rPr>
  </w:style>
  <w:style w:type="paragraph" w:styleId="aa">
    <w:name w:val="annotation text"/>
    <w:basedOn w:val="a"/>
    <w:link w:val="ab"/>
    <w:uiPriority w:val="99"/>
    <w:semiHidden/>
    <w:unhideWhenUsed/>
    <w:rsid w:val="00AF1115"/>
    <w:pPr>
      <w:jc w:val="left"/>
    </w:pPr>
  </w:style>
  <w:style w:type="character" w:customStyle="1" w:styleId="ab">
    <w:name w:val="批注文字 字符"/>
    <w:basedOn w:val="a0"/>
    <w:link w:val="aa"/>
    <w:uiPriority w:val="99"/>
    <w:semiHidden/>
    <w:rsid w:val="00AF1115"/>
    <w:rPr>
      <w:rFonts w:ascii="Calibri" w:eastAsia="宋体" w:hAnsi="Calibri" w:cs="Times New Roman"/>
    </w:rPr>
  </w:style>
  <w:style w:type="paragraph" w:styleId="ac">
    <w:name w:val="annotation subject"/>
    <w:basedOn w:val="aa"/>
    <w:next w:val="aa"/>
    <w:link w:val="ad"/>
    <w:uiPriority w:val="99"/>
    <w:semiHidden/>
    <w:unhideWhenUsed/>
    <w:rsid w:val="00AF1115"/>
    <w:rPr>
      <w:b/>
      <w:bCs/>
    </w:rPr>
  </w:style>
  <w:style w:type="character" w:customStyle="1" w:styleId="ad">
    <w:name w:val="批注主题 字符"/>
    <w:basedOn w:val="ab"/>
    <w:link w:val="ac"/>
    <w:uiPriority w:val="99"/>
    <w:semiHidden/>
    <w:rsid w:val="00AF1115"/>
    <w:rPr>
      <w:rFonts w:ascii="Calibri" w:eastAsia="宋体" w:hAnsi="Calibri" w:cs="Times New Roman"/>
      <w:b/>
      <w:bCs/>
    </w:rPr>
  </w:style>
  <w:style w:type="paragraph" w:styleId="ae">
    <w:name w:val="Revision"/>
    <w:hidden/>
    <w:uiPriority w:val="99"/>
    <w:semiHidden/>
    <w:rsid w:val="005F49C1"/>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15488">
      <w:bodyDiv w:val="1"/>
      <w:marLeft w:val="0"/>
      <w:marRight w:val="0"/>
      <w:marTop w:val="0"/>
      <w:marBottom w:val="0"/>
      <w:divBdr>
        <w:top w:val="none" w:sz="0" w:space="0" w:color="auto"/>
        <w:left w:val="none" w:sz="0" w:space="0" w:color="auto"/>
        <w:bottom w:val="none" w:sz="0" w:space="0" w:color="auto"/>
        <w:right w:val="none" w:sz="0" w:space="0" w:color="auto"/>
      </w:divBdr>
    </w:div>
    <w:div w:id="13003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858</TotalTime>
  <Pages>3</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天津临时7</dc:creator>
  <cp:keywords/>
  <dc:description/>
  <cp:lastModifiedBy>证券部01</cp:lastModifiedBy>
  <cp:revision>84</cp:revision>
  <dcterms:created xsi:type="dcterms:W3CDTF">2023-09-05T09:54:00Z</dcterms:created>
  <dcterms:modified xsi:type="dcterms:W3CDTF">2024-12-31T08:34:00Z</dcterms:modified>
</cp:coreProperties>
</file>