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51E27A00"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2E3A54">
        <w:rPr>
          <w:rFonts w:ascii="黑体" w:eastAsia="黑体" w:hAnsi="黑体"/>
          <w:sz w:val="24"/>
          <w:szCs w:val="24"/>
        </w:rPr>
        <w:t>01</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67B10B6C"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□分析师会议 </w:t>
            </w:r>
          </w:p>
          <w:p w14:paraId="20D1C524" w14:textId="77777777"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0B8A2078" w:rsidR="001868B0" w:rsidRDefault="00224908">
            <w:pPr>
              <w:spacing w:line="360" w:lineRule="auto"/>
              <w:rPr>
                <w:rFonts w:ascii="宋体" w:eastAsia="宋体" w:hAnsi="宋体"/>
                <w:sz w:val="24"/>
                <w:szCs w:val="24"/>
              </w:rPr>
            </w:pPr>
            <w:r>
              <w:rPr>
                <w:rFonts w:ascii="宋体" w:eastAsia="宋体" w:hAnsi="宋体"/>
                <w:sz w:val="24"/>
                <w:szCs w:val="24"/>
              </w:rPr>
              <w:sym w:font="Wingdings 2" w:char="F052"/>
            </w:r>
            <w:r w:rsidR="0013184A">
              <w:rPr>
                <w:rFonts w:ascii="宋体" w:eastAsia="宋体" w:hAnsi="宋体" w:hint="eastAsia"/>
                <w:sz w:val="24"/>
                <w:szCs w:val="24"/>
              </w:rPr>
              <w:t xml:space="preserve">现场参观         </w:t>
            </w:r>
            <w:bookmarkStart w:id="0" w:name="_GoBack"/>
            <w:bookmarkEnd w:id="0"/>
            <w:r w:rsidR="0013184A">
              <w:rPr>
                <w:rFonts w:ascii="宋体" w:eastAsia="宋体" w:hAnsi="宋体" w:hint="eastAsia"/>
                <w:sz w:val="24"/>
                <w:szCs w:val="24"/>
              </w:rPr>
              <w:t xml:space="preserve">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Pr>
                <w:rFonts w:ascii="宋体" w:eastAsia="宋体" w:hAnsi="宋体"/>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44438458" w:rsidR="00A1754E" w:rsidRPr="00093135" w:rsidRDefault="004D24DF" w:rsidP="004D24DF">
            <w:pPr>
              <w:widowControl/>
              <w:jc w:val="left"/>
              <w:rPr>
                <w:rFonts w:ascii="宋体" w:eastAsia="宋体" w:hAnsi="宋体" w:cs="宋体"/>
                <w:kern w:val="0"/>
                <w:sz w:val="24"/>
                <w:szCs w:val="24"/>
              </w:rPr>
            </w:pPr>
            <w:r>
              <w:rPr>
                <w:rFonts w:ascii="宋体" w:eastAsia="宋体" w:hAnsi="宋体" w:cs="宋体" w:hint="eastAsia"/>
                <w:kern w:val="0"/>
                <w:sz w:val="24"/>
                <w:szCs w:val="24"/>
              </w:rPr>
              <w:t>中</w:t>
            </w:r>
            <w:r w:rsidR="002E3A54">
              <w:rPr>
                <w:rFonts w:ascii="宋体" w:eastAsia="宋体" w:hAnsi="宋体" w:cs="宋体" w:hint="eastAsia"/>
                <w:kern w:val="0"/>
                <w:sz w:val="24"/>
                <w:szCs w:val="24"/>
              </w:rPr>
              <w:t>邮</w:t>
            </w:r>
            <w:r w:rsidR="002E3A54">
              <w:rPr>
                <w:rFonts w:ascii="宋体" w:eastAsia="宋体" w:hAnsi="宋体" w:cs="宋体"/>
                <w:kern w:val="0"/>
                <w:sz w:val="24"/>
                <w:szCs w:val="24"/>
              </w:rPr>
              <w:t>证券</w:t>
            </w:r>
            <w:r w:rsidR="00093135" w:rsidRPr="00093135">
              <w:rPr>
                <w:rFonts w:ascii="宋体" w:eastAsia="宋体" w:hAnsi="宋体" w:cs="宋体"/>
                <w:kern w:val="0"/>
                <w:sz w:val="24"/>
                <w:szCs w:val="24"/>
              </w:rPr>
              <w:t>、</w:t>
            </w:r>
            <w:r w:rsidR="002E3A54">
              <w:rPr>
                <w:rFonts w:ascii="宋体" w:eastAsia="宋体" w:hAnsi="宋体" w:cs="宋体" w:hint="eastAsia"/>
                <w:kern w:val="0"/>
                <w:sz w:val="24"/>
                <w:szCs w:val="24"/>
              </w:rPr>
              <w:t>浦银安盛</w:t>
            </w:r>
            <w:r w:rsidRPr="004D24DF">
              <w:rPr>
                <w:rFonts w:ascii="宋体" w:eastAsia="宋体" w:hAnsi="宋体" w:cs="宋体" w:hint="eastAsia"/>
                <w:kern w:val="0"/>
                <w:sz w:val="24"/>
                <w:szCs w:val="24"/>
              </w:rPr>
              <w:t>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5A353A09" w:rsidR="001868B0" w:rsidRDefault="0013184A" w:rsidP="002E3A54">
            <w:pPr>
              <w:spacing w:line="360" w:lineRule="auto"/>
              <w:rPr>
                <w:rFonts w:ascii="宋体" w:eastAsia="宋体" w:hAnsi="宋体"/>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2E3A54">
              <w:rPr>
                <w:rFonts w:ascii="宋体" w:eastAsia="宋体" w:hAnsi="宋体"/>
                <w:sz w:val="24"/>
                <w:szCs w:val="24"/>
              </w:rPr>
              <w:t>1</w:t>
            </w:r>
            <w:r w:rsidR="009B5CB0">
              <w:rPr>
                <w:rFonts w:ascii="宋体" w:eastAsia="宋体" w:hAnsi="宋体" w:hint="eastAsia"/>
                <w:sz w:val="24"/>
                <w:szCs w:val="24"/>
              </w:rPr>
              <w:t>月</w:t>
            </w:r>
            <w:r w:rsidR="002E3A54">
              <w:rPr>
                <w:rFonts w:ascii="宋体" w:eastAsia="宋体" w:hAnsi="宋体"/>
                <w:sz w:val="24"/>
                <w:szCs w:val="24"/>
              </w:rPr>
              <w:t>16</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72538801" w:rsidR="001868B0" w:rsidRDefault="002E3A54">
            <w:pPr>
              <w:spacing w:line="360" w:lineRule="auto"/>
              <w:rPr>
                <w:rFonts w:ascii="宋体" w:eastAsia="宋体" w:hAnsi="宋体"/>
                <w:sz w:val="24"/>
                <w:szCs w:val="24"/>
              </w:rPr>
            </w:pPr>
            <w:r>
              <w:rPr>
                <w:rFonts w:ascii="宋体" w:eastAsia="宋体" w:hAnsi="宋体" w:hint="eastAsia"/>
                <w:sz w:val="24"/>
                <w:szCs w:val="24"/>
              </w:rPr>
              <w:t>公司会议室</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663F1BC0" w14:textId="099586B4" w:rsidR="008B154A" w:rsidRDefault="00DF40B5" w:rsidP="007265C8">
            <w:pPr>
              <w:spacing w:line="360" w:lineRule="auto"/>
              <w:rPr>
                <w:rFonts w:ascii="宋体" w:eastAsia="宋体" w:hAnsi="宋体"/>
                <w:sz w:val="24"/>
                <w:szCs w:val="24"/>
              </w:rPr>
            </w:pPr>
            <w:r>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3C105EA8" w14:textId="77777777" w:rsidR="007B0B3B" w:rsidRPr="00222599" w:rsidRDefault="007B0B3B" w:rsidP="007B0B3B">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hint="eastAsia"/>
                <w:b/>
                <w:sz w:val="24"/>
                <w:szCs w:val="24"/>
              </w:rPr>
              <w:t>公司</w:t>
            </w:r>
            <w:r>
              <w:rPr>
                <w:rFonts w:ascii="宋体" w:eastAsia="宋体" w:hAnsi="宋体" w:cs="Times New Roman" w:hint="eastAsia"/>
                <w:b/>
                <w:sz w:val="24"/>
                <w:szCs w:val="24"/>
              </w:rPr>
              <w:t>免疫组化产品线的布局和进展</w:t>
            </w:r>
            <w:r w:rsidRPr="00222599">
              <w:rPr>
                <w:rFonts w:ascii="宋体" w:eastAsia="宋体" w:hAnsi="宋体" w:cs="Times New Roman" w:hint="eastAsia"/>
                <w:b/>
                <w:sz w:val="24"/>
                <w:szCs w:val="24"/>
              </w:rPr>
              <w:t>？</w:t>
            </w:r>
          </w:p>
          <w:p w14:paraId="5B0C3795" w14:textId="77777777" w:rsidR="007B0B3B" w:rsidRDefault="007B0B3B" w:rsidP="007B0B3B">
            <w:pPr>
              <w:spacing w:beforeLines="30" w:before="93"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答：</w:t>
            </w:r>
            <w:r w:rsidRPr="0028155C">
              <w:rPr>
                <w:rFonts w:ascii="宋体" w:eastAsia="宋体" w:hAnsi="宋体" w:cs="宋体" w:hint="eastAsia"/>
                <w:kern w:val="0"/>
                <w:sz w:val="24"/>
                <w:szCs w:val="24"/>
              </w:rPr>
              <w:t>公司在免疫组化领域是后来者，基本上是从国家把免疫组化大部分试剂从三类证转为一类证之后开始发力。免疫组化技术有几个核心要素，常规一抗、伴随诊断一抗、二抗，以及</w:t>
            </w:r>
            <w:r w:rsidRPr="0028155C">
              <w:rPr>
                <w:rFonts w:ascii="宋体" w:eastAsia="宋体" w:hAnsi="宋体" w:cs="宋体"/>
                <w:kern w:val="0"/>
                <w:sz w:val="24"/>
                <w:szCs w:val="24"/>
              </w:rPr>
              <w:t xml:space="preserve"> DAB、抗体稀释液、修复液等这些配套试剂和相应设备。从目前市场看，外资品牌占据了大约70%的市场份额，国内品牌中大部分一抗、二抗这些试剂采取的是外购形式，那么这对周期较长的三类证产品或者说伴随诊断业务是有很大的断供风险，同时成本也不可控。</w:t>
            </w:r>
          </w:p>
          <w:p w14:paraId="3E00B444" w14:textId="280A5BB5" w:rsidR="007B0B3B" w:rsidRDefault="007B0B3B" w:rsidP="007B0B3B">
            <w:pPr>
              <w:spacing w:beforeLines="30" w:before="93" w:line="360" w:lineRule="auto"/>
              <w:ind w:firstLineChars="200" w:firstLine="480"/>
              <w:rPr>
                <w:rFonts w:ascii="宋体" w:eastAsia="宋体" w:hAnsi="宋体" w:cs="宋体"/>
                <w:kern w:val="0"/>
                <w:sz w:val="24"/>
                <w:szCs w:val="24"/>
              </w:rPr>
            </w:pPr>
            <w:r w:rsidRPr="0028155C">
              <w:rPr>
                <w:rFonts w:ascii="宋体" w:eastAsia="宋体" w:hAnsi="宋体" w:cs="宋体"/>
                <w:kern w:val="0"/>
                <w:sz w:val="24"/>
                <w:szCs w:val="24"/>
              </w:rPr>
              <w:t>我们公司的策略与优势是，第一实现抗体自产，我们拥有</w:t>
            </w:r>
            <w:r>
              <w:rPr>
                <w:rFonts w:ascii="宋体" w:eastAsia="宋体" w:hAnsi="宋体" w:cs="宋体"/>
                <w:kern w:val="0"/>
                <w:sz w:val="24"/>
                <w:szCs w:val="24"/>
              </w:rPr>
              <w:t>200</w:t>
            </w:r>
            <w:r w:rsidRPr="0028155C">
              <w:rPr>
                <w:rFonts w:ascii="宋体" w:eastAsia="宋体" w:hAnsi="宋体" w:cs="宋体"/>
                <w:kern w:val="0"/>
                <w:sz w:val="24"/>
                <w:szCs w:val="24"/>
              </w:rPr>
              <w:t>多</w:t>
            </w:r>
            <w:r w:rsidRPr="0028155C">
              <w:rPr>
                <w:rFonts w:ascii="宋体" w:eastAsia="宋体" w:hAnsi="宋体" w:cs="宋体" w:hint="eastAsia"/>
                <w:kern w:val="0"/>
                <w:sz w:val="24"/>
                <w:szCs w:val="24"/>
              </w:rPr>
              <w:t>个自产的免疫组化一抗克隆号，有能力为药企提供定制化服务，抗体原料自研自产，成本可控，同时也避免了原料断供的风险。第二是</w:t>
            </w:r>
            <w:r>
              <w:rPr>
                <w:rFonts w:ascii="宋体" w:eastAsia="宋体" w:hAnsi="宋体" w:cs="宋体" w:hint="eastAsia"/>
                <w:kern w:val="0"/>
                <w:sz w:val="24"/>
                <w:szCs w:val="24"/>
              </w:rPr>
              <w:t>推出全自动免疫组化设备</w:t>
            </w:r>
            <w:r w:rsidRPr="0028155C">
              <w:rPr>
                <w:rFonts w:ascii="宋体" w:eastAsia="宋体" w:hAnsi="宋体" w:cs="宋体" w:hint="eastAsia"/>
                <w:kern w:val="0"/>
                <w:sz w:val="24"/>
                <w:szCs w:val="24"/>
              </w:rPr>
              <w:t>，</w:t>
            </w:r>
            <w:r w:rsidRPr="001119F2">
              <w:rPr>
                <w:rFonts w:ascii="宋体" w:eastAsia="宋体" w:hAnsi="宋体" w:cs="宋体"/>
                <w:kern w:val="0"/>
                <w:sz w:val="24"/>
                <w:szCs w:val="24"/>
              </w:rPr>
              <w:t>我们在</w:t>
            </w:r>
            <w:r>
              <w:rPr>
                <w:rFonts w:ascii="宋体" w:eastAsia="宋体" w:hAnsi="宋体" w:cs="宋体" w:hint="eastAsia"/>
                <w:kern w:val="0"/>
                <w:sz w:val="24"/>
                <w:szCs w:val="24"/>
              </w:rPr>
              <w:t>2</w:t>
            </w:r>
            <w:r>
              <w:rPr>
                <w:rFonts w:ascii="宋体" w:eastAsia="宋体" w:hAnsi="宋体" w:cs="宋体"/>
                <w:kern w:val="0"/>
                <w:sz w:val="24"/>
                <w:szCs w:val="24"/>
              </w:rPr>
              <w:t>024年</w:t>
            </w:r>
            <w:r w:rsidRPr="001119F2">
              <w:rPr>
                <w:rFonts w:ascii="宋体" w:eastAsia="宋体" w:hAnsi="宋体" w:cs="宋体"/>
                <w:kern w:val="0"/>
                <w:sz w:val="24"/>
                <w:szCs w:val="24"/>
              </w:rPr>
              <w:t xml:space="preserve">全国病理年会上展出的 HYPER S9 </w:t>
            </w:r>
            <w:r>
              <w:rPr>
                <w:rFonts w:ascii="宋体" w:eastAsia="宋体" w:hAnsi="宋体" w:cs="宋体"/>
                <w:kern w:val="0"/>
                <w:sz w:val="24"/>
                <w:szCs w:val="24"/>
              </w:rPr>
              <w:t>免疫组化全自动染色系统，从前期设计研发到生产，都是公司自主进行</w:t>
            </w:r>
            <w:r w:rsidRPr="001119F2">
              <w:rPr>
                <w:rFonts w:ascii="宋体" w:eastAsia="宋体" w:hAnsi="宋体" w:cs="宋体"/>
                <w:kern w:val="0"/>
                <w:sz w:val="24"/>
                <w:szCs w:val="24"/>
              </w:rPr>
              <w:t>。未来我们的三类证产品以及伴随诊断、药企服务业务均会围绕创新设备进行密</w:t>
            </w:r>
            <w:r w:rsidRPr="001119F2">
              <w:rPr>
                <w:rFonts w:ascii="宋体" w:eastAsia="宋体" w:hAnsi="宋体" w:cs="宋体" w:hint="eastAsia"/>
                <w:kern w:val="0"/>
                <w:sz w:val="24"/>
                <w:szCs w:val="24"/>
              </w:rPr>
              <w:t>切绑定，推动装机和入院，进而带动一抗、二抗上量，形成完整的闭环，</w:t>
            </w:r>
            <w:r w:rsidRPr="001119F2">
              <w:rPr>
                <w:rFonts w:ascii="宋体" w:eastAsia="宋体" w:hAnsi="宋体" w:cs="宋体"/>
                <w:kern w:val="0"/>
                <w:sz w:val="24"/>
                <w:szCs w:val="24"/>
              </w:rPr>
              <w:t>我们希望通过装机上量带动整个免疫组化产品线实现收入扩容。</w:t>
            </w:r>
          </w:p>
          <w:p w14:paraId="78398B30" w14:textId="77777777" w:rsidR="00755000" w:rsidRPr="00222599" w:rsidRDefault="00755000" w:rsidP="00755000">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b/>
                <w:sz w:val="24"/>
                <w:szCs w:val="24"/>
              </w:rPr>
              <w:lastRenderedPageBreak/>
              <w:t>公司</w:t>
            </w:r>
            <w:r>
              <w:rPr>
                <w:rFonts w:ascii="宋体" w:eastAsia="宋体" w:hAnsi="宋体" w:cs="Times New Roman" w:hint="eastAsia"/>
                <w:b/>
                <w:sz w:val="24"/>
                <w:szCs w:val="24"/>
              </w:rPr>
              <w:t>荧光原位杂交产品线的获证情况及策略</w:t>
            </w:r>
            <w:r w:rsidRPr="00222599">
              <w:rPr>
                <w:rFonts w:ascii="宋体" w:eastAsia="宋体" w:hAnsi="宋体" w:cs="Times New Roman" w:hint="eastAsia"/>
                <w:b/>
                <w:sz w:val="24"/>
                <w:szCs w:val="24"/>
              </w:rPr>
              <w:t>是什么</w:t>
            </w:r>
            <w:r>
              <w:rPr>
                <w:rFonts w:ascii="宋体" w:eastAsia="宋体" w:hAnsi="宋体" w:cs="Times New Roman" w:hint="eastAsia"/>
                <w:b/>
                <w:sz w:val="24"/>
                <w:szCs w:val="24"/>
              </w:rPr>
              <w:t>？</w:t>
            </w:r>
          </w:p>
          <w:p w14:paraId="529D9930" w14:textId="67FBE031" w:rsidR="00755000" w:rsidRDefault="00755000" w:rsidP="00755000">
            <w:pPr>
              <w:spacing w:beforeLines="30" w:before="93"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在</w:t>
            </w:r>
            <w:r>
              <w:rPr>
                <w:rFonts w:ascii="宋体" w:eastAsia="宋体" w:hAnsi="宋体" w:cs="宋体" w:hint="eastAsia"/>
                <w:kern w:val="0"/>
                <w:sz w:val="24"/>
                <w:szCs w:val="24"/>
              </w:rPr>
              <w:t>荧光原位杂交</w:t>
            </w:r>
            <w:r>
              <w:rPr>
                <w:rFonts w:ascii="宋体" w:eastAsia="宋体" w:hAnsi="宋体" w:cs="宋体" w:hint="eastAsia"/>
                <w:kern w:val="0"/>
                <w:sz w:val="24"/>
                <w:szCs w:val="24"/>
              </w:rPr>
              <w:t>（F</w:t>
            </w:r>
            <w:r>
              <w:rPr>
                <w:rFonts w:ascii="宋体" w:eastAsia="宋体" w:hAnsi="宋体" w:cs="宋体"/>
                <w:kern w:val="0"/>
                <w:sz w:val="24"/>
                <w:szCs w:val="24"/>
              </w:rPr>
              <w:t>ISH）</w:t>
            </w:r>
            <w:r>
              <w:rPr>
                <w:rFonts w:ascii="宋体" w:eastAsia="宋体" w:hAnsi="宋体" w:cs="宋体" w:hint="eastAsia"/>
                <w:kern w:val="0"/>
                <w:sz w:val="24"/>
                <w:szCs w:val="24"/>
              </w:rPr>
              <w:t>平台，公司共开发出4</w:t>
            </w:r>
            <w:r>
              <w:rPr>
                <w:rFonts w:ascii="宋体" w:eastAsia="宋体" w:hAnsi="宋体" w:cs="宋体"/>
                <w:kern w:val="0"/>
                <w:sz w:val="24"/>
                <w:szCs w:val="24"/>
              </w:rPr>
              <w:t>00余种探针，获得</w:t>
            </w:r>
            <w:r>
              <w:rPr>
                <w:rFonts w:ascii="宋体" w:eastAsia="宋体" w:hAnsi="宋体" w:cs="宋体" w:hint="eastAsia"/>
                <w:kern w:val="0"/>
                <w:sz w:val="24"/>
                <w:szCs w:val="24"/>
              </w:rPr>
              <w:t>1</w:t>
            </w:r>
            <w:r>
              <w:rPr>
                <w:rFonts w:ascii="宋体" w:eastAsia="宋体" w:hAnsi="宋体" w:cs="宋体"/>
                <w:kern w:val="0"/>
                <w:sz w:val="24"/>
                <w:szCs w:val="24"/>
              </w:rPr>
              <w:t>90个注册</w:t>
            </w:r>
            <w:r>
              <w:rPr>
                <w:rFonts w:ascii="宋体" w:eastAsia="宋体" w:hAnsi="宋体" w:cs="宋体" w:hint="eastAsia"/>
                <w:kern w:val="0"/>
                <w:sz w:val="24"/>
                <w:szCs w:val="24"/>
              </w:rPr>
              <w:t>/备案证，是国内F</w:t>
            </w:r>
            <w:r>
              <w:rPr>
                <w:rFonts w:ascii="宋体" w:eastAsia="宋体" w:hAnsi="宋体" w:cs="宋体"/>
                <w:kern w:val="0"/>
                <w:sz w:val="24"/>
                <w:szCs w:val="24"/>
              </w:rPr>
              <w:t>ISH</w:t>
            </w:r>
            <w:r>
              <w:rPr>
                <w:rFonts w:ascii="宋体" w:eastAsia="宋体" w:hAnsi="宋体" w:cs="宋体"/>
                <w:kern w:val="0"/>
                <w:sz w:val="24"/>
                <w:szCs w:val="24"/>
              </w:rPr>
              <w:t>品种</w:t>
            </w:r>
            <w:r>
              <w:rPr>
                <w:rFonts w:ascii="宋体" w:eastAsia="宋体" w:hAnsi="宋体" w:cs="宋体"/>
                <w:kern w:val="0"/>
                <w:sz w:val="24"/>
                <w:szCs w:val="24"/>
              </w:rPr>
              <w:t>最齐全丰富的厂家之一。</w:t>
            </w:r>
            <w:r w:rsidRPr="001119F2">
              <w:rPr>
                <w:rFonts w:ascii="宋体" w:eastAsia="宋体" w:hAnsi="宋体" w:cs="宋体" w:hint="eastAsia"/>
                <w:kern w:val="0"/>
                <w:sz w:val="24"/>
                <w:szCs w:val="24"/>
              </w:rPr>
              <w:t>公司</w:t>
            </w:r>
            <w:r>
              <w:rPr>
                <w:rFonts w:ascii="宋体" w:eastAsia="宋体" w:hAnsi="宋体" w:cs="宋体" w:hint="eastAsia"/>
                <w:kern w:val="0"/>
                <w:sz w:val="24"/>
                <w:szCs w:val="24"/>
              </w:rPr>
              <w:t>在2</w:t>
            </w:r>
            <w:r>
              <w:rPr>
                <w:rFonts w:ascii="宋体" w:eastAsia="宋体" w:hAnsi="宋体" w:cs="宋体"/>
                <w:kern w:val="0"/>
                <w:sz w:val="24"/>
                <w:szCs w:val="24"/>
              </w:rPr>
              <w:t>024年</w:t>
            </w:r>
            <w:r>
              <w:rPr>
                <w:rFonts w:ascii="宋体" w:eastAsia="宋体" w:hAnsi="宋体" w:cs="宋体" w:hint="eastAsia"/>
                <w:kern w:val="0"/>
                <w:sz w:val="24"/>
                <w:szCs w:val="24"/>
              </w:rPr>
              <w:t>有</w:t>
            </w:r>
            <w:r>
              <w:rPr>
                <w:rFonts w:ascii="宋体" w:eastAsia="宋体" w:hAnsi="宋体" w:cs="宋体"/>
                <w:kern w:val="0"/>
                <w:sz w:val="24"/>
                <w:szCs w:val="24"/>
              </w:rPr>
              <w:t>两个伴随诊断试剂盒获批，一是ALK</w:t>
            </w:r>
            <w:r w:rsidRPr="001119F2">
              <w:rPr>
                <w:rFonts w:ascii="宋体" w:eastAsia="宋体" w:hAnsi="宋体" w:cs="宋体"/>
                <w:kern w:val="0"/>
                <w:sz w:val="24"/>
                <w:szCs w:val="24"/>
              </w:rPr>
              <w:t>基因重排检测试剂盒（荧光原位杂交法）</w:t>
            </w:r>
            <w:r w:rsidRPr="001119F2">
              <w:rPr>
                <w:rFonts w:ascii="宋体" w:eastAsia="宋体" w:hAnsi="宋体" w:cs="宋体" w:hint="eastAsia"/>
                <w:kern w:val="0"/>
                <w:sz w:val="24"/>
                <w:szCs w:val="24"/>
              </w:rPr>
              <w:t>，该试剂盒是国产第一张荧光原位杂交平台用于定性检测非小细胞肺癌患者的</w:t>
            </w:r>
            <w:r w:rsidRPr="001119F2">
              <w:rPr>
                <w:rFonts w:ascii="宋体" w:eastAsia="宋体" w:hAnsi="宋体" w:cs="宋体"/>
                <w:kern w:val="0"/>
                <w:sz w:val="24"/>
                <w:szCs w:val="24"/>
              </w:rPr>
              <w:t xml:space="preserve"> ALK 基因重排，用于克唑替尼药物的伴随诊断检测。该试剂盒基于荧光原位杂交平台，具有灵敏度高、特异性强，可在组织上原位检测，直观了解 ALK 基因改变的特点。这是公司</w:t>
            </w:r>
            <w:r>
              <w:rPr>
                <w:rFonts w:ascii="宋体" w:eastAsia="宋体" w:hAnsi="宋体" w:cs="宋体"/>
                <w:kern w:val="0"/>
                <w:sz w:val="24"/>
                <w:szCs w:val="24"/>
              </w:rPr>
              <w:t>FISH</w:t>
            </w:r>
            <w:r w:rsidRPr="001119F2">
              <w:rPr>
                <w:rFonts w:ascii="宋体" w:eastAsia="宋体" w:hAnsi="宋体" w:cs="宋体"/>
                <w:kern w:val="0"/>
                <w:sz w:val="24"/>
                <w:szCs w:val="24"/>
              </w:rPr>
              <w:t>平台获得的第</w:t>
            </w:r>
            <w:r>
              <w:rPr>
                <w:rFonts w:ascii="宋体" w:eastAsia="宋体" w:hAnsi="宋体" w:cs="宋体"/>
                <w:kern w:val="0"/>
                <w:sz w:val="24"/>
                <w:szCs w:val="24"/>
              </w:rPr>
              <w:t>9</w:t>
            </w:r>
            <w:r w:rsidRPr="001119F2">
              <w:rPr>
                <w:rFonts w:ascii="宋体" w:eastAsia="宋体" w:hAnsi="宋体" w:cs="宋体"/>
                <w:kern w:val="0"/>
                <w:sz w:val="24"/>
                <w:szCs w:val="24"/>
              </w:rPr>
              <w:t>张三类证，在国产品牌里三类证数</w:t>
            </w:r>
            <w:r w:rsidRPr="001119F2">
              <w:rPr>
                <w:rFonts w:ascii="宋体" w:eastAsia="宋体" w:hAnsi="宋体" w:cs="宋体" w:hint="eastAsia"/>
                <w:kern w:val="0"/>
                <w:sz w:val="24"/>
                <w:szCs w:val="24"/>
              </w:rPr>
              <w:t>量位居前列。</w:t>
            </w:r>
            <w:r>
              <w:rPr>
                <w:rFonts w:ascii="宋体" w:eastAsia="宋体" w:hAnsi="宋体" w:cs="宋体" w:hint="eastAsia"/>
                <w:kern w:val="0"/>
                <w:sz w:val="24"/>
                <w:szCs w:val="24"/>
              </w:rPr>
              <w:t>二是</w:t>
            </w:r>
            <w:r w:rsidRPr="007B0B3B">
              <w:rPr>
                <w:rFonts w:ascii="宋体" w:eastAsia="宋体" w:hAnsi="宋体" w:cs="宋体"/>
                <w:kern w:val="0"/>
                <w:sz w:val="24"/>
                <w:szCs w:val="24"/>
              </w:rPr>
              <w:t>HER2基因检测试剂盒（荧光原位杂交法）在原有预期用途针对乳腺癌组织切片的基础上增加了胃腺癌组织切片，并可用于胃腺癌曲妥珠单抗（赫赛汀）的伴随诊断</w:t>
            </w:r>
            <w:r>
              <w:rPr>
                <w:rFonts w:ascii="宋体" w:eastAsia="宋体" w:hAnsi="宋体" w:cs="宋体" w:hint="eastAsia"/>
                <w:kern w:val="0"/>
                <w:sz w:val="24"/>
                <w:szCs w:val="24"/>
              </w:rPr>
              <w:t>，公司</w:t>
            </w:r>
            <w:r w:rsidRPr="00755000">
              <w:rPr>
                <w:rFonts w:ascii="宋体" w:eastAsia="宋体" w:hAnsi="宋体" w:cs="宋体" w:hint="eastAsia"/>
                <w:kern w:val="0"/>
                <w:sz w:val="24"/>
                <w:szCs w:val="24"/>
              </w:rPr>
              <w:t>是目前国内首个获批胃癌</w:t>
            </w:r>
            <w:r w:rsidRPr="00755000">
              <w:rPr>
                <w:rFonts w:ascii="宋体" w:eastAsia="宋体" w:hAnsi="宋体" w:cs="宋体"/>
                <w:kern w:val="0"/>
                <w:sz w:val="24"/>
                <w:szCs w:val="24"/>
              </w:rPr>
              <w:t>HER2检测伴随诊断试剂盒三类证的厂家，并可实现在免疫组织化学和荧光原位杂交双平台的HER2</w:t>
            </w:r>
            <w:r>
              <w:rPr>
                <w:rFonts w:ascii="宋体" w:eastAsia="宋体" w:hAnsi="宋体" w:cs="宋体"/>
                <w:kern w:val="0"/>
                <w:sz w:val="24"/>
                <w:szCs w:val="24"/>
              </w:rPr>
              <w:t>联合检测</w:t>
            </w:r>
            <w:r w:rsidRPr="007B0B3B">
              <w:rPr>
                <w:rFonts w:ascii="宋体" w:eastAsia="宋体" w:hAnsi="宋体" w:cs="宋体"/>
                <w:kern w:val="0"/>
                <w:sz w:val="24"/>
                <w:szCs w:val="24"/>
              </w:rPr>
              <w:t>。</w:t>
            </w:r>
          </w:p>
          <w:p w14:paraId="498E6EB2" w14:textId="11E4B037" w:rsidR="00755000" w:rsidRPr="00755000" w:rsidRDefault="00755000" w:rsidP="00755000">
            <w:pPr>
              <w:spacing w:beforeLines="30" w:before="93" w:line="360" w:lineRule="auto"/>
              <w:ind w:firstLineChars="200" w:firstLine="480"/>
              <w:rPr>
                <w:rFonts w:ascii="宋体" w:eastAsia="宋体" w:hAnsi="宋体" w:cs="宋体" w:hint="eastAsia"/>
                <w:kern w:val="0"/>
                <w:sz w:val="24"/>
                <w:szCs w:val="24"/>
              </w:rPr>
            </w:pPr>
            <w:r w:rsidRPr="001119F2">
              <w:rPr>
                <w:rFonts w:ascii="宋体" w:eastAsia="宋体" w:hAnsi="宋体" w:cs="宋体" w:hint="eastAsia"/>
                <w:kern w:val="0"/>
                <w:sz w:val="24"/>
                <w:szCs w:val="24"/>
              </w:rPr>
              <w:t>在</w:t>
            </w:r>
            <w:r>
              <w:rPr>
                <w:rFonts w:ascii="宋体" w:eastAsia="宋体" w:hAnsi="宋体" w:cs="宋体" w:hint="eastAsia"/>
                <w:kern w:val="0"/>
                <w:sz w:val="24"/>
                <w:szCs w:val="24"/>
              </w:rPr>
              <w:t>F</w:t>
            </w:r>
            <w:r>
              <w:rPr>
                <w:rFonts w:ascii="宋体" w:eastAsia="宋体" w:hAnsi="宋体" w:cs="宋体"/>
                <w:kern w:val="0"/>
                <w:sz w:val="24"/>
                <w:szCs w:val="24"/>
              </w:rPr>
              <w:t>ISH</w:t>
            </w:r>
            <w:r w:rsidRPr="001119F2">
              <w:rPr>
                <w:rFonts w:ascii="宋体" w:eastAsia="宋体" w:hAnsi="宋体" w:cs="宋体" w:hint="eastAsia"/>
                <w:kern w:val="0"/>
                <w:sz w:val="24"/>
                <w:szCs w:val="24"/>
              </w:rPr>
              <w:t>平台</w:t>
            </w:r>
            <w:r>
              <w:rPr>
                <w:rFonts w:ascii="宋体" w:eastAsia="宋体" w:hAnsi="宋体" w:cs="宋体"/>
                <w:kern w:val="0"/>
                <w:sz w:val="24"/>
                <w:szCs w:val="24"/>
              </w:rPr>
              <w:t>的策略主要有以下四方面：</w:t>
            </w:r>
            <w:r w:rsidRPr="001119F2">
              <w:rPr>
                <w:rFonts w:ascii="宋体" w:eastAsia="宋体" w:hAnsi="宋体" w:cs="宋体"/>
                <w:kern w:val="0"/>
                <w:sz w:val="24"/>
                <w:szCs w:val="24"/>
              </w:rPr>
              <w:t>首先公司将依托自主研发优势，充分把握三类证产品以及数量优势，抓住大单品的市场增长机遇；其次 FISH 技术也是比较成熟的分子检测技术，对应分子靶点药物的应用，可以与药企开展靶点以及市场推广合作，同时伴随诊断业务也可以促进我们的 FISH 探针入院；第三，公司拥有 FISH 探针的合成、设计、生产的自主研</w:t>
            </w:r>
            <w:r w:rsidRPr="001119F2">
              <w:rPr>
                <w:rFonts w:ascii="宋体" w:eastAsia="宋体" w:hAnsi="宋体" w:cs="宋体" w:hint="eastAsia"/>
                <w:kern w:val="0"/>
                <w:sz w:val="24"/>
                <w:szCs w:val="24"/>
              </w:rPr>
              <w:t>发能力，对于市场端的科研需求，我们可以提供定制探针服务；第四，国内地市级医院也陆续开始开展</w:t>
            </w:r>
            <w:r w:rsidRPr="001119F2">
              <w:rPr>
                <w:rFonts w:ascii="宋体" w:eastAsia="宋体" w:hAnsi="宋体" w:cs="宋体"/>
                <w:kern w:val="0"/>
                <w:sz w:val="24"/>
                <w:szCs w:val="24"/>
              </w:rPr>
              <w:t xml:space="preserve"> FISH 项目，公司也在积极把握市场机遇，做好前期客户培育和渗透。</w:t>
            </w:r>
          </w:p>
          <w:p w14:paraId="365984F8" w14:textId="520E303D" w:rsidR="007E4AC5" w:rsidRPr="00C820DC" w:rsidRDefault="00720EB6" w:rsidP="00DF40B5">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720EB6">
              <w:rPr>
                <w:rFonts w:ascii="宋体" w:eastAsia="宋体" w:hAnsi="宋体" w:cs="Times New Roman" w:hint="eastAsia"/>
                <w:b/>
                <w:sz w:val="24"/>
                <w:szCs w:val="24"/>
              </w:rPr>
              <w:t>公司病理AI</w:t>
            </w:r>
            <w:r w:rsidR="004D24DF">
              <w:rPr>
                <w:rFonts w:ascii="宋体" w:eastAsia="宋体" w:hAnsi="宋体" w:cs="Times New Roman" w:hint="eastAsia"/>
                <w:b/>
                <w:sz w:val="24"/>
                <w:szCs w:val="24"/>
              </w:rPr>
              <w:t>如何赋能现有业务</w:t>
            </w:r>
            <w:r w:rsidR="00DF40B5" w:rsidRPr="00DF40B5">
              <w:rPr>
                <w:rFonts w:ascii="宋体" w:eastAsia="宋体" w:hAnsi="宋体" w:cs="Times New Roman" w:hint="eastAsia"/>
                <w:b/>
                <w:sz w:val="24"/>
                <w:szCs w:val="24"/>
              </w:rPr>
              <w:t>？</w:t>
            </w:r>
          </w:p>
          <w:p w14:paraId="30B8DB7C" w14:textId="77777777" w:rsidR="007B0B3B" w:rsidRDefault="007E4AC5" w:rsidP="007B0B3B">
            <w:pPr>
              <w:spacing w:beforeLines="30" w:before="93" w:line="360" w:lineRule="auto"/>
              <w:ind w:firstLineChars="200" w:firstLine="480"/>
              <w:rPr>
                <w:rFonts w:ascii="宋体" w:eastAsia="宋体" w:hAnsi="宋体" w:cs="Times New Roman"/>
                <w:sz w:val="24"/>
                <w:szCs w:val="24"/>
              </w:rPr>
            </w:pPr>
            <w:r w:rsidRPr="002C14A1">
              <w:rPr>
                <w:rFonts w:ascii="宋体" w:eastAsia="宋体" w:hAnsi="宋体" w:cs="Times New Roman" w:hint="eastAsia"/>
                <w:sz w:val="24"/>
                <w:szCs w:val="24"/>
              </w:rPr>
              <w:t>答：</w:t>
            </w:r>
            <w:r w:rsidR="007B0B3B" w:rsidRPr="007B0B3B">
              <w:rPr>
                <w:rFonts w:ascii="宋体" w:eastAsia="宋体" w:hAnsi="宋体" w:cs="Times New Roman" w:hint="eastAsia"/>
                <w:sz w:val="24"/>
                <w:szCs w:val="24"/>
              </w:rPr>
              <w:t>目前我国病理行业发展面临病理医生缺乏、分布不均匀、培养周期漫长等特点。“自动化、标准化、数字化、智能化”已成为病理科发展的必然趋势。</w:t>
            </w:r>
            <w:r w:rsidR="007B0B3B" w:rsidRPr="007B0B3B">
              <w:rPr>
                <w:rFonts w:ascii="宋体" w:eastAsia="宋体" w:hAnsi="宋体" w:cs="Times New Roman"/>
                <w:sz w:val="24"/>
                <w:szCs w:val="24"/>
              </w:rPr>
              <w:t>AI 辅助诊断</w:t>
            </w:r>
            <w:r w:rsidR="007B0B3B">
              <w:rPr>
                <w:rFonts w:ascii="宋体" w:eastAsia="宋体" w:hAnsi="宋体" w:cs="Times New Roman"/>
                <w:sz w:val="24"/>
                <w:szCs w:val="24"/>
              </w:rPr>
              <w:t>在</w:t>
            </w:r>
            <w:r w:rsidR="007B0B3B">
              <w:rPr>
                <w:rFonts w:ascii="宋体" w:eastAsia="宋体" w:hAnsi="宋体" w:cs="Times New Roman" w:hint="eastAsia"/>
                <w:sz w:val="24"/>
                <w:szCs w:val="24"/>
              </w:rPr>
              <w:t>2</w:t>
            </w:r>
            <w:r w:rsidR="007B0B3B">
              <w:rPr>
                <w:rFonts w:ascii="宋体" w:eastAsia="宋体" w:hAnsi="宋体" w:cs="Times New Roman"/>
                <w:sz w:val="24"/>
                <w:szCs w:val="24"/>
              </w:rPr>
              <w:t>024年</w:t>
            </w:r>
            <w:r w:rsidR="007B0B3B">
              <w:rPr>
                <w:rFonts w:ascii="宋体" w:eastAsia="宋体" w:hAnsi="宋体" w:cs="Times New Roman" w:hint="eastAsia"/>
                <w:sz w:val="24"/>
                <w:szCs w:val="24"/>
              </w:rPr>
              <w:t>1</w:t>
            </w:r>
            <w:r w:rsidR="007B0B3B">
              <w:rPr>
                <w:rFonts w:ascii="宋体" w:eastAsia="宋体" w:hAnsi="宋体" w:cs="Times New Roman"/>
                <w:sz w:val="24"/>
                <w:szCs w:val="24"/>
              </w:rPr>
              <w:t>1月</w:t>
            </w:r>
            <w:r w:rsidR="007B0B3B" w:rsidRPr="007B0B3B">
              <w:rPr>
                <w:rFonts w:ascii="宋体" w:eastAsia="宋体" w:hAnsi="宋体" w:cs="Times New Roman"/>
                <w:sz w:val="24"/>
                <w:szCs w:val="24"/>
              </w:rPr>
              <w:t>首次被列入国家医保局立项指南，目前已发布的主要是体现在放射检查、超声检查和康复类项目，立项指南编制还将扩围至检验病理类，加之此前三部门联合发布《卫生健康行业人工智能应用场景</w:t>
            </w:r>
            <w:r w:rsidR="007B0B3B" w:rsidRPr="007B0B3B">
              <w:rPr>
                <w:rFonts w:ascii="宋体" w:eastAsia="宋体" w:hAnsi="宋体" w:cs="Times New Roman" w:hint="eastAsia"/>
                <w:sz w:val="24"/>
                <w:szCs w:val="24"/>
              </w:rPr>
              <w:t>参考指引》也已经涵盖了人工智能在病理切片诊断的应用</w:t>
            </w:r>
            <w:r w:rsidR="007B0B3B" w:rsidRPr="007B0B3B">
              <w:rPr>
                <w:rFonts w:ascii="宋体" w:eastAsia="宋体" w:hAnsi="宋体" w:cs="Times New Roman" w:hint="eastAsia"/>
                <w:sz w:val="24"/>
                <w:szCs w:val="24"/>
              </w:rPr>
              <w:lastRenderedPageBreak/>
              <w:t>场景，我们判断这将极大促进病理数字化和智能化的发展。</w:t>
            </w:r>
          </w:p>
          <w:p w14:paraId="2DAC65EE" w14:textId="3EC8DF77" w:rsidR="00FF7103" w:rsidRDefault="00720EB6" w:rsidP="007B0B3B">
            <w:pPr>
              <w:spacing w:beforeLines="30" w:before="93" w:line="360" w:lineRule="auto"/>
              <w:ind w:firstLineChars="200" w:firstLine="480"/>
              <w:rPr>
                <w:rFonts w:ascii="宋体" w:eastAsia="宋体" w:hAnsi="宋体" w:cs="Times New Roman"/>
                <w:sz w:val="24"/>
                <w:szCs w:val="24"/>
              </w:rPr>
            </w:pPr>
            <w:r w:rsidRPr="00720EB6">
              <w:rPr>
                <w:rFonts w:ascii="宋体" w:eastAsia="宋体" w:hAnsi="宋体" w:cs="Times New Roman" w:hint="eastAsia"/>
                <w:sz w:val="24"/>
                <w:szCs w:val="24"/>
              </w:rPr>
              <w:t>从公司战略来说，一直在积极布局细胞病理、组织病理、免疫组化、荧光原位杂交等多个技术线的全自动化仪器设备的研发与迭代。自主研发推出了涵盖多平台多型号的病理自动化设备、多通量数字病理切片扫描仪、数字病理质控与信息管理系统、病理专病库以及人工智能辅助诊断系统等一系列创新产品和服务，以提供智慧病理科解决方案。</w:t>
            </w:r>
          </w:p>
          <w:p w14:paraId="1197A49A" w14:textId="4541B7AD" w:rsidR="00222599" w:rsidRDefault="00720EB6" w:rsidP="00222599">
            <w:pPr>
              <w:spacing w:beforeLines="30" w:before="93" w:line="360" w:lineRule="auto"/>
              <w:ind w:firstLineChars="200" w:firstLine="480"/>
              <w:rPr>
                <w:rFonts w:ascii="宋体" w:eastAsia="宋体" w:hAnsi="宋体" w:cs="Times New Roman"/>
                <w:sz w:val="24"/>
                <w:szCs w:val="24"/>
              </w:rPr>
            </w:pPr>
            <w:r w:rsidRPr="00720EB6">
              <w:rPr>
                <w:rFonts w:ascii="宋体" w:eastAsia="宋体" w:hAnsi="宋体" w:cs="Times New Roman" w:hint="eastAsia"/>
                <w:sz w:val="24"/>
                <w:szCs w:val="24"/>
              </w:rPr>
              <w:t>从盈利模式来说，我们提供的是“检测试剂+制片设备+扫描仪+AI判读”的智能化</w:t>
            </w:r>
            <w:r w:rsidR="001119F2" w:rsidRPr="001119F2">
              <w:rPr>
                <w:rFonts w:ascii="宋体" w:eastAsia="宋体" w:hAnsi="宋体" w:cs="Times New Roman" w:hint="eastAsia"/>
                <w:sz w:val="24"/>
                <w:szCs w:val="24"/>
              </w:rPr>
              <w:t>筛查方案已形成，提高了公司产品的竞争壁垒。通过扫描仪和</w:t>
            </w:r>
            <w:r w:rsidR="001119F2" w:rsidRPr="001119F2">
              <w:rPr>
                <w:rFonts w:ascii="宋体" w:eastAsia="宋体" w:hAnsi="宋体" w:cs="Times New Roman"/>
                <w:sz w:val="24"/>
                <w:szCs w:val="24"/>
              </w:rPr>
              <w:t xml:space="preserve"> AI 判读，可以提高我们原有技术平台的核心竞争力，对细胞学试剂形成有效的护城河以及拉动效应，尤其是对我们拓展大三甲医院的客户、替代进口细胞学试剂产品非常有帮助</w:t>
            </w:r>
            <w:r w:rsidR="008D784E" w:rsidRPr="008D784E">
              <w:rPr>
                <w:rFonts w:ascii="宋体" w:eastAsia="宋体" w:hAnsi="宋体" w:cs="Times New Roman" w:hint="eastAsia"/>
                <w:sz w:val="24"/>
                <w:szCs w:val="24"/>
              </w:rPr>
              <w:t>。</w:t>
            </w:r>
          </w:p>
          <w:p w14:paraId="542D368C" w14:textId="62FEB5A6" w:rsidR="00222599" w:rsidRPr="00222599" w:rsidRDefault="00222599" w:rsidP="00222599">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b/>
                <w:sz w:val="24"/>
                <w:szCs w:val="24"/>
              </w:rPr>
              <w:t>公司</w:t>
            </w:r>
            <w:r w:rsidR="004D24DF" w:rsidRPr="00720EB6">
              <w:rPr>
                <w:rFonts w:ascii="宋体" w:eastAsia="宋体" w:hAnsi="宋体" w:cs="Times New Roman" w:hint="eastAsia"/>
                <w:b/>
                <w:sz w:val="24"/>
                <w:szCs w:val="24"/>
              </w:rPr>
              <w:t>病理AI</w:t>
            </w:r>
            <w:r w:rsidRPr="00222599">
              <w:rPr>
                <w:rFonts w:ascii="宋体" w:eastAsia="宋体" w:hAnsi="宋体" w:cs="Times New Roman"/>
                <w:b/>
                <w:sz w:val="24"/>
                <w:szCs w:val="24"/>
              </w:rPr>
              <w:t>的</w:t>
            </w:r>
            <w:r w:rsidR="004D24DF">
              <w:rPr>
                <w:rFonts w:ascii="宋体" w:eastAsia="宋体" w:hAnsi="宋体" w:cs="Times New Roman" w:hint="eastAsia"/>
                <w:b/>
                <w:sz w:val="24"/>
                <w:szCs w:val="24"/>
              </w:rPr>
              <w:t>研发</w:t>
            </w:r>
            <w:r w:rsidR="004D24DF">
              <w:rPr>
                <w:rFonts w:ascii="宋体" w:eastAsia="宋体" w:hAnsi="宋体" w:cs="Times New Roman"/>
                <w:b/>
                <w:sz w:val="24"/>
                <w:szCs w:val="24"/>
              </w:rPr>
              <w:t>进展</w:t>
            </w:r>
          </w:p>
          <w:p w14:paraId="259E6298" w14:textId="3781B3AB" w:rsidR="00222599" w:rsidRDefault="007B0B3B" w:rsidP="00E82964">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00222599" w:rsidRPr="00222599">
              <w:rPr>
                <w:rFonts w:ascii="宋体" w:eastAsia="宋体" w:hAnsi="宋体" w:cs="Times New Roman"/>
                <w:sz w:val="24"/>
                <w:szCs w:val="24"/>
              </w:rPr>
              <w:t>公司的宫颈细胞学人工智能辅助系统</w:t>
            </w:r>
            <w:r w:rsidR="00222599">
              <w:rPr>
                <w:rFonts w:ascii="宋体" w:eastAsia="宋体" w:hAnsi="宋体" w:cs="Times New Roman" w:hint="eastAsia"/>
                <w:sz w:val="24"/>
                <w:szCs w:val="24"/>
              </w:rPr>
              <w:t>正在三类证注册申报阶段</w:t>
            </w:r>
            <w:r w:rsidR="00222599" w:rsidRPr="00222599">
              <w:rPr>
                <w:rFonts w:ascii="宋体" w:eastAsia="宋体" w:hAnsi="宋体" w:cs="Times New Roman"/>
                <w:sz w:val="24"/>
                <w:szCs w:val="24"/>
              </w:rPr>
              <w:t>，</w:t>
            </w:r>
            <w:r w:rsidR="00222599">
              <w:rPr>
                <w:rFonts w:ascii="宋体" w:eastAsia="宋体" w:hAnsi="宋体" w:cs="Times New Roman"/>
                <w:sz w:val="24"/>
                <w:szCs w:val="24"/>
              </w:rPr>
              <w:t>该</w:t>
            </w:r>
            <w:r w:rsidR="00222599">
              <w:rPr>
                <w:rFonts w:ascii="宋体" w:eastAsia="宋体" w:hAnsi="宋体" w:cs="Times New Roman" w:hint="eastAsia"/>
                <w:sz w:val="24"/>
                <w:szCs w:val="24"/>
              </w:rPr>
              <w:t>产品</w:t>
            </w:r>
            <w:r w:rsidR="00222599" w:rsidRPr="00222599">
              <w:rPr>
                <w:rFonts w:ascii="宋体" w:eastAsia="宋体" w:hAnsi="宋体" w:cs="Times New Roman"/>
                <w:sz w:val="24"/>
                <w:szCs w:val="24"/>
              </w:rPr>
              <w:t>最主要解决的问题是筛阴工作。国内</w:t>
            </w:r>
            <w:r w:rsidR="00222599" w:rsidRPr="00222599">
              <w:rPr>
                <w:rFonts w:ascii="宋体" w:eastAsia="宋体" w:hAnsi="宋体" w:cs="Times New Roman" w:hint="eastAsia"/>
                <w:sz w:val="24"/>
                <w:szCs w:val="24"/>
              </w:rPr>
              <w:t>病理医生比较缺乏，细胞学诊断特别依赖医生的判读，我们预期的场景是，通过</w:t>
            </w:r>
            <w:r w:rsidR="00222599" w:rsidRPr="00222599">
              <w:rPr>
                <w:rFonts w:ascii="宋体" w:eastAsia="宋体" w:hAnsi="宋体" w:cs="Times New Roman"/>
                <w:sz w:val="24"/>
                <w:szCs w:val="24"/>
              </w:rPr>
              <w:t>AI完成大部分的筛阴工作，进而让医生把主要精力集中在可疑点位，提高诊断效率和诊断准确性。</w:t>
            </w:r>
            <w:r w:rsidR="00B25DB4">
              <w:rPr>
                <w:rFonts w:ascii="宋体" w:eastAsia="宋体" w:hAnsi="宋体" w:cs="Times New Roman"/>
                <w:sz w:val="24"/>
                <w:szCs w:val="24"/>
              </w:rPr>
              <w:t>该产品已标注视野图像超</w:t>
            </w:r>
            <w:r w:rsidR="00B25DB4">
              <w:rPr>
                <w:rFonts w:ascii="宋体" w:eastAsia="宋体" w:hAnsi="宋体" w:cs="Times New Roman" w:hint="eastAsia"/>
                <w:sz w:val="24"/>
                <w:szCs w:val="24"/>
              </w:rPr>
              <w:t>1</w:t>
            </w:r>
            <w:r w:rsidR="00B25DB4">
              <w:rPr>
                <w:rFonts w:ascii="宋体" w:eastAsia="宋体" w:hAnsi="宋体" w:cs="Times New Roman"/>
                <w:sz w:val="24"/>
                <w:szCs w:val="24"/>
              </w:rPr>
              <w:t>00万，标注细胞超</w:t>
            </w:r>
            <w:r w:rsidR="00B25DB4">
              <w:rPr>
                <w:rFonts w:ascii="宋体" w:eastAsia="宋体" w:hAnsi="宋体" w:cs="Times New Roman" w:hint="eastAsia"/>
                <w:sz w:val="24"/>
                <w:szCs w:val="24"/>
              </w:rPr>
              <w:t>2</w:t>
            </w:r>
            <w:r w:rsidR="00B25DB4">
              <w:rPr>
                <w:rFonts w:ascii="宋体" w:eastAsia="宋体" w:hAnsi="宋体" w:cs="Times New Roman"/>
                <w:sz w:val="24"/>
                <w:szCs w:val="24"/>
              </w:rPr>
              <w:t>60万，在</w:t>
            </w:r>
            <w:r w:rsidR="00B25DB4">
              <w:rPr>
                <w:rFonts w:ascii="宋体" w:eastAsia="宋体" w:hAnsi="宋体" w:cs="Times New Roman" w:hint="eastAsia"/>
                <w:sz w:val="24"/>
                <w:szCs w:val="24"/>
              </w:rPr>
              <w:t>9个医学中心的第三方测试中</w:t>
            </w:r>
            <w:r w:rsidR="00E82964">
              <w:rPr>
                <w:rFonts w:ascii="宋体" w:eastAsia="宋体" w:hAnsi="宋体" w:cs="Times New Roman" w:hint="eastAsia"/>
                <w:sz w:val="24"/>
                <w:szCs w:val="24"/>
              </w:rPr>
              <w:t>均有</w:t>
            </w:r>
            <w:r w:rsidR="00B25DB4">
              <w:rPr>
                <w:rFonts w:ascii="宋体" w:eastAsia="宋体" w:hAnsi="宋体" w:cs="Times New Roman" w:hint="eastAsia"/>
                <w:sz w:val="24"/>
                <w:szCs w:val="24"/>
              </w:rPr>
              <w:t>较高的特异度。</w:t>
            </w:r>
            <w:r w:rsidR="00222599" w:rsidRPr="00222599">
              <w:rPr>
                <w:rFonts w:ascii="宋体" w:eastAsia="宋体" w:hAnsi="宋体" w:cs="Times New Roman"/>
                <w:sz w:val="24"/>
                <w:szCs w:val="24"/>
              </w:rPr>
              <w:t>目前公司的“细胞学试剂+制片染色设备+扫描仪+AI判读”智能化整体筛查方案已经在医院病理科推广</w:t>
            </w:r>
            <w:r w:rsidR="009F380F">
              <w:rPr>
                <w:rFonts w:ascii="宋体" w:eastAsia="宋体" w:hAnsi="宋体" w:cs="Times New Roman" w:hint="eastAsia"/>
                <w:sz w:val="24"/>
                <w:szCs w:val="24"/>
              </w:rPr>
              <w:t>试</w:t>
            </w:r>
            <w:r w:rsidR="00222599" w:rsidRPr="00222599">
              <w:rPr>
                <w:rFonts w:ascii="宋体" w:eastAsia="宋体" w:hAnsi="宋体" w:cs="Times New Roman"/>
                <w:sz w:val="24"/>
                <w:szCs w:val="24"/>
              </w:rPr>
              <w:t>用，可以减轻细胞学医生的工作量。该产品同时获得了美国ASCCP的科技创新奖，相关论文也在了</w:t>
            </w:r>
            <w:r w:rsidR="00B25DB4">
              <w:rPr>
                <w:rFonts w:ascii="宋体" w:eastAsia="宋体" w:hAnsi="宋体" w:cs="Times New Roman" w:hint="eastAsia"/>
                <w:sz w:val="24"/>
                <w:szCs w:val="24"/>
              </w:rPr>
              <w:t>学术</w:t>
            </w:r>
            <w:r w:rsidR="00222599" w:rsidRPr="00222599">
              <w:rPr>
                <w:rFonts w:ascii="宋体" w:eastAsia="宋体" w:hAnsi="宋体" w:cs="Times New Roman"/>
                <w:sz w:val="24"/>
                <w:szCs w:val="24"/>
              </w:rPr>
              <w:t>期刊</w:t>
            </w:r>
            <w:r w:rsidR="00B25DB4">
              <w:rPr>
                <w:rFonts w:ascii="宋体" w:eastAsia="宋体" w:hAnsi="宋体" w:cs="Times New Roman"/>
                <w:sz w:val="24"/>
                <w:szCs w:val="24"/>
              </w:rPr>
              <w:t>《Modern Patholog</w:t>
            </w:r>
            <w:r w:rsidR="00B25DB4" w:rsidRPr="00B25DB4">
              <w:rPr>
                <w:rFonts w:ascii="宋体" w:eastAsia="宋体" w:hAnsi="宋体" w:cs="Times New Roman"/>
                <w:sz w:val="24"/>
                <w:szCs w:val="24"/>
              </w:rPr>
              <w:t>y</w:t>
            </w:r>
            <w:r w:rsidR="00B25DB4">
              <w:rPr>
                <w:rFonts w:ascii="宋体" w:eastAsia="宋体" w:hAnsi="宋体" w:cs="Times New Roman"/>
                <w:sz w:val="24"/>
                <w:szCs w:val="24"/>
              </w:rPr>
              <w:t>》和《</w:t>
            </w:r>
            <w:r w:rsidR="00B25DB4" w:rsidRPr="00B25DB4">
              <w:rPr>
                <w:rFonts w:ascii="宋体" w:eastAsia="宋体" w:hAnsi="宋体" w:cs="Times New Roman"/>
                <w:sz w:val="24"/>
                <w:szCs w:val="24"/>
              </w:rPr>
              <w:t>A</w:t>
            </w:r>
            <w:r w:rsidR="00B25DB4">
              <w:rPr>
                <w:rFonts w:ascii="宋体" w:eastAsia="宋体" w:hAnsi="宋体" w:cs="Times New Roman"/>
                <w:sz w:val="24"/>
                <w:szCs w:val="24"/>
              </w:rPr>
              <w:t>c</w:t>
            </w:r>
            <w:r w:rsidR="00B25DB4" w:rsidRPr="00B25DB4">
              <w:rPr>
                <w:rFonts w:ascii="宋体" w:eastAsia="宋体" w:hAnsi="宋体" w:cs="Times New Roman"/>
                <w:sz w:val="24"/>
                <w:szCs w:val="24"/>
              </w:rPr>
              <w:t>t</w:t>
            </w:r>
            <w:r w:rsidR="00B25DB4">
              <w:rPr>
                <w:rFonts w:ascii="宋体" w:eastAsia="宋体" w:hAnsi="宋体" w:cs="Times New Roman"/>
                <w:sz w:val="24"/>
                <w:szCs w:val="24"/>
              </w:rPr>
              <w:t>a Obstetric</w:t>
            </w:r>
            <w:r w:rsidR="00B25DB4" w:rsidRPr="00B25DB4">
              <w:rPr>
                <w:rFonts w:ascii="宋体" w:eastAsia="宋体" w:hAnsi="宋体" w:cs="Times New Roman"/>
                <w:sz w:val="24"/>
                <w:szCs w:val="24"/>
              </w:rPr>
              <w:t>i</w:t>
            </w:r>
            <w:r w:rsidR="00B25DB4">
              <w:rPr>
                <w:rFonts w:ascii="宋体" w:eastAsia="宋体" w:hAnsi="宋体" w:cs="Times New Roman"/>
                <w:sz w:val="24"/>
                <w:szCs w:val="24"/>
              </w:rPr>
              <w:t>a et Gynecologi</w:t>
            </w:r>
            <w:r w:rsidR="00B25DB4" w:rsidRPr="00B25DB4">
              <w:rPr>
                <w:rFonts w:ascii="宋体" w:eastAsia="宋体" w:hAnsi="宋体" w:cs="Times New Roman"/>
                <w:sz w:val="24"/>
                <w:szCs w:val="24"/>
              </w:rPr>
              <w:t>c</w:t>
            </w:r>
            <w:r w:rsidR="00B25DB4">
              <w:rPr>
                <w:rFonts w:ascii="宋体" w:eastAsia="宋体" w:hAnsi="宋体" w:cs="Times New Roman"/>
                <w:sz w:val="24"/>
                <w:szCs w:val="24"/>
              </w:rPr>
              <w:t>a Scandinavic</w:t>
            </w:r>
            <w:r w:rsidR="00B25DB4" w:rsidRPr="00B25DB4">
              <w:rPr>
                <w:rFonts w:ascii="宋体" w:eastAsia="宋体" w:hAnsi="宋体" w:cs="Times New Roman"/>
                <w:sz w:val="24"/>
                <w:szCs w:val="24"/>
              </w:rPr>
              <w:t>a</w:t>
            </w:r>
            <w:r w:rsidR="00B25DB4">
              <w:rPr>
                <w:rFonts w:ascii="宋体" w:eastAsia="宋体" w:hAnsi="宋体" w:cs="Times New Roman"/>
                <w:sz w:val="24"/>
                <w:szCs w:val="24"/>
              </w:rPr>
              <w:t>》</w:t>
            </w:r>
            <w:r w:rsidR="00B25DB4">
              <w:rPr>
                <w:rFonts w:ascii="宋体" w:eastAsia="宋体" w:hAnsi="宋体" w:cs="Times New Roman" w:hint="eastAsia"/>
                <w:sz w:val="24"/>
                <w:szCs w:val="24"/>
              </w:rPr>
              <w:t>发</w:t>
            </w:r>
            <w:r w:rsidR="00B25DB4">
              <w:rPr>
                <w:rFonts w:ascii="宋体" w:eastAsia="宋体" w:hAnsi="宋体" w:cs="Times New Roman"/>
                <w:sz w:val="24"/>
                <w:szCs w:val="24"/>
              </w:rPr>
              <w:t>表</w:t>
            </w:r>
            <w:r w:rsidR="00222599" w:rsidRPr="00222599">
              <w:rPr>
                <w:rFonts w:ascii="宋体" w:eastAsia="宋体" w:hAnsi="宋体" w:cs="Times New Roman"/>
                <w:sz w:val="24"/>
                <w:szCs w:val="24"/>
              </w:rPr>
              <w:t>。</w:t>
            </w:r>
          </w:p>
          <w:p w14:paraId="7C31A945" w14:textId="2E63A7A0" w:rsidR="00755000" w:rsidRPr="00755000" w:rsidRDefault="00755000" w:rsidP="00755000">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755000">
              <w:rPr>
                <w:rFonts w:ascii="宋体" w:eastAsia="宋体" w:hAnsi="宋体" w:cs="Times New Roman"/>
                <w:b/>
                <w:sz w:val="24"/>
                <w:szCs w:val="24"/>
              </w:rPr>
              <w:t xml:space="preserve">公司各业务线的竞争格局以及增长怎么看？ </w:t>
            </w:r>
          </w:p>
          <w:p w14:paraId="3FA7DB0E" w14:textId="1837C3EA" w:rsidR="00755000" w:rsidRDefault="00755000" w:rsidP="00755000">
            <w:pPr>
              <w:spacing w:beforeLines="30" w:before="93" w:line="360" w:lineRule="auto"/>
              <w:ind w:firstLineChars="200" w:firstLine="480"/>
              <w:rPr>
                <w:rFonts w:ascii="宋体" w:eastAsia="宋体" w:hAnsi="宋体" w:cs="Times New Roman"/>
                <w:sz w:val="24"/>
                <w:szCs w:val="24"/>
              </w:rPr>
            </w:pPr>
            <w:r w:rsidRPr="00755000">
              <w:rPr>
                <w:rFonts w:ascii="宋体" w:eastAsia="宋体" w:hAnsi="宋体" w:cs="Times New Roman"/>
                <w:sz w:val="24"/>
                <w:szCs w:val="24"/>
              </w:rPr>
              <w:t>答：首先免疫组化这条线，我们希望通过解决抗体原料的自产、自动化设备升级，能够进入国产品牌第一梯队。其次 FISH 这条线，在保住国产第一品牌的基础上，通过伴随诊断业务能够做出一些创新型增长，同时利用好 FISH 在海外的良好反馈，拓展相关国家的市场。第三，细胞学这</w:t>
            </w:r>
            <w:r w:rsidRPr="00755000">
              <w:rPr>
                <w:rFonts w:ascii="宋体" w:eastAsia="宋体" w:hAnsi="宋体" w:cs="Times New Roman"/>
                <w:sz w:val="24"/>
                <w:szCs w:val="24"/>
              </w:rPr>
              <w:lastRenderedPageBreak/>
              <w:t>块，利用 AI、医学部等优势，拓展大三甲医院，抢占进口品牌的市场份额。第四，病理共建业务能够实现规模效应，带来一定增量。</w:t>
            </w:r>
          </w:p>
          <w:p w14:paraId="492EECAB" w14:textId="21240220" w:rsidR="00755000" w:rsidRPr="00755000" w:rsidRDefault="00755000" w:rsidP="00755000">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755000">
              <w:rPr>
                <w:rFonts w:ascii="宋体" w:eastAsia="宋体" w:hAnsi="宋体" w:cs="Times New Roman"/>
                <w:b/>
                <w:sz w:val="24"/>
                <w:szCs w:val="24"/>
              </w:rPr>
              <w:t xml:space="preserve">公司海外业务布局进展和重点规划区域？ </w:t>
            </w:r>
          </w:p>
          <w:p w14:paraId="11E2BE28" w14:textId="283A3477" w:rsidR="00755000" w:rsidRPr="00755000" w:rsidRDefault="00755000" w:rsidP="00755000">
            <w:pPr>
              <w:spacing w:beforeLines="30" w:before="93" w:line="360" w:lineRule="auto"/>
              <w:ind w:firstLineChars="200" w:firstLine="480"/>
              <w:rPr>
                <w:rFonts w:ascii="宋体" w:eastAsia="宋体" w:hAnsi="宋体" w:cs="Times New Roman" w:hint="eastAsia"/>
                <w:sz w:val="24"/>
                <w:szCs w:val="24"/>
              </w:rPr>
            </w:pPr>
            <w:r w:rsidRPr="00755000">
              <w:rPr>
                <w:rFonts w:ascii="宋体" w:eastAsia="宋体" w:hAnsi="宋体" w:cs="Times New Roman"/>
                <w:sz w:val="24"/>
                <w:szCs w:val="24"/>
              </w:rPr>
              <w:t>答：公司的海外业务主要方向是日本、新加坡、越南、中东等市场。公司会主推现有大单品宫颈细胞学+AI，首先从产品质量上来讲，公司成立之初即做宫颈细胞学，在产品质量和稳定性上均有保证；其次从体量上看，这个产品对应的宫颈癌筛查市场十分庞大；第三，从海外准入上，包括东南亚国家甚至欧盟的 CE，公司评估宫颈细胞学注册报证相关资料链条比较清晰，可以快速推进多个国家的市场。第四，东南亚、中东、欧盟南部等国家也面临人口基数大、病理发展落后等特点，我们可以复制在国内市场的竞争策略，通过我们的自动化设备、AI 阅片来和国际品牌进行差异化竞争。</w:t>
            </w:r>
          </w:p>
          <w:p w14:paraId="033D0B31" w14:textId="04DEF524" w:rsidR="000836E3" w:rsidRPr="000836E3" w:rsidRDefault="000836E3" w:rsidP="00755000">
            <w:pPr>
              <w:spacing w:beforeLines="30" w:before="93" w:line="360" w:lineRule="auto"/>
              <w:ind w:firstLineChars="200" w:firstLine="480"/>
              <w:rPr>
                <w:rFonts w:ascii="宋体" w:eastAsia="宋体" w:hAnsi="宋体" w:cs="宋体"/>
                <w:kern w:val="0"/>
                <w:sz w:val="24"/>
                <w:szCs w:val="24"/>
              </w:rPr>
            </w:pPr>
          </w:p>
        </w:tc>
      </w:tr>
    </w:tbl>
    <w:p w14:paraId="3BE8B926" w14:textId="7E85618F" w:rsidR="001868B0" w:rsidRDefault="001868B0">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F9D0E" w14:textId="77777777" w:rsidR="00BE6CA3" w:rsidRDefault="00BE6CA3" w:rsidP="001212BB">
      <w:r>
        <w:separator/>
      </w:r>
    </w:p>
  </w:endnote>
  <w:endnote w:type="continuationSeparator" w:id="0">
    <w:p w14:paraId="0DAA87D2" w14:textId="77777777" w:rsidR="00BE6CA3" w:rsidRDefault="00BE6CA3"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04AD8" w14:textId="77777777" w:rsidR="00BE6CA3" w:rsidRDefault="00BE6CA3" w:rsidP="001212BB">
      <w:r>
        <w:separator/>
      </w:r>
    </w:p>
  </w:footnote>
  <w:footnote w:type="continuationSeparator" w:id="0">
    <w:p w14:paraId="0564F42B" w14:textId="77777777" w:rsidR="00BE6CA3" w:rsidRDefault="00BE6CA3"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40EA8"/>
    <w:rsid w:val="00043653"/>
    <w:rsid w:val="00044BFE"/>
    <w:rsid w:val="00045ADF"/>
    <w:rsid w:val="000576D0"/>
    <w:rsid w:val="000576EA"/>
    <w:rsid w:val="00062387"/>
    <w:rsid w:val="00066198"/>
    <w:rsid w:val="000756A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39F8"/>
    <w:rsid w:val="001212BB"/>
    <w:rsid w:val="00125AA5"/>
    <w:rsid w:val="00126728"/>
    <w:rsid w:val="00131528"/>
    <w:rsid w:val="0013184A"/>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C0249"/>
    <w:rsid w:val="001C0BF7"/>
    <w:rsid w:val="001C163E"/>
    <w:rsid w:val="001C185E"/>
    <w:rsid w:val="001C1A57"/>
    <w:rsid w:val="001C281A"/>
    <w:rsid w:val="001C298F"/>
    <w:rsid w:val="001C4CCF"/>
    <w:rsid w:val="001C562C"/>
    <w:rsid w:val="001C77E9"/>
    <w:rsid w:val="001C7B58"/>
    <w:rsid w:val="001D0303"/>
    <w:rsid w:val="001D1969"/>
    <w:rsid w:val="001D457F"/>
    <w:rsid w:val="001D7D59"/>
    <w:rsid w:val="001E38B8"/>
    <w:rsid w:val="001F0D1D"/>
    <w:rsid w:val="001F323D"/>
    <w:rsid w:val="001F7354"/>
    <w:rsid w:val="001F754E"/>
    <w:rsid w:val="001F7D9A"/>
    <w:rsid w:val="00200428"/>
    <w:rsid w:val="00204875"/>
    <w:rsid w:val="002050CF"/>
    <w:rsid w:val="00207430"/>
    <w:rsid w:val="0021164F"/>
    <w:rsid w:val="002163B2"/>
    <w:rsid w:val="002211C0"/>
    <w:rsid w:val="002212EE"/>
    <w:rsid w:val="00222599"/>
    <w:rsid w:val="00224908"/>
    <w:rsid w:val="00226C56"/>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91556"/>
    <w:rsid w:val="002947C6"/>
    <w:rsid w:val="00294981"/>
    <w:rsid w:val="00294D63"/>
    <w:rsid w:val="0029693C"/>
    <w:rsid w:val="00297C3E"/>
    <w:rsid w:val="002A1D0E"/>
    <w:rsid w:val="002A4A8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3A54"/>
    <w:rsid w:val="002E7552"/>
    <w:rsid w:val="002F0892"/>
    <w:rsid w:val="002F2223"/>
    <w:rsid w:val="002F23B0"/>
    <w:rsid w:val="002F5751"/>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73D2"/>
    <w:rsid w:val="003767D7"/>
    <w:rsid w:val="00381B4A"/>
    <w:rsid w:val="00382913"/>
    <w:rsid w:val="0038420F"/>
    <w:rsid w:val="003874F3"/>
    <w:rsid w:val="00391392"/>
    <w:rsid w:val="003920C7"/>
    <w:rsid w:val="003934CB"/>
    <w:rsid w:val="0039622F"/>
    <w:rsid w:val="00396B54"/>
    <w:rsid w:val="00396C14"/>
    <w:rsid w:val="003A0763"/>
    <w:rsid w:val="003A4089"/>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C97"/>
    <w:rsid w:val="005D0DAE"/>
    <w:rsid w:val="005D12CF"/>
    <w:rsid w:val="005D30D4"/>
    <w:rsid w:val="005D3520"/>
    <w:rsid w:val="005E0F1F"/>
    <w:rsid w:val="005E1296"/>
    <w:rsid w:val="005E201A"/>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B10"/>
    <w:rsid w:val="006B3CD3"/>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73E1"/>
    <w:rsid w:val="00737EDE"/>
    <w:rsid w:val="00740086"/>
    <w:rsid w:val="00741CE0"/>
    <w:rsid w:val="00755000"/>
    <w:rsid w:val="00755749"/>
    <w:rsid w:val="007578C8"/>
    <w:rsid w:val="00760BDF"/>
    <w:rsid w:val="007613B3"/>
    <w:rsid w:val="00761B9D"/>
    <w:rsid w:val="00763D78"/>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23AB"/>
    <w:rsid w:val="008130EF"/>
    <w:rsid w:val="00822025"/>
    <w:rsid w:val="00822D91"/>
    <w:rsid w:val="0083373B"/>
    <w:rsid w:val="00841B9A"/>
    <w:rsid w:val="0084419F"/>
    <w:rsid w:val="00844EFE"/>
    <w:rsid w:val="008529B6"/>
    <w:rsid w:val="00853153"/>
    <w:rsid w:val="00857A3B"/>
    <w:rsid w:val="008730C9"/>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D1905"/>
    <w:rsid w:val="008D46E5"/>
    <w:rsid w:val="008D632B"/>
    <w:rsid w:val="008D784E"/>
    <w:rsid w:val="008E5E0A"/>
    <w:rsid w:val="008F2D34"/>
    <w:rsid w:val="008F33D5"/>
    <w:rsid w:val="008F6C61"/>
    <w:rsid w:val="00900D76"/>
    <w:rsid w:val="0090151F"/>
    <w:rsid w:val="009047F0"/>
    <w:rsid w:val="00904EC2"/>
    <w:rsid w:val="009056DF"/>
    <w:rsid w:val="00912466"/>
    <w:rsid w:val="009160F3"/>
    <w:rsid w:val="00922257"/>
    <w:rsid w:val="00925987"/>
    <w:rsid w:val="00926A00"/>
    <w:rsid w:val="00930D7D"/>
    <w:rsid w:val="00933E0B"/>
    <w:rsid w:val="009358BA"/>
    <w:rsid w:val="00937399"/>
    <w:rsid w:val="00945AE9"/>
    <w:rsid w:val="00953126"/>
    <w:rsid w:val="00953F1C"/>
    <w:rsid w:val="00956127"/>
    <w:rsid w:val="00957709"/>
    <w:rsid w:val="00962D69"/>
    <w:rsid w:val="009670D1"/>
    <w:rsid w:val="009720A0"/>
    <w:rsid w:val="00973A0D"/>
    <w:rsid w:val="00975615"/>
    <w:rsid w:val="00981FE3"/>
    <w:rsid w:val="009827CF"/>
    <w:rsid w:val="009844B5"/>
    <w:rsid w:val="00984C22"/>
    <w:rsid w:val="00984F49"/>
    <w:rsid w:val="00986F9F"/>
    <w:rsid w:val="00990322"/>
    <w:rsid w:val="00992597"/>
    <w:rsid w:val="009932CB"/>
    <w:rsid w:val="00993463"/>
    <w:rsid w:val="009A3CD7"/>
    <w:rsid w:val="009A67E4"/>
    <w:rsid w:val="009B0E19"/>
    <w:rsid w:val="009B269B"/>
    <w:rsid w:val="009B3F8F"/>
    <w:rsid w:val="009B5CB0"/>
    <w:rsid w:val="009B6C5C"/>
    <w:rsid w:val="009B7AE0"/>
    <w:rsid w:val="009C1151"/>
    <w:rsid w:val="009C3591"/>
    <w:rsid w:val="009C53BB"/>
    <w:rsid w:val="009D1168"/>
    <w:rsid w:val="009D3788"/>
    <w:rsid w:val="009D4B91"/>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EF2"/>
    <w:rsid w:val="00A579D6"/>
    <w:rsid w:val="00A600B5"/>
    <w:rsid w:val="00A60F15"/>
    <w:rsid w:val="00A62EBC"/>
    <w:rsid w:val="00A64132"/>
    <w:rsid w:val="00A654A8"/>
    <w:rsid w:val="00A70E1C"/>
    <w:rsid w:val="00A71D37"/>
    <w:rsid w:val="00A73433"/>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106D"/>
    <w:rsid w:val="00B93419"/>
    <w:rsid w:val="00B951F9"/>
    <w:rsid w:val="00B95423"/>
    <w:rsid w:val="00B97136"/>
    <w:rsid w:val="00BA005E"/>
    <w:rsid w:val="00BA2ECA"/>
    <w:rsid w:val="00BA353E"/>
    <w:rsid w:val="00BA3B7A"/>
    <w:rsid w:val="00BA6735"/>
    <w:rsid w:val="00BA6A7E"/>
    <w:rsid w:val="00BA7A9B"/>
    <w:rsid w:val="00BB53EF"/>
    <w:rsid w:val="00BB6522"/>
    <w:rsid w:val="00BB695B"/>
    <w:rsid w:val="00BB7E6F"/>
    <w:rsid w:val="00BC5C37"/>
    <w:rsid w:val="00BC7465"/>
    <w:rsid w:val="00BD5413"/>
    <w:rsid w:val="00BE0E06"/>
    <w:rsid w:val="00BE2F5E"/>
    <w:rsid w:val="00BE6CA3"/>
    <w:rsid w:val="00BF0099"/>
    <w:rsid w:val="00BF0662"/>
    <w:rsid w:val="00BF1994"/>
    <w:rsid w:val="00BF2DD9"/>
    <w:rsid w:val="00BF3549"/>
    <w:rsid w:val="00BF3CFA"/>
    <w:rsid w:val="00C00FC4"/>
    <w:rsid w:val="00C0299A"/>
    <w:rsid w:val="00C02E82"/>
    <w:rsid w:val="00C05BBC"/>
    <w:rsid w:val="00C07F3F"/>
    <w:rsid w:val="00C11A1B"/>
    <w:rsid w:val="00C12B9A"/>
    <w:rsid w:val="00C160EA"/>
    <w:rsid w:val="00C20280"/>
    <w:rsid w:val="00C24449"/>
    <w:rsid w:val="00C30567"/>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2BE9"/>
    <w:rsid w:val="00D51D8D"/>
    <w:rsid w:val="00D53A90"/>
    <w:rsid w:val="00D603FE"/>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26F6"/>
    <w:rsid w:val="00DC6872"/>
    <w:rsid w:val="00DC6CF9"/>
    <w:rsid w:val="00DD280C"/>
    <w:rsid w:val="00DD3BBB"/>
    <w:rsid w:val="00DD73E5"/>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0DD5"/>
    <w:rsid w:val="00F166FC"/>
    <w:rsid w:val="00F22678"/>
    <w:rsid w:val="00F31C7B"/>
    <w:rsid w:val="00F37FAC"/>
    <w:rsid w:val="00F40053"/>
    <w:rsid w:val="00F40CFE"/>
    <w:rsid w:val="00F44B7C"/>
    <w:rsid w:val="00F46DD3"/>
    <w:rsid w:val="00F500CD"/>
    <w:rsid w:val="00F509E6"/>
    <w:rsid w:val="00F5519B"/>
    <w:rsid w:val="00F6044A"/>
    <w:rsid w:val="00F60780"/>
    <w:rsid w:val="00F60D6F"/>
    <w:rsid w:val="00F65346"/>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E1FA7"/>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16BE7-E392-4C02-9EA9-58FB4CFF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424</Words>
  <Characters>2422</Characters>
  <Application>Microsoft Office Word</Application>
  <DocSecurity>0</DocSecurity>
  <Lines>20</Lines>
  <Paragraphs>5</Paragraphs>
  <ScaleCrop>false</ScaleCrop>
  <Company>P R C</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26</cp:revision>
  <dcterms:created xsi:type="dcterms:W3CDTF">2024-09-13T01:09:00Z</dcterms:created>
  <dcterms:modified xsi:type="dcterms:W3CDTF">2025-01-17T02:17:00Z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