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886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天合光能股份有限公司</w:t>
      </w:r>
    </w:p>
    <w:p w14:paraId="1878EBEC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投资者关系活动记录表</w:t>
      </w:r>
    </w:p>
    <w:p w14:paraId="71FF7BE5" w14:textId="07F0C163" w:rsidR="000822AE" w:rsidRDefault="00F34209">
      <w:pPr>
        <w:wordWrap w:val="0"/>
        <w:spacing w:line="360" w:lineRule="auto"/>
        <w:jc w:val="right"/>
        <w:rPr>
          <w:rFonts w:ascii="宋体" w:eastAsia="宋体" w:hAnsi="宋体" w:cs="Times New Roman" w:hint="eastAsia"/>
          <w:sz w:val="22"/>
        </w:rPr>
      </w:pPr>
      <w:r>
        <w:rPr>
          <w:rFonts w:ascii="宋体" w:eastAsia="宋体" w:hAnsi="宋体" w:cs="Times New Roman" w:hint="eastAsia"/>
          <w:sz w:val="22"/>
        </w:rPr>
        <w:t>编号</w:t>
      </w:r>
      <w:r>
        <w:rPr>
          <w:rFonts w:ascii="宋体" w:eastAsia="宋体" w:hAnsi="宋体" w:cs="Times New Roman"/>
          <w:sz w:val="22"/>
        </w:rPr>
        <w:t>：</w:t>
      </w: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02</w:t>
      </w:r>
      <w:r w:rsidR="007C24F0">
        <w:rPr>
          <w:rFonts w:ascii="宋体" w:eastAsia="宋体" w:hAnsi="宋体" w:cs="Times New Roman" w:hint="eastAsia"/>
          <w:sz w:val="22"/>
        </w:rPr>
        <w:t>5</w:t>
      </w:r>
      <w:r>
        <w:rPr>
          <w:rFonts w:ascii="宋体" w:eastAsia="宋体" w:hAnsi="宋体" w:cs="Times New Roman" w:hint="eastAsia"/>
          <w:sz w:val="22"/>
        </w:rPr>
        <w:t>-0</w:t>
      </w:r>
      <w:r w:rsidR="007C24F0">
        <w:rPr>
          <w:rFonts w:ascii="宋体" w:eastAsia="宋体" w:hAnsi="宋体" w:cs="Times New Roman" w:hint="eastAsia"/>
          <w:sz w:val="22"/>
        </w:rPr>
        <w:t>0</w:t>
      </w:r>
      <w:r w:rsidR="00BA69D9">
        <w:rPr>
          <w:rFonts w:ascii="宋体" w:eastAsia="宋体" w:hAnsi="宋体" w:cs="Times New Roman" w:hint="eastAsia"/>
          <w:sz w:val="22"/>
        </w:rPr>
        <w:t>2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717679FD" w:rsidR="000822AE" w:rsidRDefault="00600DD5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 xml:space="preserve">特定对象调研 </w:t>
            </w:r>
            <w:r>
              <w:rPr>
                <w:rFonts w:ascii="宋体" w:eastAsia="宋体" w:hAnsi="宋体" w:cs="Times New Roman"/>
                <w:sz w:val="22"/>
              </w:rPr>
              <w:t xml:space="preserve">   </w:t>
            </w:r>
            <w:r w:rsidR="0038497E"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Times New Roman" w:hint="eastAsia"/>
                <w:sz w:val="22"/>
              </w:rPr>
              <w:t>分析师会议</w:t>
            </w:r>
          </w:p>
          <w:p w14:paraId="26DD3C1B" w14:textId="65186C8E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 w:hint="eastAsia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媒体采访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  </w:t>
            </w:r>
            <w:r w:rsidR="0041515B" w:rsidRPr="0041515B"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业绩说明会</w:t>
            </w:r>
          </w:p>
          <w:p w14:paraId="10579601" w14:textId="16A2A062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 w:hint="eastAsia"/>
                <w:kern w:val="0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□新闻发布会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</w:t>
            </w:r>
            <w:r w:rsidR="00600DD5"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路演活动</w:t>
            </w:r>
          </w:p>
          <w:p w14:paraId="0B224EB4" w14:textId="4D801C5C" w:rsidR="000822AE" w:rsidRDefault="00600DD5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Times New Roman" w:hint="eastAsia"/>
                <w:sz w:val="22"/>
              </w:rPr>
              <w:t>现场参观</w:t>
            </w:r>
          </w:p>
          <w:p w14:paraId="3E31F48E" w14:textId="77777777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其他</w:t>
            </w:r>
          </w:p>
        </w:tc>
      </w:tr>
      <w:tr w:rsidR="000822AE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参与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单位</w:t>
            </w:r>
          </w:p>
        </w:tc>
        <w:tc>
          <w:tcPr>
            <w:tcW w:w="6804" w:type="dxa"/>
            <w:vAlign w:val="center"/>
          </w:tcPr>
          <w:p w14:paraId="147612CC" w14:textId="77777777" w:rsidR="00EF0C0A" w:rsidRDefault="00EF0C0A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098481FB" w14:textId="45C55E45" w:rsidR="00E837CC" w:rsidRPr="00A850B5" w:rsidRDefault="00A850B5" w:rsidP="00BA69D9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 w:rsidRPr="00A850B5">
              <w:rPr>
                <w:rFonts w:ascii="宋体" w:eastAsia="宋体" w:hAnsi="宋体" w:cs="Times New Roman" w:hint="eastAsia"/>
                <w:szCs w:val="21"/>
              </w:rPr>
              <w:t>泰康资产、</w:t>
            </w:r>
            <w:proofErr w:type="gramStart"/>
            <w:r w:rsidRPr="00A850B5">
              <w:rPr>
                <w:rFonts w:ascii="宋体" w:eastAsia="宋体" w:hAnsi="宋体" w:cs="Times New Roman" w:hint="eastAsia"/>
                <w:szCs w:val="21"/>
              </w:rPr>
              <w:t>天弘基金</w:t>
            </w:r>
            <w:proofErr w:type="gramEnd"/>
            <w:r w:rsidRPr="00A850B5">
              <w:rPr>
                <w:rFonts w:ascii="宋体" w:eastAsia="宋体" w:hAnsi="宋体" w:cs="Times New Roman" w:hint="eastAsia"/>
                <w:szCs w:val="21"/>
              </w:rPr>
              <w:t>、人保养老、民生加银、农银人寿、</w:t>
            </w:r>
            <w:proofErr w:type="gramStart"/>
            <w:r w:rsidRPr="00A850B5">
              <w:rPr>
                <w:rFonts w:ascii="宋体" w:eastAsia="宋体" w:hAnsi="宋体" w:cs="Times New Roman" w:hint="eastAsia"/>
                <w:szCs w:val="21"/>
              </w:rPr>
              <w:t>盘京投资</w:t>
            </w:r>
            <w:proofErr w:type="gramEnd"/>
            <w:r w:rsidRPr="00A850B5">
              <w:rPr>
                <w:rFonts w:ascii="宋体" w:eastAsia="宋体" w:hAnsi="宋体" w:cs="Times New Roman" w:hint="eastAsia"/>
                <w:szCs w:val="21"/>
              </w:rPr>
              <w:t>、大家资产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A850B5">
              <w:rPr>
                <w:rFonts w:ascii="宋体" w:eastAsia="宋体" w:hAnsi="宋体" w:cs="Times New Roman" w:hint="eastAsia"/>
                <w:szCs w:val="21"/>
              </w:rPr>
              <w:t>Fullerton Fund</w:t>
            </w:r>
            <w:r w:rsidR="00D41FB1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3W Fund,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Aspex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Mgmt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, Baillie Gifford &amp; Co, DE Shaw Group, Electron Capital Partners, Fidelity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Invs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, Greenwoods Asset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Mgmt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, HCEP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Mgmt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, Hel Ved Capital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Mgmt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, Hillhouse Capital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Mgmt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, INVESCO Asia,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Janchor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 Partners, Milestone Capital, Oasis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Mgmt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, Oxbow Capital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Mgmt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 xml:space="preserve">, Pavilion Capital, Pinpoint Inv, Point 72, Polymer Capital </w:t>
            </w:r>
            <w:proofErr w:type="spellStart"/>
            <w:r w:rsidR="00D41FB1" w:rsidRPr="00D41FB1">
              <w:rPr>
                <w:rFonts w:ascii="宋体" w:eastAsia="宋体" w:hAnsi="宋体" w:cs="Times New Roman"/>
                <w:szCs w:val="21"/>
              </w:rPr>
              <w:t>Mgmt</w:t>
            </w:r>
            <w:proofErr w:type="spellEnd"/>
            <w:r w:rsidR="00D41FB1" w:rsidRPr="00D41FB1">
              <w:rPr>
                <w:rFonts w:ascii="宋体" w:eastAsia="宋体" w:hAnsi="宋体" w:cs="Times New Roman"/>
                <w:szCs w:val="21"/>
              </w:rPr>
              <w:t>, Qiming Venture Capi</w:t>
            </w:r>
            <w:r w:rsidR="003F3FD2">
              <w:rPr>
                <w:rFonts w:ascii="宋体" w:eastAsia="宋体" w:hAnsi="宋体" w:cs="Times New Roman"/>
                <w:szCs w:val="21"/>
              </w:rPr>
              <w:t xml:space="preserve">tal Partners, Schroder Inv </w:t>
            </w:r>
            <w:proofErr w:type="spellStart"/>
            <w:r w:rsidR="003F3FD2">
              <w:rPr>
                <w:rFonts w:ascii="宋体" w:eastAsia="宋体" w:hAnsi="宋体" w:cs="Times New Roman"/>
                <w:szCs w:val="21"/>
              </w:rPr>
              <w:t>Mgmt</w:t>
            </w:r>
            <w:proofErr w:type="spellEnd"/>
            <w:r w:rsidR="003F3FD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94064E">
              <w:rPr>
                <w:rFonts w:ascii="宋体" w:eastAsia="宋体" w:hAnsi="宋体" w:cs="Times New Roman" w:hint="eastAsia"/>
                <w:szCs w:val="21"/>
              </w:rPr>
              <w:t>高盛证券、</w:t>
            </w:r>
            <w:r w:rsidR="003F3FD2" w:rsidRPr="00A850B5">
              <w:rPr>
                <w:rFonts w:ascii="宋体" w:eastAsia="宋体" w:hAnsi="宋体" w:cs="Times New Roman" w:hint="eastAsia"/>
                <w:szCs w:val="21"/>
              </w:rPr>
              <w:t>长江证券</w:t>
            </w:r>
            <w:r w:rsidR="003F3FD2">
              <w:rPr>
                <w:rFonts w:ascii="宋体" w:eastAsia="宋体" w:hAnsi="宋体" w:cs="Times New Roman" w:hint="eastAsia"/>
                <w:szCs w:val="21"/>
              </w:rPr>
              <w:t>、东吴证券、财通证券、天风证券、中</w:t>
            </w:r>
            <w:proofErr w:type="gramStart"/>
            <w:r w:rsidR="003F3FD2">
              <w:rPr>
                <w:rFonts w:ascii="宋体" w:eastAsia="宋体" w:hAnsi="宋体" w:cs="Times New Roman" w:hint="eastAsia"/>
                <w:szCs w:val="21"/>
              </w:rPr>
              <w:t>信建投证券</w:t>
            </w:r>
            <w:proofErr w:type="gramEnd"/>
            <w:r w:rsidR="003F3FD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E097E">
              <w:rPr>
                <w:rFonts w:ascii="宋体" w:eastAsia="宋体" w:hAnsi="宋体" w:cs="Times New Roman" w:hint="eastAsia"/>
                <w:szCs w:val="21"/>
              </w:rPr>
              <w:t>国金证券、</w:t>
            </w:r>
            <w:r w:rsidR="003F3FD2">
              <w:rPr>
                <w:rFonts w:ascii="宋体" w:eastAsia="宋体" w:hAnsi="宋体" w:cs="Times New Roman" w:hint="eastAsia"/>
                <w:szCs w:val="21"/>
              </w:rPr>
              <w:t>海通证券、兴业证券、民生证券等</w:t>
            </w:r>
          </w:p>
          <w:p w14:paraId="6E6EE335" w14:textId="0FFB43E7" w:rsidR="00BA69D9" w:rsidRPr="003F3FD2" w:rsidRDefault="00BA69D9" w:rsidP="00BA69D9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22AE" w14:paraId="53921372" w14:textId="77777777">
        <w:trPr>
          <w:trHeight w:val="1415"/>
          <w:jc w:val="center"/>
        </w:trPr>
        <w:tc>
          <w:tcPr>
            <w:tcW w:w="1838" w:type="dxa"/>
            <w:vAlign w:val="center"/>
          </w:tcPr>
          <w:p w14:paraId="785BB96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公司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接待人员姓名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及职务</w:t>
            </w:r>
          </w:p>
        </w:tc>
        <w:tc>
          <w:tcPr>
            <w:tcW w:w="6804" w:type="dxa"/>
            <w:vAlign w:val="center"/>
          </w:tcPr>
          <w:p w14:paraId="3B785D29" w14:textId="77777777" w:rsidR="00EF0C0A" w:rsidRDefault="00EF0C0A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38345160" w14:textId="77777777" w:rsidR="000822AE" w:rsidRDefault="00F34209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董事会秘书：吴群</w:t>
            </w:r>
          </w:p>
          <w:p w14:paraId="35435994" w14:textId="51F0E7C3" w:rsidR="00EF0C0A" w:rsidRDefault="00EF0C0A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8B58BB">
              <w:rPr>
                <w:rFonts w:ascii="宋体" w:eastAsia="宋体" w:hAnsi="宋体" w:cs="Times New Roman" w:hint="eastAsia"/>
                <w:szCs w:val="21"/>
              </w:rPr>
              <w:t>团队</w:t>
            </w:r>
          </w:p>
          <w:p w14:paraId="4C5E2A85" w14:textId="0282B1A5" w:rsidR="00EF0C0A" w:rsidRDefault="00EF0C0A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22AE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3DC4BDFE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BA69D9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BA69D9">
              <w:rPr>
                <w:rFonts w:ascii="宋体" w:eastAsia="宋体" w:hAnsi="宋体" w:cs="Times New Roman" w:hint="eastAsia"/>
                <w:sz w:val="22"/>
              </w:rPr>
              <w:t>1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F46A01">
              <w:rPr>
                <w:rFonts w:ascii="宋体" w:eastAsia="宋体" w:hAnsi="宋体" w:cs="Times New Roman" w:hint="eastAsia"/>
                <w:sz w:val="22"/>
              </w:rPr>
              <w:t>1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  <w:r w:rsidR="00EF0C0A">
              <w:rPr>
                <w:rFonts w:ascii="宋体" w:eastAsia="宋体" w:hAnsi="宋体" w:cs="Times New Roman" w:hint="eastAsia"/>
                <w:sz w:val="22"/>
              </w:rPr>
              <w:t>-</w:t>
            </w:r>
            <w:r w:rsidR="00F20249">
              <w:rPr>
                <w:rFonts w:ascii="宋体" w:eastAsia="宋体" w:hAnsi="宋体" w:cs="Times New Roman" w:hint="eastAsia"/>
                <w:sz w:val="22"/>
              </w:rPr>
              <w:t>27</w:t>
            </w:r>
            <w:r w:rsidR="00EF0C0A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0822AE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35C0B16E" w:rsidR="000822AE" w:rsidRDefault="00EF0C0A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EF0C0A">
              <w:rPr>
                <w:rFonts w:ascii="宋体" w:eastAsia="宋体" w:hAnsi="宋体" w:cs="Times New Roman" w:hint="eastAsia"/>
                <w:sz w:val="22"/>
              </w:rPr>
              <w:t>路演活动、</w:t>
            </w:r>
            <w:r>
              <w:rPr>
                <w:rFonts w:ascii="宋体" w:eastAsia="宋体" w:hAnsi="宋体" w:cs="Times New Roman" w:hint="eastAsia"/>
                <w:sz w:val="22"/>
              </w:rPr>
              <w:t>现场调研、</w:t>
            </w:r>
            <w:r w:rsidRPr="00EF0C0A">
              <w:rPr>
                <w:rFonts w:ascii="宋体" w:eastAsia="宋体" w:hAnsi="宋体" w:cs="Times New Roman" w:hint="eastAsia"/>
                <w:sz w:val="22"/>
              </w:rPr>
              <w:t>线上电话会议</w:t>
            </w:r>
          </w:p>
        </w:tc>
      </w:tr>
      <w:tr w:rsidR="000822AE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者关系活动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内容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介绍</w:t>
            </w:r>
          </w:p>
        </w:tc>
        <w:tc>
          <w:tcPr>
            <w:tcW w:w="6804" w:type="dxa"/>
          </w:tcPr>
          <w:p w14:paraId="7A746487" w14:textId="77777777" w:rsidR="0077459F" w:rsidRDefault="0077459F" w:rsidP="00564E73">
            <w:pPr>
              <w:pStyle w:val="12"/>
              <w:rPr>
                <w:rFonts w:ascii="宋体" w:eastAsia="宋体" w:hAnsi="宋体" w:hint="eastAsia"/>
                <w:szCs w:val="21"/>
              </w:rPr>
            </w:pPr>
          </w:p>
          <w:p w14:paraId="67314BD6" w14:textId="29E8FE91" w:rsidR="0077459F" w:rsidRPr="0077459F" w:rsidRDefault="000D0940" w:rsidP="0077459F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公司发布了</w:t>
            </w:r>
            <w:r w:rsidRPr="000D0940">
              <w:rPr>
                <w:rFonts w:ascii="宋体" w:eastAsia="宋体" w:hAnsi="宋体"/>
                <w:b/>
                <w:bCs/>
                <w:szCs w:val="21"/>
              </w:rPr>
              <w:t>2024年年度</w:t>
            </w:r>
            <w:r>
              <w:rPr>
                <w:rFonts w:ascii="宋体" w:eastAsia="宋体" w:hAnsi="宋体" w:hint="eastAsia"/>
                <w:b/>
                <w:szCs w:val="21"/>
              </w:rPr>
              <w:t>业绩预告，</w:t>
            </w:r>
            <w:r w:rsidRPr="000D0940">
              <w:rPr>
                <w:rFonts w:ascii="宋体" w:eastAsia="宋体" w:hAnsi="宋体"/>
                <w:b/>
                <w:szCs w:val="21"/>
              </w:rPr>
              <w:t>业绩变化的主要原因</w:t>
            </w:r>
            <w:r>
              <w:rPr>
                <w:rFonts w:ascii="宋体" w:eastAsia="宋体" w:hAnsi="宋体" w:hint="eastAsia"/>
                <w:b/>
                <w:szCs w:val="21"/>
              </w:rPr>
              <w:t>是什么</w:t>
            </w:r>
            <w:r w:rsidR="0077459F" w:rsidRPr="0077459F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1B7BBFE3" w14:textId="4748DB37" w:rsidR="000D0940" w:rsidRDefault="000D0940" w:rsidP="0077459F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0D0940">
              <w:rPr>
                <w:rFonts w:ascii="宋体" w:eastAsia="宋体" w:hAnsi="宋体"/>
                <w:szCs w:val="21"/>
              </w:rPr>
              <w:t>2024年，公司凭借多元化的业务结构、深厚的技术积累、强大的品牌影响力和完善的全球渠道布局，灵活应对光</w:t>
            </w:r>
            <w:proofErr w:type="gramStart"/>
            <w:r w:rsidRPr="000D0940">
              <w:rPr>
                <w:rFonts w:ascii="宋体" w:eastAsia="宋体" w:hAnsi="宋体"/>
                <w:szCs w:val="21"/>
              </w:rPr>
              <w:t>伏行业</w:t>
            </w:r>
            <w:proofErr w:type="gramEnd"/>
            <w:r w:rsidRPr="000D0940">
              <w:rPr>
                <w:rFonts w:ascii="宋体" w:eastAsia="宋体" w:hAnsi="宋体"/>
                <w:szCs w:val="21"/>
              </w:rPr>
              <w:t>供需失衡及海外市场贸易保</w:t>
            </w:r>
            <w:r w:rsidR="00136911">
              <w:rPr>
                <w:rFonts w:ascii="宋体" w:eastAsia="宋体" w:hAnsi="宋体"/>
                <w:szCs w:val="21"/>
              </w:rPr>
              <w:t>护加剧等诸多挑战，公司组件出货量较</w:t>
            </w:r>
            <w:r w:rsidR="00136911">
              <w:rPr>
                <w:rFonts w:ascii="宋体" w:eastAsia="宋体" w:hAnsi="宋体" w:hint="eastAsia"/>
                <w:szCs w:val="21"/>
              </w:rPr>
              <w:t>2</w:t>
            </w:r>
            <w:r w:rsidR="00136911">
              <w:rPr>
                <w:rFonts w:ascii="宋体" w:eastAsia="宋体" w:hAnsi="宋体"/>
                <w:szCs w:val="21"/>
              </w:rPr>
              <w:t>023</w:t>
            </w:r>
            <w:r w:rsidR="00136911">
              <w:rPr>
                <w:rFonts w:ascii="宋体" w:eastAsia="宋体" w:hAnsi="宋体" w:hint="eastAsia"/>
                <w:szCs w:val="21"/>
              </w:rPr>
              <w:t>年</w:t>
            </w:r>
            <w:r w:rsidR="00136911">
              <w:rPr>
                <w:rFonts w:ascii="宋体" w:eastAsia="宋体" w:hAnsi="宋体"/>
                <w:szCs w:val="21"/>
              </w:rPr>
              <w:t>持续保持增长</w:t>
            </w:r>
            <w:r w:rsidR="00136911">
              <w:rPr>
                <w:rFonts w:ascii="宋体" w:eastAsia="宋体" w:hAnsi="宋体" w:hint="eastAsia"/>
                <w:szCs w:val="21"/>
              </w:rPr>
              <w:t>。</w:t>
            </w:r>
            <w:r w:rsidR="00B8549B">
              <w:rPr>
                <w:rFonts w:ascii="宋体" w:eastAsia="宋体" w:hAnsi="宋体"/>
                <w:szCs w:val="21"/>
              </w:rPr>
              <w:t>但</w:t>
            </w:r>
            <w:r w:rsidR="00B8549B">
              <w:rPr>
                <w:rFonts w:ascii="宋体" w:eastAsia="宋体" w:hAnsi="宋体" w:hint="eastAsia"/>
                <w:szCs w:val="21"/>
              </w:rPr>
              <w:t>2</w:t>
            </w:r>
            <w:r w:rsidR="00B8549B">
              <w:rPr>
                <w:rFonts w:ascii="宋体" w:eastAsia="宋体" w:hAnsi="宋体"/>
                <w:szCs w:val="21"/>
              </w:rPr>
              <w:t>024</w:t>
            </w:r>
            <w:r w:rsidR="00B8549B">
              <w:rPr>
                <w:rFonts w:ascii="宋体" w:eastAsia="宋体" w:hAnsi="宋体" w:hint="eastAsia"/>
                <w:szCs w:val="21"/>
              </w:rPr>
              <w:t>年</w:t>
            </w:r>
            <w:r w:rsidRPr="000D0940">
              <w:rPr>
                <w:rFonts w:ascii="宋体" w:eastAsia="宋体" w:hAnsi="宋体"/>
                <w:szCs w:val="21"/>
              </w:rPr>
              <w:t>公司受光伏组件价格持续下降的影响，组件业务盈利能力下滑，导致全年经营业绩出现亏损。同时基于谨慎性原则，公司对出现减值迹象的长期资产进行减值测试，经过审慎评估将按照企业会计准则计提资产减值准备，对业绩有一定影响。</w:t>
            </w:r>
          </w:p>
          <w:p w14:paraId="106120D5" w14:textId="3DA34341" w:rsidR="0077459F" w:rsidRDefault="00267674" w:rsidP="0077459F">
            <w:pPr>
              <w:pStyle w:val="12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024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0D0940" w:rsidRPr="000D0940">
              <w:rPr>
                <w:rFonts w:ascii="宋体" w:eastAsia="宋体" w:hAnsi="宋体"/>
                <w:szCs w:val="21"/>
              </w:rPr>
              <w:t>，公司加速推动整体解决方案业务发展，在组件、户用分布式系统、跟踪支架、储能系统等各个产品赛道上均继续保持业内领先。公司分布式业务保持较高市场占有率，公司依托全球布局的系统解决方案能力和全球交付服务网络，持续提升储能业务海外市场出货量和市场份</w:t>
            </w:r>
            <w:r w:rsidR="000D0940" w:rsidRPr="000D0940">
              <w:rPr>
                <w:rFonts w:ascii="宋体" w:eastAsia="宋体" w:hAnsi="宋体"/>
                <w:szCs w:val="21"/>
              </w:rPr>
              <w:lastRenderedPageBreak/>
              <w:t>额。</w:t>
            </w:r>
          </w:p>
          <w:p w14:paraId="2CA3F63D" w14:textId="77777777" w:rsidR="000D0940" w:rsidRDefault="000D0940" w:rsidP="0077459F">
            <w:pPr>
              <w:pStyle w:val="12"/>
              <w:rPr>
                <w:rFonts w:ascii="宋体" w:eastAsia="宋体" w:hAnsi="宋体" w:hint="eastAsia"/>
                <w:szCs w:val="21"/>
              </w:rPr>
            </w:pPr>
          </w:p>
          <w:p w14:paraId="5CF523A7" w14:textId="3C2B2C29" w:rsidR="000D0940" w:rsidRPr="0077459F" w:rsidRDefault="000D0940" w:rsidP="000D0940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公司美国工厂交易最新进展情况</w:t>
            </w:r>
            <w:r w:rsidRPr="0077459F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6715D25E" w14:textId="169B6F5C" w:rsidR="00E65148" w:rsidRPr="00E65148" w:rsidRDefault="00E65148" w:rsidP="00E65148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E65148">
              <w:rPr>
                <w:rFonts w:ascii="宋体" w:eastAsia="宋体" w:hAnsi="宋体"/>
                <w:szCs w:val="21"/>
              </w:rPr>
              <w:t>公司与 FREYR 已按交易协议的相关约定</w:t>
            </w:r>
            <w:r>
              <w:rPr>
                <w:rFonts w:ascii="宋体" w:eastAsia="宋体" w:hAnsi="宋体" w:hint="eastAsia"/>
                <w:szCs w:val="21"/>
              </w:rPr>
              <w:t>完成</w:t>
            </w:r>
            <w:r w:rsidRPr="00E65148">
              <w:rPr>
                <w:rFonts w:ascii="宋体" w:eastAsia="宋体" w:hAnsi="宋体"/>
                <w:szCs w:val="21"/>
              </w:rPr>
              <w:t>交割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E65148">
              <w:rPr>
                <w:rFonts w:ascii="宋体" w:eastAsia="宋体" w:hAnsi="宋体"/>
                <w:szCs w:val="21"/>
              </w:rPr>
              <w:t>公司已收到 FREYR 支付的 1 亿美元现金，FREYR 已向公司发行面值为1.5 亿美元的优先票据及 15,437,847 股普通股股票。此外，公司已收回作为原上层股东对 TUM1 的 0.5 亿美元的借款，该款项由 FREYR 完成支付。此次交易预计将对公司2024年利润总额和现金流产生积极影响，最终数据以审计结果为准。</w:t>
            </w:r>
          </w:p>
          <w:p w14:paraId="4C5C785D" w14:textId="77777777" w:rsidR="000D0940" w:rsidRDefault="000D0940" w:rsidP="00EF0C0A">
            <w:pPr>
              <w:pStyle w:val="12"/>
              <w:ind w:left="360" w:firstLineChars="0" w:firstLine="0"/>
              <w:rPr>
                <w:rFonts w:ascii="宋体" w:eastAsia="宋体" w:hAnsi="宋体" w:hint="eastAsia"/>
                <w:b/>
                <w:szCs w:val="21"/>
              </w:rPr>
            </w:pPr>
          </w:p>
          <w:p w14:paraId="2E383B28" w14:textId="77777777" w:rsidR="000D0940" w:rsidRPr="00C943F6" w:rsidRDefault="000D0940" w:rsidP="000D0940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公司对于2025年光伏组件市场需求的判断如何</w:t>
            </w:r>
            <w:r w:rsidRPr="00457135">
              <w:rPr>
                <w:rFonts w:ascii="宋体" w:eastAsia="宋体" w:hAnsi="宋体" w:cs="Arial"/>
                <w:b/>
                <w:bCs/>
                <w:szCs w:val="21"/>
              </w:rPr>
              <w:t>？</w:t>
            </w:r>
          </w:p>
          <w:p w14:paraId="3E424A25" w14:textId="77777777" w:rsidR="000D0940" w:rsidRPr="00965BDC" w:rsidRDefault="000D0940" w:rsidP="000D0940">
            <w:pPr>
              <w:ind w:firstLineChars="200" w:firstLine="420"/>
              <w:rPr>
                <w:rFonts w:ascii="宋体" w:eastAsia="宋体" w:hAnsi="宋体" w:cs="Arial" w:hint="eastAsia"/>
                <w:szCs w:val="21"/>
              </w:rPr>
            </w:pPr>
            <w:r w:rsidRPr="00965BDC">
              <w:rPr>
                <w:rFonts w:ascii="宋体" w:eastAsia="宋体" w:hAnsi="宋体" w:cs="Arial"/>
                <w:szCs w:val="21"/>
              </w:rPr>
              <w:t>随着全球能源转型的持续深化，以及光</w:t>
            </w:r>
            <w:proofErr w:type="gramStart"/>
            <w:r w:rsidRPr="00965BDC">
              <w:rPr>
                <w:rFonts w:ascii="宋体" w:eastAsia="宋体" w:hAnsi="宋体" w:cs="Arial"/>
                <w:szCs w:val="21"/>
              </w:rPr>
              <w:t>伏技术</w:t>
            </w:r>
            <w:proofErr w:type="gramEnd"/>
            <w:r w:rsidRPr="00965BDC">
              <w:rPr>
                <w:rFonts w:ascii="宋体" w:eastAsia="宋体" w:hAnsi="宋体" w:cs="Arial"/>
                <w:szCs w:val="21"/>
              </w:rPr>
              <w:t>进步和成本下降对光</w:t>
            </w:r>
            <w:proofErr w:type="gramStart"/>
            <w:r w:rsidRPr="00965BDC">
              <w:rPr>
                <w:rFonts w:ascii="宋体" w:eastAsia="宋体" w:hAnsi="宋体" w:cs="Arial"/>
                <w:szCs w:val="21"/>
              </w:rPr>
              <w:t>伏</w:t>
            </w:r>
            <w:proofErr w:type="gramEnd"/>
            <w:r w:rsidRPr="00965BDC">
              <w:rPr>
                <w:rFonts w:ascii="宋体" w:eastAsia="宋体" w:hAnsi="宋体" w:cs="Arial"/>
                <w:szCs w:val="21"/>
              </w:rPr>
              <w:t>组件竞争力的进一步推动，光伏组件市场仍具备广阔的发展空间。预计2025年全球光伏组件市场需求将提升至660GW以上，其中中东、拉美、亚太等新兴市场增速尤为显著。</w:t>
            </w:r>
          </w:p>
          <w:p w14:paraId="10233467" w14:textId="77777777" w:rsidR="000D0940" w:rsidRDefault="000D0940" w:rsidP="000D0940">
            <w:pPr>
              <w:ind w:firstLineChars="200" w:firstLine="420"/>
              <w:rPr>
                <w:rFonts w:ascii="宋体" w:eastAsia="宋体" w:hAnsi="宋体" w:cs="Arial" w:hint="eastAsia"/>
                <w:szCs w:val="21"/>
              </w:rPr>
            </w:pPr>
            <w:r w:rsidRPr="00965BDC">
              <w:rPr>
                <w:rFonts w:ascii="宋体" w:eastAsia="宋体" w:hAnsi="宋体" w:cs="Arial"/>
                <w:szCs w:val="21"/>
              </w:rPr>
              <w:t>公司将继续发挥在品牌、渠道、全球化布局等方面的竞争优势，进一步夯实组件业务基础。同时，公司将加速从生产制造商向解决方案服务商转型，秉持“以客户为中心，以场景为导向”的经营宗旨，整合软硬件产品、系统、服务及商业模式，针对不同应用场景的客户需求，提供精准化、差异化的解决方案，实现更大的客户价值，在行业内卷式竞争中寻找高维度</w:t>
            </w:r>
            <w:proofErr w:type="gramStart"/>
            <w:r w:rsidRPr="00965BDC">
              <w:rPr>
                <w:rFonts w:ascii="宋体" w:eastAsia="宋体" w:hAnsi="宋体" w:cs="Arial"/>
                <w:szCs w:val="21"/>
              </w:rPr>
              <w:t>的破局之</w:t>
            </w:r>
            <w:proofErr w:type="gramEnd"/>
            <w:r w:rsidRPr="00965BDC">
              <w:rPr>
                <w:rFonts w:ascii="宋体" w:eastAsia="宋体" w:hAnsi="宋体" w:cs="Arial"/>
                <w:szCs w:val="21"/>
              </w:rPr>
              <w:t>路。</w:t>
            </w:r>
          </w:p>
          <w:p w14:paraId="24A377D0" w14:textId="77777777" w:rsidR="000D0940" w:rsidRPr="000D0940" w:rsidRDefault="000D0940" w:rsidP="00EF0C0A">
            <w:pPr>
              <w:pStyle w:val="12"/>
              <w:ind w:left="360" w:firstLineChars="0" w:firstLine="0"/>
              <w:rPr>
                <w:rFonts w:ascii="宋体" w:eastAsia="宋体" w:hAnsi="宋体" w:hint="eastAsia"/>
                <w:b/>
                <w:szCs w:val="21"/>
              </w:rPr>
            </w:pPr>
          </w:p>
          <w:p w14:paraId="4240D654" w14:textId="5305D2C1" w:rsidR="0050122F" w:rsidRPr="00902F93" w:rsidRDefault="0050122F" w:rsidP="0050122F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公司2025年资本开支情况</w:t>
            </w:r>
            <w:r w:rsidRPr="00AE5AF1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4E44D8E0" w14:textId="6297FB89" w:rsidR="0050122F" w:rsidRDefault="0077459F" w:rsidP="00913AB1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77459F">
              <w:rPr>
                <w:rFonts w:ascii="宋体" w:eastAsia="宋体" w:hAnsi="宋体"/>
                <w:szCs w:val="21"/>
              </w:rPr>
              <w:t>随着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77459F">
              <w:rPr>
                <w:rFonts w:ascii="宋体" w:eastAsia="宋体" w:hAnsi="宋体"/>
                <w:szCs w:val="21"/>
              </w:rPr>
              <w:t>印尼1GW电池组件项目的顺利投产，公司现有</w:t>
            </w:r>
            <w:r w:rsidR="00666790">
              <w:rPr>
                <w:rFonts w:ascii="宋体" w:eastAsia="宋体" w:hAnsi="宋体" w:hint="eastAsia"/>
                <w:szCs w:val="21"/>
              </w:rPr>
              <w:t>国内、海外</w:t>
            </w:r>
            <w:r w:rsidR="00666790">
              <w:rPr>
                <w:rFonts w:ascii="宋体" w:eastAsia="宋体" w:hAnsi="宋体"/>
                <w:szCs w:val="21"/>
              </w:rPr>
              <w:t>产能</w:t>
            </w:r>
            <w:r w:rsidRPr="0077459F">
              <w:rPr>
                <w:rFonts w:ascii="宋体" w:eastAsia="宋体" w:hAnsi="宋体"/>
                <w:szCs w:val="21"/>
              </w:rPr>
              <w:t>已能够充分满足2025年全年的出货规划。基于此，公司将继续秉持稳健的资本开支策略，暂未规划新的产能投资项目。未来，公司将根据市场需求变化及行业发展趋势，动态评估</w:t>
            </w:r>
            <w:r>
              <w:rPr>
                <w:rFonts w:ascii="宋体" w:eastAsia="宋体" w:hAnsi="宋体" w:hint="eastAsia"/>
                <w:szCs w:val="21"/>
              </w:rPr>
              <w:t>海内外</w:t>
            </w:r>
            <w:r w:rsidRPr="0077459F">
              <w:rPr>
                <w:rFonts w:ascii="宋体" w:eastAsia="宋体" w:hAnsi="宋体"/>
                <w:szCs w:val="21"/>
              </w:rPr>
              <w:t>投资机会，确保资源的高效配置，以支持业务的持续健康发展。</w:t>
            </w:r>
          </w:p>
          <w:p w14:paraId="557FDD97" w14:textId="77777777" w:rsidR="0050122F" w:rsidRPr="0050122F" w:rsidRDefault="0050122F" w:rsidP="00EF0C0A">
            <w:pPr>
              <w:pStyle w:val="12"/>
              <w:ind w:left="360" w:firstLineChars="0" w:firstLine="0"/>
              <w:rPr>
                <w:rFonts w:ascii="宋体" w:eastAsia="宋体" w:hAnsi="宋体" w:hint="eastAsia"/>
                <w:b/>
                <w:szCs w:val="21"/>
              </w:rPr>
            </w:pPr>
          </w:p>
          <w:p w14:paraId="6911EE60" w14:textId="171D8612" w:rsidR="00FE014B" w:rsidRPr="00902F93" w:rsidRDefault="00FE014B" w:rsidP="00FE014B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</w:t>
            </w:r>
            <w:r w:rsidR="00AE5AF1" w:rsidRPr="00AE5AF1">
              <w:rPr>
                <w:rFonts w:ascii="宋体" w:eastAsia="宋体" w:hAnsi="宋体" w:hint="eastAsia"/>
                <w:b/>
                <w:szCs w:val="21"/>
              </w:rPr>
              <w:t>在全球化布局和</w:t>
            </w:r>
            <w:r w:rsidR="0045490C" w:rsidRPr="0045490C">
              <w:rPr>
                <w:rFonts w:ascii="宋体" w:eastAsia="宋体" w:hAnsi="宋体" w:hint="eastAsia"/>
                <w:b/>
                <w:szCs w:val="21"/>
              </w:rPr>
              <w:t>本土化</w:t>
            </w:r>
            <w:r w:rsidR="00AE5AF1" w:rsidRPr="00AE5AF1">
              <w:rPr>
                <w:rFonts w:ascii="宋体" w:eastAsia="宋体" w:hAnsi="宋体" w:hint="eastAsia"/>
                <w:b/>
                <w:szCs w:val="21"/>
              </w:rPr>
              <w:t>运营方面的策略和成效如何？</w:t>
            </w:r>
          </w:p>
          <w:p w14:paraId="46657FBA" w14:textId="7B18D008" w:rsidR="00965BDC" w:rsidRPr="00965BDC" w:rsidRDefault="00965BDC" w:rsidP="00965BDC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965BDC">
              <w:rPr>
                <w:rFonts w:ascii="宋体" w:eastAsia="宋体" w:hAnsi="宋体"/>
                <w:szCs w:val="21"/>
              </w:rPr>
              <w:t>天合光能始终秉持全球化战略，致力于深化全球布局与本土化运营，通过构建完善的全球销售和服务网络体系，为全球客户提供卓越、便捷且高效</w:t>
            </w:r>
            <w:proofErr w:type="gramStart"/>
            <w:r w:rsidRPr="00965BDC">
              <w:rPr>
                <w:rFonts w:ascii="宋体" w:eastAsia="宋体" w:hAnsi="宋体"/>
                <w:szCs w:val="21"/>
              </w:rPr>
              <w:t>的光储智慧</w:t>
            </w:r>
            <w:proofErr w:type="gramEnd"/>
            <w:r w:rsidRPr="00965BDC">
              <w:rPr>
                <w:rFonts w:ascii="宋体" w:eastAsia="宋体" w:hAnsi="宋体"/>
                <w:szCs w:val="21"/>
              </w:rPr>
              <w:t>能源解决方案。</w:t>
            </w:r>
          </w:p>
          <w:p w14:paraId="3EE1F00A" w14:textId="4206DB56" w:rsidR="00965BDC" w:rsidRPr="00965BDC" w:rsidRDefault="00965BDC" w:rsidP="00965BDC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965BDC">
              <w:rPr>
                <w:rFonts w:ascii="宋体" w:eastAsia="宋体" w:hAnsi="宋体"/>
                <w:szCs w:val="21"/>
              </w:rPr>
              <w:t>全球化布局</w:t>
            </w:r>
            <w:r>
              <w:rPr>
                <w:rFonts w:ascii="宋体" w:eastAsia="宋体" w:hAnsi="宋体" w:hint="eastAsia"/>
                <w:szCs w:val="21"/>
              </w:rPr>
              <w:t>方面，</w:t>
            </w:r>
            <w:r w:rsidRPr="00965BDC">
              <w:rPr>
                <w:rFonts w:ascii="宋体" w:eastAsia="宋体" w:hAnsi="宋体"/>
                <w:szCs w:val="21"/>
              </w:rPr>
              <w:t>公司已在全球范围内设立了多个区域总部、办事处、分公司以及先进的生产制造基地，成功搭建了覆盖全球的生产、销售与服务网络框架。目前，公司业务遍及全球180多个国家和地区，形成了强大的全球化运营能力。</w:t>
            </w:r>
          </w:p>
          <w:p w14:paraId="7CC297EE" w14:textId="0F56416E" w:rsidR="00965BDC" w:rsidRPr="00965BDC" w:rsidRDefault="00965BDC" w:rsidP="00965BDC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965BDC">
              <w:rPr>
                <w:rFonts w:ascii="宋体" w:eastAsia="宋体" w:hAnsi="宋体"/>
                <w:szCs w:val="21"/>
              </w:rPr>
              <w:t>本土化运营</w:t>
            </w:r>
            <w:r>
              <w:rPr>
                <w:rFonts w:ascii="宋体" w:eastAsia="宋体" w:hAnsi="宋体" w:hint="eastAsia"/>
                <w:szCs w:val="21"/>
              </w:rPr>
              <w:t>方面，</w:t>
            </w:r>
            <w:r w:rsidRPr="00965BDC">
              <w:rPr>
                <w:rFonts w:ascii="宋体" w:eastAsia="宋体" w:hAnsi="宋体"/>
                <w:szCs w:val="21"/>
              </w:rPr>
              <w:t>公司积极探索创新出海模式，特别是在美国市场，通过与当地上市公司的深度合作，实现了组件工厂的生产、经营管理及市场营销的全面本土化。这一模式不仅提升了公司在当地市场的竞争力，也为行业提供了可借鉴的本土化运营成功案例。</w:t>
            </w:r>
          </w:p>
          <w:p w14:paraId="504B7FAB" w14:textId="77777777" w:rsidR="00965BDC" w:rsidRPr="00965BDC" w:rsidRDefault="00965BDC" w:rsidP="00965BDC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965BDC">
              <w:rPr>
                <w:rFonts w:ascii="宋体" w:eastAsia="宋体" w:hAnsi="宋体"/>
                <w:szCs w:val="21"/>
              </w:rPr>
              <w:t>未来，公司将继续优化全球化布局，深化本土化运营能力，进一步提升全球市场份额，为全球客户创造更大价值。</w:t>
            </w:r>
          </w:p>
          <w:p w14:paraId="2DB53369" w14:textId="77777777" w:rsidR="00E4799D" w:rsidRPr="009D313C" w:rsidRDefault="00E4799D" w:rsidP="00FE014B">
            <w:pPr>
              <w:pStyle w:val="12"/>
              <w:rPr>
                <w:rFonts w:ascii="宋体" w:eastAsia="宋体" w:hAnsi="宋体" w:hint="eastAsia"/>
                <w:szCs w:val="21"/>
              </w:rPr>
            </w:pPr>
          </w:p>
          <w:p w14:paraId="46398A29" w14:textId="3626DAF2" w:rsidR="00072F9D" w:rsidRPr="00072F9D" w:rsidRDefault="00457135" w:rsidP="00072F9D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lastRenderedPageBreak/>
              <w:t>近期硅料和硅片价格出现一定的上涨，公司</w:t>
            </w:r>
            <w:r w:rsidRPr="00457135">
              <w:rPr>
                <w:rFonts w:ascii="宋体" w:eastAsia="宋体" w:hAnsi="宋体" w:cs="Arial"/>
                <w:b/>
                <w:bCs/>
                <w:szCs w:val="21"/>
              </w:rPr>
              <w:t>采取</w:t>
            </w:r>
            <w:r w:rsidR="00017802">
              <w:rPr>
                <w:rFonts w:ascii="宋体" w:eastAsia="宋体" w:hAnsi="宋体" w:cs="Arial" w:hint="eastAsia"/>
                <w:b/>
                <w:bCs/>
                <w:szCs w:val="21"/>
              </w:rPr>
              <w:t>了</w:t>
            </w:r>
            <w:r w:rsidRPr="00457135">
              <w:rPr>
                <w:rFonts w:ascii="宋体" w:eastAsia="宋体" w:hAnsi="宋体" w:cs="Arial"/>
                <w:b/>
                <w:bCs/>
                <w:szCs w:val="21"/>
              </w:rPr>
              <w:t>哪些措施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来应对原材料价格波动</w:t>
            </w:r>
            <w:r w:rsidRPr="00457135">
              <w:rPr>
                <w:rFonts w:ascii="宋体" w:eastAsia="宋体" w:hAnsi="宋体" w:cs="Arial"/>
                <w:b/>
                <w:bCs/>
                <w:szCs w:val="21"/>
              </w:rPr>
              <w:t>？</w:t>
            </w:r>
          </w:p>
          <w:p w14:paraId="559E9339" w14:textId="36EA7741" w:rsidR="00965BDC" w:rsidRDefault="00965BDC" w:rsidP="00017802">
            <w:pPr>
              <w:ind w:firstLineChars="200" w:firstLine="420"/>
              <w:rPr>
                <w:rFonts w:ascii="宋体" w:eastAsia="宋体" w:hAnsi="宋体" w:cs="Arial" w:hint="eastAsia"/>
                <w:szCs w:val="21"/>
              </w:rPr>
            </w:pPr>
            <w:r w:rsidRPr="00965BDC">
              <w:rPr>
                <w:rFonts w:ascii="宋体" w:eastAsia="宋体" w:hAnsi="宋体" w:cs="Arial"/>
                <w:szCs w:val="21"/>
              </w:rPr>
              <w:t>公司已构建了完善的供应链管理体系，与供应商建立长期稳定的合作关系，通过</w:t>
            </w:r>
            <w:r w:rsidR="00A850B5">
              <w:rPr>
                <w:rFonts w:ascii="宋体" w:eastAsia="宋体" w:hAnsi="宋体" w:cs="Arial" w:hint="eastAsia"/>
                <w:szCs w:val="21"/>
              </w:rPr>
              <w:t>集采、囤货</w:t>
            </w:r>
            <w:r w:rsidRPr="00965BDC">
              <w:rPr>
                <w:rFonts w:ascii="宋体" w:eastAsia="宋体" w:hAnsi="宋体" w:cs="Arial"/>
                <w:szCs w:val="21"/>
              </w:rPr>
              <w:t>等方式有效降低原材料成本。同时，公司密切关注市场价格动态，灵活调整硅片的外购与自给比例，充分发挥适度一体化的产能优势，以应对原材料价格波动带来的风险，并适时推动价格的良性传导，合理调整产品定价，以缓解原材料价格上涨对经营业绩的影响。</w:t>
            </w:r>
          </w:p>
          <w:p w14:paraId="05F8E797" w14:textId="0B1C3EB6" w:rsidR="00965BDC" w:rsidRDefault="00965BDC" w:rsidP="00017802">
            <w:pPr>
              <w:ind w:firstLineChars="200" w:firstLine="420"/>
              <w:rPr>
                <w:rFonts w:ascii="宋体" w:eastAsia="宋体" w:hAnsi="宋体" w:cs="Arial" w:hint="eastAsia"/>
                <w:szCs w:val="21"/>
              </w:rPr>
            </w:pPr>
            <w:r w:rsidRPr="00965BDC">
              <w:rPr>
                <w:rFonts w:ascii="宋体" w:eastAsia="宋体" w:hAnsi="宋体" w:cs="Arial"/>
                <w:szCs w:val="21"/>
              </w:rPr>
              <w:t>通过以上措施，公司能够有效应对原材料价格波动，保障生产经营的稳定性和盈利能力。未来，公司将继续优化供应链管理，提升抗风险能力，为业务的可持续发展奠定坚实基础。</w:t>
            </w:r>
          </w:p>
          <w:p w14:paraId="780EF5A3" w14:textId="77777777" w:rsidR="007005D2" w:rsidRDefault="007005D2" w:rsidP="00017802">
            <w:pPr>
              <w:ind w:firstLineChars="200" w:firstLine="420"/>
              <w:rPr>
                <w:rFonts w:ascii="宋体" w:eastAsia="宋体" w:hAnsi="宋体" w:cs="Arial" w:hint="eastAsia"/>
                <w:szCs w:val="21"/>
              </w:rPr>
            </w:pPr>
          </w:p>
          <w:p w14:paraId="76A339C4" w14:textId="4B73C51D" w:rsidR="007005D2" w:rsidRPr="00072F9D" w:rsidRDefault="007005D2" w:rsidP="007005D2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公司近期在研发方面的进展情况</w:t>
            </w:r>
            <w:r w:rsidRPr="00457135">
              <w:rPr>
                <w:rFonts w:ascii="宋体" w:eastAsia="宋体" w:hAnsi="宋体" w:cs="Arial"/>
                <w:b/>
                <w:bCs/>
                <w:szCs w:val="21"/>
              </w:rPr>
              <w:t>？</w:t>
            </w:r>
          </w:p>
          <w:p w14:paraId="1F1B5547" w14:textId="1961700B" w:rsidR="007005D2" w:rsidRPr="007005D2" w:rsidRDefault="008F311B" w:rsidP="00BF532E">
            <w:pPr>
              <w:ind w:firstLineChars="200" w:firstLine="420"/>
              <w:rPr>
                <w:rFonts w:ascii="宋体" w:eastAsia="宋体" w:hAnsi="宋体" w:cs="Arial" w:hint="eastAsia"/>
                <w:szCs w:val="21"/>
              </w:rPr>
            </w:pPr>
            <w:r w:rsidRPr="008F311B">
              <w:rPr>
                <w:rFonts w:ascii="宋体" w:eastAsia="宋体" w:hAnsi="宋体" w:cs="Arial" w:hint="eastAsia"/>
                <w:szCs w:val="21"/>
              </w:rPr>
              <w:t>2025年1月6日</w:t>
            </w:r>
            <w:r>
              <w:rPr>
                <w:rFonts w:ascii="宋体" w:eastAsia="宋体" w:hAnsi="宋体" w:cs="Arial" w:hint="eastAsia"/>
                <w:szCs w:val="21"/>
              </w:rPr>
              <w:t>，公司</w:t>
            </w:r>
            <w:r w:rsidRPr="008F311B">
              <w:rPr>
                <w:rFonts w:ascii="宋体" w:eastAsia="宋体" w:hAnsi="宋体" w:cs="Arial" w:hint="eastAsia"/>
                <w:szCs w:val="21"/>
              </w:rPr>
              <w:t>自主研发的高效</w:t>
            </w:r>
            <w:r w:rsidRPr="008F311B">
              <w:rPr>
                <w:rFonts w:ascii="宋体" w:eastAsia="宋体" w:hAnsi="宋体" w:cs="Arial"/>
                <w:szCs w:val="21"/>
              </w:rPr>
              <w:t>n型全钝化异质结电池组件，经德国</w:t>
            </w:r>
            <w:r w:rsidRPr="008F311B">
              <w:rPr>
                <w:rFonts w:ascii="Times New Roman" w:eastAsia="宋体" w:hAnsi="Times New Roman" w:cs="Times New Roman"/>
                <w:szCs w:val="21"/>
              </w:rPr>
              <w:t>‌</w:t>
            </w:r>
            <w:r w:rsidRPr="008F311B">
              <w:rPr>
                <w:rFonts w:ascii="宋体" w:eastAsia="宋体" w:hAnsi="宋体" w:cs="Arial"/>
                <w:szCs w:val="21"/>
              </w:rPr>
              <w:t>弗劳恩霍夫太阳能系统研究所下属的测试实验室认证，最高组件窗口效率达到25.44%，创造了大面积HJT组件窗口效率的世界纪录</w:t>
            </w:r>
            <w:r w:rsidR="00BF532E">
              <w:rPr>
                <w:rFonts w:ascii="宋体" w:eastAsia="宋体" w:hAnsi="宋体" w:cs="Arial" w:hint="eastAsia"/>
                <w:szCs w:val="21"/>
              </w:rPr>
              <w:t>。此前</w:t>
            </w:r>
            <w:r w:rsidR="00BF532E" w:rsidRPr="00BF532E">
              <w:rPr>
                <w:rFonts w:ascii="宋体" w:eastAsia="宋体" w:hAnsi="宋体" w:cs="Arial" w:hint="eastAsia"/>
                <w:szCs w:val="21"/>
              </w:rPr>
              <w:t>，</w:t>
            </w:r>
            <w:r w:rsidR="00BF532E">
              <w:rPr>
                <w:rFonts w:ascii="宋体" w:eastAsia="宋体" w:hAnsi="宋体" w:cs="Arial" w:hint="eastAsia"/>
                <w:szCs w:val="21"/>
              </w:rPr>
              <w:t>公司</w:t>
            </w:r>
            <w:r w:rsidR="00BF532E" w:rsidRPr="00BF532E">
              <w:rPr>
                <w:rFonts w:ascii="宋体" w:eastAsia="宋体" w:hAnsi="宋体" w:cs="Arial" w:hint="eastAsia"/>
                <w:szCs w:val="21"/>
              </w:rPr>
              <w:t>自主研发的高效n型双面</w:t>
            </w:r>
            <w:proofErr w:type="spellStart"/>
            <w:r w:rsidR="00BF532E" w:rsidRPr="00BF532E">
              <w:rPr>
                <w:rFonts w:ascii="宋体" w:eastAsia="宋体" w:hAnsi="宋体" w:cs="Arial" w:hint="eastAsia"/>
                <w:szCs w:val="21"/>
              </w:rPr>
              <w:t>i-TOPCon</w:t>
            </w:r>
            <w:proofErr w:type="spellEnd"/>
            <w:r w:rsidR="00BF532E" w:rsidRPr="00BF532E">
              <w:rPr>
                <w:rFonts w:ascii="宋体" w:eastAsia="宋体" w:hAnsi="宋体" w:cs="Arial" w:hint="eastAsia"/>
                <w:szCs w:val="21"/>
              </w:rPr>
              <w:t>电池，经德国哈梅林太阳能研究所下属的检测实验室认证，最高电池效率达到26.58%，创造了</w:t>
            </w:r>
            <w:proofErr w:type="spellStart"/>
            <w:r w:rsidR="00BF532E" w:rsidRPr="00BF532E">
              <w:rPr>
                <w:rFonts w:ascii="宋体" w:eastAsia="宋体" w:hAnsi="宋体" w:cs="Arial" w:hint="eastAsia"/>
                <w:szCs w:val="21"/>
              </w:rPr>
              <w:t>TOPCon</w:t>
            </w:r>
            <w:proofErr w:type="spellEnd"/>
            <w:r w:rsidR="00BF532E" w:rsidRPr="00BF532E">
              <w:rPr>
                <w:rFonts w:ascii="宋体" w:eastAsia="宋体" w:hAnsi="宋体" w:cs="Arial" w:hint="eastAsia"/>
                <w:szCs w:val="21"/>
              </w:rPr>
              <w:t>太阳电池效率新的世界纪录</w:t>
            </w:r>
            <w:r w:rsidR="00BF532E">
              <w:rPr>
                <w:rFonts w:ascii="宋体" w:eastAsia="宋体" w:hAnsi="宋体" w:cs="Arial" w:hint="eastAsia"/>
                <w:szCs w:val="21"/>
              </w:rPr>
              <w:t>。公司在</w:t>
            </w:r>
            <w:r w:rsidR="00BF532E" w:rsidRPr="00BF532E">
              <w:rPr>
                <w:rFonts w:ascii="宋体" w:eastAsia="宋体" w:hAnsi="宋体" w:cs="Arial" w:hint="eastAsia"/>
                <w:szCs w:val="21"/>
              </w:rPr>
              <w:t>3个月内连破4次世界纪录</w:t>
            </w:r>
            <w:r w:rsidR="00BF532E">
              <w:rPr>
                <w:rFonts w:ascii="宋体" w:eastAsia="宋体" w:hAnsi="宋体" w:cs="Arial" w:hint="eastAsia"/>
                <w:szCs w:val="21"/>
              </w:rPr>
              <w:t>，体现了公司在光</w:t>
            </w:r>
            <w:proofErr w:type="gramStart"/>
            <w:r w:rsidR="00BF532E">
              <w:rPr>
                <w:rFonts w:ascii="宋体" w:eastAsia="宋体" w:hAnsi="宋体" w:cs="Arial" w:hint="eastAsia"/>
                <w:szCs w:val="21"/>
              </w:rPr>
              <w:t>伏技术</w:t>
            </w:r>
            <w:proofErr w:type="gramEnd"/>
            <w:r w:rsidR="00BF532E">
              <w:rPr>
                <w:rFonts w:ascii="宋体" w:eastAsia="宋体" w:hAnsi="宋体" w:cs="Arial" w:hint="eastAsia"/>
                <w:szCs w:val="21"/>
              </w:rPr>
              <w:t>研发方面的全球领先地位。未来公司</w:t>
            </w:r>
            <w:r w:rsidRPr="008F311B">
              <w:rPr>
                <w:rFonts w:ascii="宋体" w:eastAsia="宋体" w:hAnsi="宋体" w:cs="Arial" w:hint="eastAsia"/>
                <w:szCs w:val="21"/>
              </w:rPr>
              <w:t>将持续加大对</w:t>
            </w:r>
            <w:r>
              <w:rPr>
                <w:rFonts w:ascii="宋体" w:eastAsia="宋体" w:hAnsi="宋体" w:cs="Arial" w:hint="eastAsia"/>
                <w:szCs w:val="21"/>
              </w:rPr>
              <w:t>光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伏</w:t>
            </w:r>
            <w:proofErr w:type="gramEnd"/>
            <w:r w:rsidRPr="008F311B">
              <w:rPr>
                <w:rFonts w:ascii="宋体" w:eastAsia="宋体" w:hAnsi="宋体" w:cs="Arial" w:hint="eastAsia"/>
                <w:szCs w:val="21"/>
              </w:rPr>
              <w:t>电池和组件的研发力度，保持技术</w:t>
            </w:r>
            <w:r>
              <w:rPr>
                <w:rFonts w:ascii="宋体" w:eastAsia="宋体" w:hAnsi="宋体" w:cs="Arial" w:hint="eastAsia"/>
                <w:szCs w:val="21"/>
              </w:rPr>
              <w:t>水平</w:t>
            </w:r>
            <w:r w:rsidRPr="008F311B">
              <w:rPr>
                <w:rFonts w:ascii="宋体" w:eastAsia="宋体" w:hAnsi="宋体" w:cs="Arial" w:hint="eastAsia"/>
                <w:szCs w:val="21"/>
              </w:rPr>
              <w:t>的持续领先。</w:t>
            </w:r>
          </w:p>
          <w:p w14:paraId="3B946619" w14:textId="77777777" w:rsidR="00887452" w:rsidRDefault="00887452" w:rsidP="00A75A11">
            <w:pPr>
              <w:ind w:firstLineChars="200" w:firstLine="420"/>
              <w:rPr>
                <w:rFonts w:ascii="宋体" w:eastAsia="宋体" w:hAnsi="宋体" w:cs="Arial" w:hint="eastAsia"/>
                <w:szCs w:val="21"/>
              </w:rPr>
            </w:pPr>
          </w:p>
          <w:p w14:paraId="2516735A" w14:textId="18116B88" w:rsidR="00CD21DD" w:rsidRPr="00072F9D" w:rsidRDefault="00CD21DD" w:rsidP="00CD21DD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公司</w:t>
            </w:r>
            <w:r w:rsidRPr="00CD21DD">
              <w:rPr>
                <w:rFonts w:ascii="宋体" w:eastAsia="宋体" w:hAnsi="宋体" w:cs="Arial" w:hint="eastAsia"/>
                <w:b/>
                <w:bCs/>
                <w:szCs w:val="21"/>
              </w:rPr>
              <w:t>春节</w:t>
            </w: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期间的</w:t>
            </w:r>
            <w:r w:rsidRPr="00CD21DD">
              <w:rPr>
                <w:rFonts w:ascii="宋体" w:eastAsia="宋体" w:hAnsi="宋体" w:cs="Arial" w:hint="eastAsia"/>
                <w:b/>
                <w:bCs/>
                <w:szCs w:val="21"/>
              </w:rPr>
              <w:t>排</w:t>
            </w:r>
            <w:proofErr w:type="gramStart"/>
            <w:r w:rsidRPr="00CD21DD">
              <w:rPr>
                <w:rFonts w:ascii="宋体" w:eastAsia="宋体" w:hAnsi="宋体" w:cs="Arial" w:hint="eastAsia"/>
                <w:b/>
                <w:bCs/>
                <w:szCs w:val="21"/>
              </w:rPr>
              <w:t>产计划</w:t>
            </w:r>
            <w:proofErr w:type="gramEnd"/>
            <w:r w:rsidRPr="00CD21DD">
              <w:rPr>
                <w:rFonts w:ascii="宋体" w:eastAsia="宋体" w:hAnsi="宋体" w:cs="Arial" w:hint="eastAsia"/>
                <w:b/>
                <w:bCs/>
                <w:szCs w:val="21"/>
              </w:rPr>
              <w:t>如何？</w:t>
            </w:r>
          </w:p>
          <w:p w14:paraId="56189AD4" w14:textId="50E35B1A" w:rsidR="00CD21DD" w:rsidRPr="00457135" w:rsidRDefault="00267E1E" w:rsidP="00CD21DD">
            <w:pPr>
              <w:ind w:firstLineChars="200" w:firstLine="420"/>
              <w:rPr>
                <w:rFonts w:ascii="宋体" w:eastAsia="宋体" w:hAnsi="宋体" w:cs="Arial" w:hint="eastAsia"/>
                <w:szCs w:val="21"/>
              </w:rPr>
            </w:pPr>
            <w:r w:rsidRPr="00267E1E">
              <w:rPr>
                <w:rFonts w:ascii="宋体" w:eastAsia="宋体" w:hAnsi="宋体" w:cs="Arial" w:hint="eastAsia"/>
                <w:szCs w:val="21"/>
              </w:rPr>
              <w:t>为确保春节期间的生产活动与市场需求相匹配，公司已结合市场需求及生产规划情况制定了春节期间排产计划，旨在实现生产活动的正常推进与员工权益的合理保障。</w:t>
            </w:r>
          </w:p>
          <w:p w14:paraId="3E7734EA" w14:textId="167A529C" w:rsidR="00A75A11" w:rsidRPr="00CD21DD" w:rsidRDefault="00A75A11" w:rsidP="000D0940">
            <w:pPr>
              <w:ind w:firstLineChars="200" w:firstLine="420"/>
              <w:rPr>
                <w:rFonts w:ascii="宋体" w:eastAsia="宋体" w:hAnsi="宋体" w:cs="Arial" w:hint="eastAsia"/>
                <w:szCs w:val="21"/>
              </w:rPr>
            </w:pPr>
          </w:p>
        </w:tc>
      </w:tr>
      <w:tr w:rsidR="000822AE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清单</w:t>
            </w:r>
          </w:p>
          <w:p w14:paraId="0B9C6CB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如有）</w:t>
            </w:r>
          </w:p>
        </w:tc>
        <w:tc>
          <w:tcPr>
            <w:tcW w:w="6804" w:type="dxa"/>
            <w:vAlign w:val="center"/>
          </w:tcPr>
          <w:p w14:paraId="0B0246E0" w14:textId="77777777" w:rsidR="000822AE" w:rsidRDefault="00F34209">
            <w:pPr>
              <w:spacing w:line="360" w:lineRule="exac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无</w:t>
            </w:r>
          </w:p>
        </w:tc>
      </w:tr>
      <w:tr w:rsidR="000822AE" w14:paraId="29CDC20B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6601019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6804" w:type="dxa"/>
            <w:vAlign w:val="center"/>
          </w:tcPr>
          <w:p w14:paraId="4FA5E1A1" w14:textId="7D7D40D5" w:rsidR="000822AE" w:rsidRDefault="00F34209">
            <w:pPr>
              <w:spacing w:line="360" w:lineRule="exac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7C24F0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F20249"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985168">
              <w:rPr>
                <w:rFonts w:ascii="宋体" w:eastAsia="宋体" w:hAnsi="宋体" w:cs="Times New Roman" w:hint="eastAsia"/>
                <w:sz w:val="22"/>
              </w:rPr>
              <w:t>7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5599F0B1" w14:textId="77777777" w:rsidR="000822AE" w:rsidRDefault="000822AE">
      <w:pPr>
        <w:rPr>
          <w:rFonts w:ascii="宋体" w:eastAsia="宋体" w:hAnsi="宋体" w:hint="eastAsia"/>
          <w:sz w:val="20"/>
        </w:rPr>
      </w:pPr>
    </w:p>
    <w:sectPr w:rsidR="000822AE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173A" w14:textId="77777777" w:rsidR="00C85820" w:rsidRDefault="00C85820">
      <w:pPr>
        <w:rPr>
          <w:rFonts w:hint="eastAsia"/>
        </w:rPr>
      </w:pPr>
      <w:r>
        <w:separator/>
      </w:r>
    </w:p>
  </w:endnote>
  <w:endnote w:type="continuationSeparator" w:id="0">
    <w:p w14:paraId="50646062" w14:textId="77777777" w:rsidR="00C85820" w:rsidRDefault="00C858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微软雅黑"/>
    <w:charset w:val="86"/>
    <w:family w:val="swiss"/>
    <w:pitch w:val="default"/>
    <w:sig w:usb0="00000000" w:usb1="0000000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534C" w14:textId="77777777" w:rsidR="00C85820" w:rsidRDefault="00C85820">
      <w:pPr>
        <w:rPr>
          <w:rFonts w:hint="eastAsia"/>
        </w:rPr>
      </w:pPr>
      <w:r>
        <w:separator/>
      </w:r>
    </w:p>
  </w:footnote>
  <w:footnote w:type="continuationSeparator" w:id="0">
    <w:p w14:paraId="4C0F2A63" w14:textId="77777777" w:rsidR="00C85820" w:rsidRDefault="00C8582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ADC" w14:textId="77777777" w:rsidR="000822AE" w:rsidRDefault="00F34209">
    <w:pPr>
      <w:pStyle w:val="a7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88599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证券简称：天合光能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29422">
    <w:abstractNumId w:val="1"/>
  </w:num>
  <w:num w:numId="2" w16cid:durableId="175586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698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968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249565">
    <w:abstractNumId w:val="3"/>
  </w:num>
  <w:num w:numId="6" w16cid:durableId="515972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061089">
    <w:abstractNumId w:val="2"/>
  </w:num>
  <w:num w:numId="8" w16cid:durableId="468668282">
    <w:abstractNumId w:val="7"/>
  </w:num>
  <w:num w:numId="9" w16cid:durableId="1078600444">
    <w:abstractNumId w:val="6"/>
  </w:num>
  <w:num w:numId="10" w16cid:durableId="702248683">
    <w:abstractNumId w:val="0"/>
  </w:num>
  <w:num w:numId="11" w16cid:durableId="2117409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B59B74B3"/>
    <w:rsid w:val="D3FFDBCA"/>
    <w:rsid w:val="EFDE42B3"/>
    <w:rsid w:val="FCFF4AB2"/>
    <w:rsid w:val="00001B4D"/>
    <w:rsid w:val="0000741E"/>
    <w:rsid w:val="00016F90"/>
    <w:rsid w:val="00017802"/>
    <w:rsid w:val="00021389"/>
    <w:rsid w:val="00027B58"/>
    <w:rsid w:val="00032A09"/>
    <w:rsid w:val="00032A4D"/>
    <w:rsid w:val="0003634A"/>
    <w:rsid w:val="000535B6"/>
    <w:rsid w:val="00054633"/>
    <w:rsid w:val="000600FB"/>
    <w:rsid w:val="000602B5"/>
    <w:rsid w:val="0006186F"/>
    <w:rsid w:val="00063270"/>
    <w:rsid w:val="000671B4"/>
    <w:rsid w:val="000672FC"/>
    <w:rsid w:val="000723EB"/>
    <w:rsid w:val="00072DB9"/>
    <w:rsid w:val="00072F9D"/>
    <w:rsid w:val="00075060"/>
    <w:rsid w:val="000822AE"/>
    <w:rsid w:val="000830DA"/>
    <w:rsid w:val="00086F3A"/>
    <w:rsid w:val="00090600"/>
    <w:rsid w:val="00093793"/>
    <w:rsid w:val="0009692B"/>
    <w:rsid w:val="00096F73"/>
    <w:rsid w:val="000A4079"/>
    <w:rsid w:val="000A4735"/>
    <w:rsid w:val="000B2247"/>
    <w:rsid w:val="000C0D7D"/>
    <w:rsid w:val="000C3A8F"/>
    <w:rsid w:val="000C7374"/>
    <w:rsid w:val="000D0940"/>
    <w:rsid w:val="000F035F"/>
    <w:rsid w:val="000F0EF2"/>
    <w:rsid w:val="000F27D5"/>
    <w:rsid w:val="0010061B"/>
    <w:rsid w:val="00100C2E"/>
    <w:rsid w:val="0011039C"/>
    <w:rsid w:val="0012457F"/>
    <w:rsid w:val="00127FC4"/>
    <w:rsid w:val="001305AA"/>
    <w:rsid w:val="001351E9"/>
    <w:rsid w:val="00136911"/>
    <w:rsid w:val="0014305E"/>
    <w:rsid w:val="00146077"/>
    <w:rsid w:val="00151A5F"/>
    <w:rsid w:val="001554F9"/>
    <w:rsid w:val="0016050F"/>
    <w:rsid w:val="001638AC"/>
    <w:rsid w:val="00163E5C"/>
    <w:rsid w:val="00171BD5"/>
    <w:rsid w:val="001763FD"/>
    <w:rsid w:val="00177C4D"/>
    <w:rsid w:val="0018283A"/>
    <w:rsid w:val="00184A1E"/>
    <w:rsid w:val="00193ECB"/>
    <w:rsid w:val="00194586"/>
    <w:rsid w:val="00195698"/>
    <w:rsid w:val="001A4521"/>
    <w:rsid w:val="001B2FFE"/>
    <w:rsid w:val="001B5E14"/>
    <w:rsid w:val="001C3EED"/>
    <w:rsid w:val="001D6035"/>
    <w:rsid w:val="001E1416"/>
    <w:rsid w:val="001E254C"/>
    <w:rsid w:val="001F397D"/>
    <w:rsid w:val="00236FCA"/>
    <w:rsid w:val="00240227"/>
    <w:rsid w:val="00243714"/>
    <w:rsid w:val="00255719"/>
    <w:rsid w:val="00267674"/>
    <w:rsid w:val="00267E1E"/>
    <w:rsid w:val="00276EBC"/>
    <w:rsid w:val="002839FD"/>
    <w:rsid w:val="00290C21"/>
    <w:rsid w:val="00291483"/>
    <w:rsid w:val="002A0A81"/>
    <w:rsid w:val="002A7179"/>
    <w:rsid w:val="002B3A46"/>
    <w:rsid w:val="002B477F"/>
    <w:rsid w:val="002B71D2"/>
    <w:rsid w:val="002B791E"/>
    <w:rsid w:val="002C2715"/>
    <w:rsid w:val="002C756F"/>
    <w:rsid w:val="002D3182"/>
    <w:rsid w:val="002D454A"/>
    <w:rsid w:val="002D7DDF"/>
    <w:rsid w:val="002E511D"/>
    <w:rsid w:val="002E752A"/>
    <w:rsid w:val="002F763C"/>
    <w:rsid w:val="00301AEF"/>
    <w:rsid w:val="00301ED2"/>
    <w:rsid w:val="00322035"/>
    <w:rsid w:val="00323CB4"/>
    <w:rsid w:val="00332C80"/>
    <w:rsid w:val="00335500"/>
    <w:rsid w:val="00345EE7"/>
    <w:rsid w:val="003466C9"/>
    <w:rsid w:val="003539F0"/>
    <w:rsid w:val="00372117"/>
    <w:rsid w:val="0038497E"/>
    <w:rsid w:val="003855E9"/>
    <w:rsid w:val="00396F7D"/>
    <w:rsid w:val="003A7B78"/>
    <w:rsid w:val="003C13DB"/>
    <w:rsid w:val="003C4699"/>
    <w:rsid w:val="003D0424"/>
    <w:rsid w:val="003F3FD2"/>
    <w:rsid w:val="003F4089"/>
    <w:rsid w:val="00410527"/>
    <w:rsid w:val="0041515B"/>
    <w:rsid w:val="00420556"/>
    <w:rsid w:val="004315F4"/>
    <w:rsid w:val="004361B4"/>
    <w:rsid w:val="00444911"/>
    <w:rsid w:val="00444BC0"/>
    <w:rsid w:val="004462E8"/>
    <w:rsid w:val="0045490C"/>
    <w:rsid w:val="00457135"/>
    <w:rsid w:val="004571B2"/>
    <w:rsid w:val="0046350A"/>
    <w:rsid w:val="0047238E"/>
    <w:rsid w:val="00482903"/>
    <w:rsid w:val="00483FA8"/>
    <w:rsid w:val="00490F04"/>
    <w:rsid w:val="004A2BFF"/>
    <w:rsid w:val="004A352D"/>
    <w:rsid w:val="004B6CB5"/>
    <w:rsid w:val="004C2C96"/>
    <w:rsid w:val="004C3AE2"/>
    <w:rsid w:val="004C5400"/>
    <w:rsid w:val="004C7455"/>
    <w:rsid w:val="004E2903"/>
    <w:rsid w:val="004E5CD2"/>
    <w:rsid w:val="004F3540"/>
    <w:rsid w:val="0050122F"/>
    <w:rsid w:val="00525429"/>
    <w:rsid w:val="00525D67"/>
    <w:rsid w:val="005345F1"/>
    <w:rsid w:val="0054021E"/>
    <w:rsid w:val="00555A60"/>
    <w:rsid w:val="005573AA"/>
    <w:rsid w:val="00564E73"/>
    <w:rsid w:val="005664B4"/>
    <w:rsid w:val="00566B73"/>
    <w:rsid w:val="0057392C"/>
    <w:rsid w:val="005762BF"/>
    <w:rsid w:val="0057648F"/>
    <w:rsid w:val="00580E91"/>
    <w:rsid w:val="00585A72"/>
    <w:rsid w:val="00593230"/>
    <w:rsid w:val="00595FE3"/>
    <w:rsid w:val="005A326D"/>
    <w:rsid w:val="005A4111"/>
    <w:rsid w:val="005E097E"/>
    <w:rsid w:val="005E3907"/>
    <w:rsid w:val="005F0DD3"/>
    <w:rsid w:val="005F56A9"/>
    <w:rsid w:val="00600DD5"/>
    <w:rsid w:val="00602954"/>
    <w:rsid w:val="00623865"/>
    <w:rsid w:val="00624D13"/>
    <w:rsid w:val="006376F1"/>
    <w:rsid w:val="006408B4"/>
    <w:rsid w:val="006472AB"/>
    <w:rsid w:val="0065329B"/>
    <w:rsid w:val="00654AE2"/>
    <w:rsid w:val="00655BBA"/>
    <w:rsid w:val="00662DE3"/>
    <w:rsid w:val="00666790"/>
    <w:rsid w:val="0067528F"/>
    <w:rsid w:val="00685A77"/>
    <w:rsid w:val="006911C0"/>
    <w:rsid w:val="006946E1"/>
    <w:rsid w:val="00695E7E"/>
    <w:rsid w:val="006A350B"/>
    <w:rsid w:val="006B4E98"/>
    <w:rsid w:val="006C3575"/>
    <w:rsid w:val="006C5322"/>
    <w:rsid w:val="006D1E88"/>
    <w:rsid w:val="006E0DB5"/>
    <w:rsid w:val="006E3153"/>
    <w:rsid w:val="006F319E"/>
    <w:rsid w:val="006F3C78"/>
    <w:rsid w:val="007005D2"/>
    <w:rsid w:val="00700C8F"/>
    <w:rsid w:val="007017E1"/>
    <w:rsid w:val="00702179"/>
    <w:rsid w:val="00706436"/>
    <w:rsid w:val="00713CED"/>
    <w:rsid w:val="00715779"/>
    <w:rsid w:val="0072439B"/>
    <w:rsid w:val="00747592"/>
    <w:rsid w:val="00752401"/>
    <w:rsid w:val="007546C7"/>
    <w:rsid w:val="00765CC3"/>
    <w:rsid w:val="00774461"/>
    <w:rsid w:val="0077459F"/>
    <w:rsid w:val="007803AD"/>
    <w:rsid w:val="0078529C"/>
    <w:rsid w:val="007A0472"/>
    <w:rsid w:val="007A655E"/>
    <w:rsid w:val="007B758A"/>
    <w:rsid w:val="007C1592"/>
    <w:rsid w:val="007C24F0"/>
    <w:rsid w:val="007C785C"/>
    <w:rsid w:val="007D1855"/>
    <w:rsid w:val="007D4C9A"/>
    <w:rsid w:val="007E78C1"/>
    <w:rsid w:val="007F63DD"/>
    <w:rsid w:val="007F70AD"/>
    <w:rsid w:val="00807277"/>
    <w:rsid w:val="00807CAD"/>
    <w:rsid w:val="008146C0"/>
    <w:rsid w:val="00817212"/>
    <w:rsid w:val="0083781A"/>
    <w:rsid w:val="0084638D"/>
    <w:rsid w:val="00856E27"/>
    <w:rsid w:val="0087120E"/>
    <w:rsid w:val="00880937"/>
    <w:rsid w:val="00881CB7"/>
    <w:rsid w:val="008851E7"/>
    <w:rsid w:val="00886E7E"/>
    <w:rsid w:val="00887452"/>
    <w:rsid w:val="008B3910"/>
    <w:rsid w:val="008B58BB"/>
    <w:rsid w:val="008B59C2"/>
    <w:rsid w:val="008C55A5"/>
    <w:rsid w:val="008D06EC"/>
    <w:rsid w:val="008E2CA4"/>
    <w:rsid w:val="008F311B"/>
    <w:rsid w:val="008F5F69"/>
    <w:rsid w:val="008F739F"/>
    <w:rsid w:val="00902C1D"/>
    <w:rsid w:val="00902F93"/>
    <w:rsid w:val="0091054A"/>
    <w:rsid w:val="00913AB1"/>
    <w:rsid w:val="00916E80"/>
    <w:rsid w:val="00922D1E"/>
    <w:rsid w:val="00930CB4"/>
    <w:rsid w:val="009312D6"/>
    <w:rsid w:val="00932D0F"/>
    <w:rsid w:val="0094064E"/>
    <w:rsid w:val="00941B99"/>
    <w:rsid w:val="00943855"/>
    <w:rsid w:val="009457B8"/>
    <w:rsid w:val="00955000"/>
    <w:rsid w:val="00956A36"/>
    <w:rsid w:val="00965A27"/>
    <w:rsid w:val="00965BDC"/>
    <w:rsid w:val="00977CA1"/>
    <w:rsid w:val="00980FFC"/>
    <w:rsid w:val="00982D71"/>
    <w:rsid w:val="00985168"/>
    <w:rsid w:val="00987FAF"/>
    <w:rsid w:val="00992D1C"/>
    <w:rsid w:val="009A1684"/>
    <w:rsid w:val="009B3131"/>
    <w:rsid w:val="009B491B"/>
    <w:rsid w:val="009B4C27"/>
    <w:rsid w:val="009B6965"/>
    <w:rsid w:val="009B7921"/>
    <w:rsid w:val="009D313C"/>
    <w:rsid w:val="009D67AB"/>
    <w:rsid w:val="009D7B69"/>
    <w:rsid w:val="009E75C3"/>
    <w:rsid w:val="00A045A6"/>
    <w:rsid w:val="00A127DA"/>
    <w:rsid w:val="00A139A1"/>
    <w:rsid w:val="00A146E9"/>
    <w:rsid w:val="00A2376C"/>
    <w:rsid w:val="00A32FB8"/>
    <w:rsid w:val="00A36A44"/>
    <w:rsid w:val="00A37186"/>
    <w:rsid w:val="00A40971"/>
    <w:rsid w:val="00A42BDE"/>
    <w:rsid w:val="00A47FEB"/>
    <w:rsid w:val="00A75A11"/>
    <w:rsid w:val="00A81BE3"/>
    <w:rsid w:val="00A850B5"/>
    <w:rsid w:val="00A87BEE"/>
    <w:rsid w:val="00AA0670"/>
    <w:rsid w:val="00AA0CDA"/>
    <w:rsid w:val="00AA4B75"/>
    <w:rsid w:val="00AA7E02"/>
    <w:rsid w:val="00AC4720"/>
    <w:rsid w:val="00AC75AC"/>
    <w:rsid w:val="00AE335E"/>
    <w:rsid w:val="00AE5AF1"/>
    <w:rsid w:val="00AF0641"/>
    <w:rsid w:val="00B12F7B"/>
    <w:rsid w:val="00B176F9"/>
    <w:rsid w:val="00B216C4"/>
    <w:rsid w:val="00B22B09"/>
    <w:rsid w:val="00B308E5"/>
    <w:rsid w:val="00B33744"/>
    <w:rsid w:val="00B36680"/>
    <w:rsid w:val="00B36D41"/>
    <w:rsid w:val="00B43404"/>
    <w:rsid w:val="00B43638"/>
    <w:rsid w:val="00B5116C"/>
    <w:rsid w:val="00B556D9"/>
    <w:rsid w:val="00B55DB1"/>
    <w:rsid w:val="00B56C40"/>
    <w:rsid w:val="00B579C8"/>
    <w:rsid w:val="00B65B5E"/>
    <w:rsid w:val="00B6708E"/>
    <w:rsid w:val="00B701C9"/>
    <w:rsid w:val="00B704D0"/>
    <w:rsid w:val="00B8549B"/>
    <w:rsid w:val="00B85C57"/>
    <w:rsid w:val="00BA64A1"/>
    <w:rsid w:val="00BA69D9"/>
    <w:rsid w:val="00BB46D2"/>
    <w:rsid w:val="00BC02B6"/>
    <w:rsid w:val="00BC4C3E"/>
    <w:rsid w:val="00BC522E"/>
    <w:rsid w:val="00BC68F2"/>
    <w:rsid w:val="00BD02F2"/>
    <w:rsid w:val="00BD37C8"/>
    <w:rsid w:val="00BF33E5"/>
    <w:rsid w:val="00BF532E"/>
    <w:rsid w:val="00C055B4"/>
    <w:rsid w:val="00C06784"/>
    <w:rsid w:val="00C14788"/>
    <w:rsid w:val="00C15147"/>
    <w:rsid w:val="00C53447"/>
    <w:rsid w:val="00C57715"/>
    <w:rsid w:val="00C57A48"/>
    <w:rsid w:val="00C62645"/>
    <w:rsid w:val="00C733C8"/>
    <w:rsid w:val="00C85820"/>
    <w:rsid w:val="00C876C9"/>
    <w:rsid w:val="00C943F6"/>
    <w:rsid w:val="00CA00EB"/>
    <w:rsid w:val="00CA0618"/>
    <w:rsid w:val="00CA1DC2"/>
    <w:rsid w:val="00CA3B9F"/>
    <w:rsid w:val="00CB4BA4"/>
    <w:rsid w:val="00CC3631"/>
    <w:rsid w:val="00CC6615"/>
    <w:rsid w:val="00CC7668"/>
    <w:rsid w:val="00CD0D0A"/>
    <w:rsid w:val="00CD21DD"/>
    <w:rsid w:val="00CD4F87"/>
    <w:rsid w:val="00CE12CF"/>
    <w:rsid w:val="00CE580B"/>
    <w:rsid w:val="00CF33A4"/>
    <w:rsid w:val="00CF34EC"/>
    <w:rsid w:val="00CF43A9"/>
    <w:rsid w:val="00CF4C76"/>
    <w:rsid w:val="00CF6A74"/>
    <w:rsid w:val="00D1472F"/>
    <w:rsid w:val="00D16D82"/>
    <w:rsid w:val="00D26843"/>
    <w:rsid w:val="00D3218C"/>
    <w:rsid w:val="00D357EE"/>
    <w:rsid w:val="00D41FB1"/>
    <w:rsid w:val="00D42816"/>
    <w:rsid w:val="00D43D03"/>
    <w:rsid w:val="00D47458"/>
    <w:rsid w:val="00D623D1"/>
    <w:rsid w:val="00D72D83"/>
    <w:rsid w:val="00D80CE0"/>
    <w:rsid w:val="00D86A8A"/>
    <w:rsid w:val="00D97E7C"/>
    <w:rsid w:val="00DA798E"/>
    <w:rsid w:val="00DB4ACC"/>
    <w:rsid w:val="00DB67E8"/>
    <w:rsid w:val="00DC01AA"/>
    <w:rsid w:val="00DC2415"/>
    <w:rsid w:val="00DC4B5A"/>
    <w:rsid w:val="00DC622F"/>
    <w:rsid w:val="00DD088B"/>
    <w:rsid w:val="00DD3FBD"/>
    <w:rsid w:val="00DE16C5"/>
    <w:rsid w:val="00DF05FB"/>
    <w:rsid w:val="00DF505F"/>
    <w:rsid w:val="00DF73B2"/>
    <w:rsid w:val="00E002B9"/>
    <w:rsid w:val="00E0086A"/>
    <w:rsid w:val="00E03463"/>
    <w:rsid w:val="00E048E9"/>
    <w:rsid w:val="00E059A4"/>
    <w:rsid w:val="00E157BE"/>
    <w:rsid w:val="00E15D38"/>
    <w:rsid w:val="00E304D9"/>
    <w:rsid w:val="00E345BE"/>
    <w:rsid w:val="00E357F8"/>
    <w:rsid w:val="00E37941"/>
    <w:rsid w:val="00E45931"/>
    <w:rsid w:val="00E46941"/>
    <w:rsid w:val="00E4799D"/>
    <w:rsid w:val="00E62E35"/>
    <w:rsid w:val="00E65148"/>
    <w:rsid w:val="00E72CC2"/>
    <w:rsid w:val="00E74EB9"/>
    <w:rsid w:val="00E837CC"/>
    <w:rsid w:val="00E84E16"/>
    <w:rsid w:val="00E914F3"/>
    <w:rsid w:val="00E92C9B"/>
    <w:rsid w:val="00E93AA6"/>
    <w:rsid w:val="00E9647C"/>
    <w:rsid w:val="00E97E72"/>
    <w:rsid w:val="00EA239E"/>
    <w:rsid w:val="00EA2957"/>
    <w:rsid w:val="00EA7A96"/>
    <w:rsid w:val="00EB3AF4"/>
    <w:rsid w:val="00EB41E5"/>
    <w:rsid w:val="00EB610A"/>
    <w:rsid w:val="00EC059F"/>
    <w:rsid w:val="00EC7DF3"/>
    <w:rsid w:val="00ED6D7C"/>
    <w:rsid w:val="00EF0C0A"/>
    <w:rsid w:val="00EF46B4"/>
    <w:rsid w:val="00EF7D58"/>
    <w:rsid w:val="00F0068F"/>
    <w:rsid w:val="00F06F16"/>
    <w:rsid w:val="00F111D0"/>
    <w:rsid w:val="00F14E7E"/>
    <w:rsid w:val="00F20249"/>
    <w:rsid w:val="00F34209"/>
    <w:rsid w:val="00F37EED"/>
    <w:rsid w:val="00F42130"/>
    <w:rsid w:val="00F4268B"/>
    <w:rsid w:val="00F45E2C"/>
    <w:rsid w:val="00F46A01"/>
    <w:rsid w:val="00F4780C"/>
    <w:rsid w:val="00F51CE2"/>
    <w:rsid w:val="00F52723"/>
    <w:rsid w:val="00F539A4"/>
    <w:rsid w:val="00F60963"/>
    <w:rsid w:val="00F643A5"/>
    <w:rsid w:val="00F64AB7"/>
    <w:rsid w:val="00F66625"/>
    <w:rsid w:val="00F67AE6"/>
    <w:rsid w:val="00F72B30"/>
    <w:rsid w:val="00F83CA7"/>
    <w:rsid w:val="00F936F0"/>
    <w:rsid w:val="00F973FF"/>
    <w:rsid w:val="00FB228B"/>
    <w:rsid w:val="00FC243C"/>
    <w:rsid w:val="00FD1D73"/>
    <w:rsid w:val="00FD3254"/>
    <w:rsid w:val="00FD79A0"/>
    <w:rsid w:val="00FE014B"/>
    <w:rsid w:val="00FE76BB"/>
    <w:rsid w:val="00FF217C"/>
    <w:rsid w:val="2A6F2F01"/>
    <w:rsid w:val="63FB96B2"/>
    <w:rsid w:val="7CBD7C2A"/>
    <w:rsid w:val="7FFE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1">
    <w:name w:val="批注文字 字符"/>
    <w:basedOn w:val="a0"/>
    <w:link w:val="af0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3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y L</cp:lastModifiedBy>
  <cp:revision>22</cp:revision>
  <cp:lastPrinted>2024-12-02T08:30:00Z</cp:lastPrinted>
  <dcterms:created xsi:type="dcterms:W3CDTF">2025-01-23T07:51:00Z</dcterms:created>
  <dcterms:modified xsi:type="dcterms:W3CDTF">2025-02-07T03:49:00Z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