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D656" w14:textId="77777777" w:rsidR="007D5E64" w:rsidRDefault="00E22C92" w:rsidP="00BE0A69">
      <w:pPr>
        <w:ind w:firstLineChars="0" w:firstLine="0"/>
        <w:rPr>
          <w:rFonts w:ascii="宋体" w:eastAsia="宋体" w:hAnsi="宋体" w:cs="宋体" w:hint="eastAsia"/>
          <w:sz w:val="24"/>
          <w:szCs w:val="24"/>
        </w:rPr>
      </w:pPr>
      <w:r>
        <w:rPr>
          <w:rFonts w:ascii="宋体" w:eastAsia="宋体" w:hAnsi="宋体" w:cs="宋体" w:hint="eastAsia"/>
          <w:sz w:val="24"/>
          <w:szCs w:val="24"/>
        </w:rPr>
        <w:t>证券代码：688132                                   证券简称：邦彦技术</w:t>
      </w:r>
    </w:p>
    <w:p w14:paraId="58DE94DB" w14:textId="77777777" w:rsidR="007D5E64" w:rsidRDefault="00E22C92">
      <w:pPr>
        <w:spacing w:line="360" w:lineRule="auto"/>
        <w:ind w:firstLineChars="0" w:firstLine="0"/>
        <w:jc w:val="center"/>
        <w:rPr>
          <w:rFonts w:ascii="宋体" w:eastAsia="宋体" w:hAnsi="宋体" w:cs="宋体" w:hint="eastAsia"/>
          <w:b/>
          <w:iCs/>
          <w:color w:val="000000"/>
          <w:sz w:val="44"/>
          <w:szCs w:val="44"/>
        </w:rPr>
      </w:pPr>
      <w:r>
        <w:rPr>
          <w:rFonts w:ascii="宋体" w:eastAsia="宋体" w:hAnsi="宋体" w:cs="宋体" w:hint="eastAsia"/>
          <w:b/>
          <w:iCs/>
          <w:color w:val="000000"/>
          <w:sz w:val="44"/>
          <w:szCs w:val="44"/>
        </w:rPr>
        <w:t>邦彦技术股份有限公司</w:t>
      </w:r>
    </w:p>
    <w:p w14:paraId="6E0179E3" w14:textId="77777777" w:rsidR="007D5E64" w:rsidRDefault="00E22C92">
      <w:pPr>
        <w:spacing w:line="360" w:lineRule="auto"/>
        <w:ind w:firstLineChars="0" w:firstLine="0"/>
        <w:jc w:val="center"/>
        <w:rPr>
          <w:rFonts w:ascii="宋体" w:eastAsia="宋体" w:hAnsi="宋体" w:cs="宋体" w:hint="eastAsia"/>
          <w:b/>
          <w:iCs/>
          <w:color w:val="000000"/>
          <w:sz w:val="44"/>
          <w:szCs w:val="44"/>
        </w:rPr>
      </w:pPr>
      <w:r>
        <w:rPr>
          <w:rFonts w:ascii="宋体" w:eastAsia="宋体" w:hAnsi="宋体" w:cs="宋体" w:hint="eastAsia"/>
          <w:b/>
          <w:iCs/>
          <w:color w:val="000000"/>
          <w:sz w:val="44"/>
          <w:szCs w:val="44"/>
        </w:rPr>
        <w:t>投资者关系活动记录表</w:t>
      </w:r>
    </w:p>
    <w:p w14:paraId="49ADDB9F" w14:textId="77777777" w:rsidR="007D5E64" w:rsidRDefault="00E22C92">
      <w:pPr>
        <w:spacing w:line="360" w:lineRule="auto"/>
        <w:ind w:firstLineChars="0" w:firstLine="0"/>
        <w:jc w:val="center"/>
        <w:rPr>
          <w:rFonts w:ascii="宋体" w:eastAsia="宋体" w:hAnsi="宋体" w:cs="宋体" w:hint="eastAsia"/>
          <w:b/>
          <w:iCs/>
          <w:color w:val="000000"/>
          <w:sz w:val="44"/>
          <w:szCs w:val="44"/>
        </w:rPr>
      </w:pPr>
      <w:r>
        <w:rPr>
          <w:rFonts w:ascii="宋体" w:eastAsia="宋体" w:hAnsi="宋体" w:cs="宋体" w:hint="eastAsia"/>
          <w:b/>
          <w:iCs/>
          <w:color w:val="000000"/>
          <w:sz w:val="44"/>
          <w:szCs w:val="44"/>
        </w:rPr>
        <w:t>（202</w:t>
      </w:r>
      <w:r>
        <w:rPr>
          <w:rFonts w:ascii="宋体" w:eastAsia="宋体" w:hAnsi="宋体" w:cs="宋体"/>
          <w:b/>
          <w:iCs/>
          <w:color w:val="000000"/>
          <w:sz w:val="44"/>
          <w:szCs w:val="44"/>
        </w:rPr>
        <w:t>5</w:t>
      </w:r>
      <w:r>
        <w:rPr>
          <w:rFonts w:ascii="宋体" w:eastAsia="宋体" w:hAnsi="宋体" w:cs="宋体" w:hint="eastAsia"/>
          <w:b/>
          <w:iCs/>
          <w:color w:val="000000"/>
          <w:sz w:val="44"/>
          <w:szCs w:val="44"/>
        </w:rPr>
        <w:t>年</w:t>
      </w:r>
      <w:r w:rsidR="00021F65">
        <w:rPr>
          <w:rFonts w:ascii="宋体" w:eastAsia="宋体" w:hAnsi="宋体" w:cs="宋体"/>
          <w:b/>
          <w:iCs/>
          <w:color w:val="000000"/>
          <w:sz w:val="44"/>
          <w:szCs w:val="44"/>
        </w:rPr>
        <w:t>2</w:t>
      </w:r>
      <w:r>
        <w:rPr>
          <w:rFonts w:ascii="宋体" w:eastAsia="宋体" w:hAnsi="宋体" w:cs="宋体" w:hint="eastAsia"/>
          <w:b/>
          <w:iCs/>
          <w:color w:val="000000"/>
          <w:sz w:val="44"/>
          <w:szCs w:val="44"/>
        </w:rPr>
        <w:t>月</w:t>
      </w:r>
      <w:r w:rsidR="00021F65">
        <w:rPr>
          <w:rFonts w:ascii="宋体" w:eastAsia="宋体" w:hAnsi="宋体" w:cs="宋体"/>
          <w:b/>
          <w:iCs/>
          <w:color w:val="000000"/>
          <w:sz w:val="44"/>
          <w:szCs w:val="44"/>
        </w:rPr>
        <w:t>14</w:t>
      </w:r>
      <w:r>
        <w:rPr>
          <w:rFonts w:ascii="宋体" w:eastAsia="宋体" w:hAnsi="宋体" w:cs="宋体" w:hint="eastAsia"/>
          <w:b/>
          <w:iCs/>
          <w:color w:val="000000"/>
          <w:sz w:val="44"/>
          <w:szCs w:val="44"/>
        </w:rPr>
        <w:t>日）</w:t>
      </w:r>
    </w:p>
    <w:p w14:paraId="2DCF3ACE" w14:textId="77777777" w:rsidR="00E60BB3" w:rsidRDefault="00E22C92" w:rsidP="00E60BB3">
      <w:pPr>
        <w:spacing w:line="360" w:lineRule="auto"/>
        <w:ind w:firstLineChars="0" w:firstLine="0"/>
        <w:jc w:val="right"/>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编号：202</w:t>
      </w:r>
      <w:r>
        <w:rPr>
          <w:rFonts w:ascii="宋体" w:eastAsia="宋体" w:hAnsi="宋体" w:cs="宋体"/>
          <w:bCs/>
          <w:iCs/>
          <w:color w:val="000000"/>
          <w:sz w:val="24"/>
          <w:szCs w:val="24"/>
        </w:rPr>
        <w:t>5</w:t>
      </w:r>
      <w:r>
        <w:rPr>
          <w:rFonts w:ascii="宋体" w:eastAsia="宋体" w:hAnsi="宋体" w:cs="宋体" w:hint="eastAsia"/>
          <w:bCs/>
          <w:iCs/>
          <w:color w:val="000000"/>
          <w:sz w:val="24"/>
          <w:szCs w:val="24"/>
        </w:rPr>
        <w:t>-0</w:t>
      </w:r>
      <w:r w:rsidR="00E60BB3">
        <w:rPr>
          <w:rFonts w:ascii="宋体" w:eastAsia="宋体" w:hAnsi="宋体" w:cs="宋体"/>
          <w:bCs/>
          <w:iCs/>
          <w:color w:val="000000"/>
          <w:sz w:val="24"/>
          <w:szCs w:val="24"/>
        </w:rPr>
        <w:t>0</w:t>
      </w:r>
      <w:r w:rsidR="00E60BB3">
        <w:rPr>
          <w:rFonts w:ascii="宋体" w:eastAsia="宋体" w:hAnsi="宋体" w:cs="宋体" w:hint="eastAsia"/>
          <w:bCs/>
          <w:iCs/>
          <w:color w:val="000000"/>
          <w:sz w:val="24"/>
          <w:szCs w:val="24"/>
        </w:rPr>
        <w:t>3</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6460"/>
      </w:tblGrid>
      <w:tr w:rsidR="007D5E64" w14:paraId="4E3C7810" w14:textId="77777777">
        <w:trPr>
          <w:trHeight w:val="1872"/>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20FB4BA" w14:textId="77777777" w:rsidR="007D5E64" w:rsidRDefault="00E22C92">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投资者关系活动类别</w:t>
            </w:r>
          </w:p>
          <w:p w14:paraId="2F94E66A" w14:textId="77777777" w:rsidR="007D5E64" w:rsidRDefault="007D5E64">
            <w:pPr>
              <w:spacing w:line="360" w:lineRule="auto"/>
              <w:ind w:firstLineChars="0" w:firstLine="0"/>
              <w:jc w:val="center"/>
              <w:rPr>
                <w:rFonts w:ascii="宋体" w:eastAsia="宋体" w:hAnsi="宋体" w:cs="宋体" w:hint="eastAsia"/>
                <w:b/>
                <w:iCs/>
                <w:color w:val="000000"/>
                <w:sz w:val="24"/>
                <w:szCs w:val="24"/>
              </w:rPr>
            </w:pP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7E5835BE" w14:textId="77777777" w:rsidR="007D5E64" w:rsidRDefault="00E22C92">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 xml:space="preserve">□特定对象调研  </w:t>
            </w:r>
            <w:r>
              <w:rPr>
                <w:rFonts w:ascii="宋体" w:eastAsia="宋体" w:hAnsi="宋体" w:cs="宋体" w:hint="eastAsia"/>
                <w:bCs/>
                <w:iCs/>
                <w:color w:val="000000"/>
                <w:sz w:val="24"/>
                <w:szCs w:val="24"/>
              </w:rPr>
              <w:sym w:font="Wingdings 2" w:char="0052"/>
            </w:r>
            <w:r>
              <w:rPr>
                <w:rFonts w:ascii="宋体" w:eastAsia="宋体" w:hAnsi="宋体" w:cs="宋体" w:hint="eastAsia"/>
                <w:bCs/>
                <w:iCs/>
                <w:color w:val="000000"/>
                <w:sz w:val="24"/>
                <w:szCs w:val="24"/>
              </w:rPr>
              <w:t>分析师会议</w:t>
            </w:r>
          </w:p>
          <w:p w14:paraId="1912A493" w14:textId="77777777" w:rsidR="007D5E64" w:rsidRDefault="00E22C92">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□媒体采访      □业绩说明会</w:t>
            </w:r>
          </w:p>
          <w:p w14:paraId="7B405A44" w14:textId="77777777" w:rsidR="007D5E64" w:rsidRDefault="00E22C92">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□新闻发布会    □路演活动</w:t>
            </w:r>
          </w:p>
          <w:p w14:paraId="6ED3CBC0" w14:textId="77777777" w:rsidR="007D5E64" w:rsidRDefault="00E22C92">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□现场参观      □其他</w:t>
            </w:r>
            <w:r>
              <w:rPr>
                <w:rFonts w:ascii="宋体" w:eastAsia="宋体" w:hAnsi="宋体" w:cs="宋体" w:hint="eastAsia"/>
                <w:bCs/>
                <w:iCs/>
                <w:color w:val="000000"/>
                <w:sz w:val="24"/>
                <w:szCs w:val="24"/>
                <w:u w:val="single"/>
              </w:rPr>
              <w:t xml:space="preserve">   </w:t>
            </w:r>
            <w:r>
              <w:rPr>
                <w:rFonts w:ascii="宋体" w:eastAsia="宋体" w:hAnsi="宋体" w:cs="宋体"/>
                <w:bCs/>
                <w:iCs/>
                <w:color w:val="000000"/>
                <w:sz w:val="24"/>
                <w:szCs w:val="24"/>
                <w:u w:val="single"/>
              </w:rPr>
              <w:t xml:space="preserve">   </w:t>
            </w:r>
            <w:r>
              <w:rPr>
                <w:rFonts w:ascii="宋体" w:eastAsia="宋体" w:hAnsi="宋体" w:cs="宋体" w:hint="eastAsia"/>
                <w:bCs/>
                <w:iCs/>
                <w:color w:val="000000"/>
                <w:sz w:val="24"/>
                <w:szCs w:val="24"/>
                <w:u w:val="single"/>
              </w:rPr>
              <w:t xml:space="preserve">    </w:t>
            </w:r>
          </w:p>
        </w:tc>
      </w:tr>
      <w:tr w:rsidR="007D5E64" w14:paraId="6156FB61" w14:textId="77777777">
        <w:trPr>
          <w:trHeight w:val="1104"/>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D6ECA3" w14:textId="77777777" w:rsidR="007D5E64" w:rsidRDefault="00E22C92">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参与单位名称及人员姓名</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5040CF21" w14:textId="1B69C303" w:rsidR="007D5E64" w:rsidRDefault="00C408B5">
            <w:pPr>
              <w:widowControl/>
              <w:ind w:firstLineChars="0" w:firstLine="0"/>
              <w:jc w:val="left"/>
              <w:textAlignment w:val="center"/>
              <w:rPr>
                <w:rFonts w:asciiTheme="majorEastAsia" w:eastAsiaTheme="majorEastAsia" w:hAnsiTheme="majorEastAsia" w:cs="等线" w:hint="eastAsia"/>
                <w:color w:val="000000"/>
                <w:sz w:val="22"/>
                <w:szCs w:val="22"/>
              </w:rPr>
            </w:pPr>
            <w:r>
              <w:rPr>
                <w:rFonts w:asciiTheme="majorEastAsia" w:eastAsiaTheme="majorEastAsia" w:hAnsiTheme="majorEastAsia" w:cs="等线" w:hint="eastAsia"/>
                <w:color w:val="000000"/>
                <w:sz w:val="24"/>
                <w:szCs w:val="22"/>
              </w:rPr>
              <w:t>华福证券马卓群、邓娴仪；中邮基金刘星辰；攀赢基金李丝</w:t>
            </w:r>
            <w:r w:rsidR="00910F97" w:rsidRPr="00910F97">
              <w:rPr>
                <w:rFonts w:asciiTheme="majorEastAsia" w:eastAsiaTheme="majorEastAsia" w:hAnsiTheme="majorEastAsia" w:cs="等线" w:hint="eastAsia"/>
                <w:color w:val="000000"/>
                <w:sz w:val="24"/>
                <w:szCs w:val="22"/>
              </w:rPr>
              <w:t>煦</w:t>
            </w:r>
            <w:r w:rsidR="00910F97">
              <w:rPr>
                <w:rFonts w:asciiTheme="majorEastAsia" w:eastAsiaTheme="majorEastAsia" w:hAnsiTheme="majorEastAsia" w:cs="等线" w:hint="eastAsia"/>
                <w:color w:val="000000"/>
                <w:sz w:val="24"/>
                <w:szCs w:val="22"/>
              </w:rPr>
              <w:t>；银河证券李良；长盛基金膝光耀；宏颐资本李漫；博睿投资薛宏业；马赫资本刘霜</w:t>
            </w:r>
          </w:p>
        </w:tc>
      </w:tr>
      <w:tr w:rsidR="007D5E64" w14:paraId="7D10B5AE" w14:textId="77777777">
        <w:trPr>
          <w:trHeight w:val="482"/>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F6AE19" w14:textId="77777777" w:rsidR="007D5E64" w:rsidRDefault="00E22C92">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时间</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7281EA91" w14:textId="77777777" w:rsidR="007D5E64" w:rsidRDefault="00E22C92">
            <w:pPr>
              <w:spacing w:line="360" w:lineRule="auto"/>
              <w:ind w:firstLineChars="0" w:firstLine="0"/>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202</w:t>
            </w:r>
            <w:r>
              <w:rPr>
                <w:rFonts w:ascii="宋体" w:eastAsia="宋体" w:hAnsi="宋体" w:cs="宋体"/>
                <w:bCs/>
                <w:iCs/>
                <w:color w:val="000000"/>
                <w:sz w:val="24"/>
                <w:szCs w:val="24"/>
              </w:rPr>
              <w:t>5</w:t>
            </w:r>
            <w:r>
              <w:rPr>
                <w:rFonts w:ascii="宋体" w:eastAsia="宋体" w:hAnsi="宋体" w:cs="宋体" w:hint="eastAsia"/>
                <w:bCs/>
                <w:iCs/>
                <w:color w:val="000000"/>
                <w:sz w:val="24"/>
                <w:szCs w:val="24"/>
              </w:rPr>
              <w:t>年</w:t>
            </w:r>
            <w:r w:rsidR="00021F65">
              <w:rPr>
                <w:rFonts w:ascii="宋体" w:eastAsia="宋体" w:hAnsi="宋体" w:cs="宋体"/>
                <w:bCs/>
                <w:iCs/>
                <w:color w:val="000000"/>
                <w:sz w:val="24"/>
                <w:szCs w:val="24"/>
              </w:rPr>
              <w:t>2</w:t>
            </w:r>
            <w:r>
              <w:rPr>
                <w:rFonts w:ascii="宋体" w:eastAsia="宋体" w:hAnsi="宋体" w:cs="宋体"/>
                <w:bCs/>
                <w:iCs/>
                <w:color w:val="000000"/>
                <w:sz w:val="24"/>
                <w:szCs w:val="24"/>
              </w:rPr>
              <w:t>月</w:t>
            </w:r>
            <w:r w:rsidR="00021F65">
              <w:rPr>
                <w:rFonts w:ascii="宋体" w:eastAsia="宋体" w:hAnsi="宋体" w:cs="宋体"/>
                <w:bCs/>
                <w:iCs/>
                <w:color w:val="000000"/>
                <w:sz w:val="24"/>
                <w:szCs w:val="24"/>
              </w:rPr>
              <w:t>13</w:t>
            </w:r>
            <w:r>
              <w:rPr>
                <w:rFonts w:ascii="宋体" w:eastAsia="宋体" w:hAnsi="宋体" w:cs="宋体"/>
                <w:bCs/>
                <w:iCs/>
                <w:color w:val="000000"/>
                <w:sz w:val="24"/>
                <w:szCs w:val="24"/>
              </w:rPr>
              <w:t>日、</w:t>
            </w:r>
            <w:r>
              <w:rPr>
                <w:rFonts w:ascii="宋体" w:eastAsia="宋体" w:hAnsi="宋体" w:cs="宋体" w:hint="eastAsia"/>
                <w:bCs/>
                <w:iCs/>
                <w:color w:val="000000"/>
                <w:sz w:val="24"/>
                <w:szCs w:val="24"/>
              </w:rPr>
              <w:t>202</w:t>
            </w:r>
            <w:r>
              <w:rPr>
                <w:rFonts w:ascii="宋体" w:eastAsia="宋体" w:hAnsi="宋体" w:cs="宋体"/>
                <w:bCs/>
                <w:iCs/>
                <w:color w:val="000000"/>
                <w:sz w:val="24"/>
                <w:szCs w:val="24"/>
              </w:rPr>
              <w:t>5</w:t>
            </w:r>
            <w:r>
              <w:rPr>
                <w:rFonts w:ascii="宋体" w:eastAsia="宋体" w:hAnsi="宋体" w:cs="宋体" w:hint="eastAsia"/>
                <w:bCs/>
                <w:iCs/>
                <w:color w:val="000000"/>
                <w:sz w:val="24"/>
                <w:szCs w:val="24"/>
              </w:rPr>
              <w:t>年</w:t>
            </w:r>
            <w:r w:rsidR="00021F65">
              <w:rPr>
                <w:rFonts w:ascii="宋体" w:eastAsia="宋体" w:hAnsi="宋体" w:cs="宋体"/>
                <w:bCs/>
                <w:iCs/>
                <w:color w:val="000000"/>
                <w:sz w:val="24"/>
                <w:szCs w:val="24"/>
              </w:rPr>
              <w:t>2</w:t>
            </w:r>
            <w:r>
              <w:rPr>
                <w:rFonts w:ascii="宋体" w:eastAsia="宋体" w:hAnsi="宋体" w:cs="宋体"/>
                <w:bCs/>
                <w:iCs/>
                <w:color w:val="000000"/>
                <w:sz w:val="24"/>
                <w:szCs w:val="24"/>
              </w:rPr>
              <w:t>月</w:t>
            </w:r>
            <w:r w:rsidR="00021F65">
              <w:rPr>
                <w:rFonts w:ascii="宋体" w:eastAsia="宋体" w:hAnsi="宋体" w:cs="宋体"/>
                <w:bCs/>
                <w:iCs/>
                <w:color w:val="000000"/>
                <w:sz w:val="24"/>
                <w:szCs w:val="24"/>
              </w:rPr>
              <w:t>14</w:t>
            </w:r>
            <w:r>
              <w:rPr>
                <w:rFonts w:ascii="宋体" w:eastAsia="宋体" w:hAnsi="宋体" w:cs="宋体"/>
                <w:bCs/>
                <w:iCs/>
                <w:color w:val="000000"/>
                <w:sz w:val="24"/>
                <w:szCs w:val="24"/>
              </w:rPr>
              <w:t>日</w:t>
            </w:r>
          </w:p>
        </w:tc>
      </w:tr>
      <w:tr w:rsidR="007D5E64" w14:paraId="462EEA4A" w14:textId="77777777">
        <w:trPr>
          <w:trHeight w:val="536"/>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516E1E7" w14:textId="77777777" w:rsidR="007D5E64" w:rsidRDefault="00E22C92">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地点</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59E520FA" w14:textId="77777777" w:rsidR="007D5E64" w:rsidRDefault="00910F97">
            <w:pPr>
              <w:spacing w:line="360" w:lineRule="auto"/>
              <w:ind w:firstLineChars="0" w:firstLine="0"/>
              <w:jc w:val="left"/>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上海市</w:t>
            </w:r>
          </w:p>
        </w:tc>
      </w:tr>
      <w:tr w:rsidR="007D5E64" w14:paraId="101055AB" w14:textId="77777777">
        <w:trPr>
          <w:trHeight w:val="941"/>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0DF0010" w14:textId="77777777" w:rsidR="007D5E64" w:rsidRDefault="00E22C92">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上市公司接待人员姓名</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56121DDC" w14:textId="77777777" w:rsidR="007D5E64" w:rsidRDefault="00E22C92">
            <w:pPr>
              <w:spacing w:line="360" w:lineRule="auto"/>
              <w:ind w:firstLineChars="0" w:firstLine="0"/>
              <w:jc w:val="left"/>
              <w:rPr>
                <w:rFonts w:ascii="宋体" w:eastAsia="宋体" w:hAnsi="宋体" w:cs="宋体" w:hint="eastAsia"/>
                <w:sz w:val="24"/>
                <w:szCs w:val="24"/>
              </w:rPr>
            </w:pPr>
            <w:r>
              <w:rPr>
                <w:rFonts w:ascii="宋体" w:eastAsia="宋体" w:hAnsi="宋体" w:cs="宋体" w:hint="eastAsia"/>
                <w:sz w:val="24"/>
                <w:szCs w:val="24"/>
              </w:rPr>
              <w:t>董事会秘书、财务总监 邹家瑞</w:t>
            </w:r>
          </w:p>
        </w:tc>
      </w:tr>
      <w:tr w:rsidR="007D5E64" w14:paraId="770EB031" w14:textId="77777777">
        <w:trPr>
          <w:trHeight w:val="857"/>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B3454E" w14:textId="77777777" w:rsidR="007D5E64" w:rsidRDefault="00E22C92">
            <w:pPr>
              <w:spacing w:line="360" w:lineRule="auto"/>
              <w:ind w:firstLineChars="0" w:firstLine="0"/>
              <w:jc w:val="center"/>
              <w:rPr>
                <w:rFonts w:ascii="宋体" w:eastAsia="宋体" w:hAnsi="宋体" w:cs="宋体" w:hint="eastAsia"/>
                <w:b/>
                <w:iCs/>
                <w:color w:val="000000"/>
                <w:sz w:val="24"/>
                <w:szCs w:val="24"/>
              </w:rPr>
            </w:pPr>
            <w:r>
              <w:rPr>
                <w:rFonts w:ascii="宋体" w:eastAsia="宋体" w:hAnsi="宋体" w:cs="宋体" w:hint="eastAsia"/>
                <w:b/>
                <w:iCs/>
                <w:color w:val="000000"/>
                <w:sz w:val="24"/>
                <w:szCs w:val="24"/>
              </w:rPr>
              <w:t>投资者关系活动主要内容介绍</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4176A66A" w14:textId="77777777" w:rsidR="007D5E64" w:rsidRDefault="00E22C92">
            <w:pPr>
              <w:pStyle w:val="ab"/>
              <w:numPr>
                <w:ilvl w:val="0"/>
                <w:numId w:val="1"/>
              </w:numPr>
              <w:spacing w:line="360" w:lineRule="auto"/>
              <w:ind w:firstLineChars="0"/>
              <w:rPr>
                <w:rFonts w:ascii="宋体" w:eastAsia="宋体" w:hAnsi="宋体" w:cs="宋体" w:hint="eastAsia"/>
                <w:b/>
                <w:sz w:val="24"/>
                <w:szCs w:val="24"/>
              </w:rPr>
            </w:pPr>
            <w:r>
              <w:rPr>
                <w:rFonts w:ascii="宋体" w:eastAsia="宋体" w:hAnsi="宋体" w:cs="宋体"/>
                <w:b/>
                <w:sz w:val="24"/>
                <w:szCs w:val="24"/>
              </w:rPr>
              <w:t>公司基本情况介绍</w:t>
            </w:r>
          </w:p>
          <w:p w14:paraId="7FDB0B9E" w14:textId="77777777" w:rsidR="007D5E64" w:rsidRDefault="00E22C92">
            <w:pPr>
              <w:pStyle w:val="3"/>
              <w:tabs>
                <w:tab w:val="clear" w:pos="1440"/>
                <w:tab w:val="left" w:pos="851"/>
              </w:tabs>
              <w:spacing w:before="0" w:afterLines="50" w:after="156" w:line="360" w:lineRule="auto"/>
              <w:ind w:left="0" w:firstLine="480"/>
              <w:rPr>
                <w:rFonts w:ascii="宋体" w:eastAsia="宋体" w:hAnsi="宋体" w:hint="eastAsia"/>
                <w:b w:val="0"/>
              </w:rPr>
            </w:pPr>
            <w:r>
              <w:rPr>
                <w:rFonts w:ascii="宋体" w:eastAsia="宋体" w:hAnsi="宋体" w:cs="宋体" w:hint="eastAsia"/>
                <w:b w:val="0"/>
                <w:kern w:val="2"/>
                <w:sz w:val="24"/>
                <w:szCs w:val="24"/>
              </w:rPr>
              <w:t>首先公司董事会秘书邹家瑞介绍了公司当前基本业务及经营情况。</w:t>
            </w:r>
          </w:p>
          <w:p w14:paraId="1159A7CF" w14:textId="77777777" w:rsidR="006A096C" w:rsidRPr="006A096C" w:rsidRDefault="00E22C92" w:rsidP="006A096C">
            <w:pPr>
              <w:pStyle w:val="ab"/>
              <w:numPr>
                <w:ilvl w:val="0"/>
                <w:numId w:val="1"/>
              </w:numPr>
              <w:spacing w:line="360" w:lineRule="auto"/>
              <w:ind w:firstLineChars="0"/>
              <w:rPr>
                <w:rFonts w:ascii="宋体" w:eastAsia="宋体" w:hAnsi="宋体" w:cs="Arial" w:hint="eastAsia"/>
                <w:sz w:val="24"/>
                <w:szCs w:val="24"/>
              </w:rPr>
            </w:pPr>
            <w:r>
              <w:rPr>
                <w:rFonts w:ascii="宋体" w:eastAsia="宋体" w:hAnsi="宋体" w:cs="宋体" w:hint="eastAsia"/>
                <w:b/>
                <w:sz w:val="24"/>
                <w:szCs w:val="24"/>
              </w:rPr>
              <w:t>与会人员就公司情况进行了交流，主要内容如下：</w:t>
            </w:r>
            <w:bookmarkStart w:id="0" w:name="_Toc149733612"/>
            <w:bookmarkStart w:id="1" w:name="_Toc144735704"/>
          </w:p>
          <w:p w14:paraId="378769F8" w14:textId="77777777" w:rsidR="007D5E64" w:rsidRDefault="006A096C">
            <w:pPr>
              <w:spacing w:line="360" w:lineRule="auto"/>
              <w:ind w:firstLine="482"/>
              <w:rPr>
                <w:rFonts w:asciiTheme="minorEastAsia" w:eastAsiaTheme="minorEastAsia" w:hAnsiTheme="minorEastAsia" w:hint="eastAsia"/>
                <w:b/>
                <w:sz w:val="24"/>
                <w:szCs w:val="24"/>
              </w:rPr>
            </w:pPr>
            <w:r>
              <w:rPr>
                <w:rFonts w:asciiTheme="minorEastAsia" w:eastAsiaTheme="minorEastAsia" w:hAnsiTheme="minorEastAsia"/>
                <w:b/>
                <w:sz w:val="24"/>
                <w:szCs w:val="24"/>
              </w:rPr>
              <w:t>1</w:t>
            </w:r>
            <w:r w:rsidR="00E22C92">
              <w:rPr>
                <w:rFonts w:asciiTheme="minorEastAsia" w:eastAsiaTheme="minorEastAsia" w:hAnsiTheme="minorEastAsia"/>
                <w:b/>
                <w:sz w:val="24"/>
                <w:szCs w:val="24"/>
              </w:rPr>
              <w:t>、</w:t>
            </w:r>
            <w:r w:rsidR="00E22C92">
              <w:rPr>
                <w:rFonts w:asciiTheme="minorEastAsia" w:eastAsiaTheme="minorEastAsia" w:hAnsiTheme="minorEastAsia" w:hint="eastAsia"/>
                <w:b/>
                <w:sz w:val="24"/>
                <w:szCs w:val="24"/>
              </w:rPr>
              <w:t>请详细讲一下公司在AI产品方面的布局和业务方向？</w:t>
            </w:r>
          </w:p>
          <w:p w14:paraId="60F92AA8" w14:textId="77777777" w:rsidR="007D5E64" w:rsidRDefault="00E22C92" w:rsidP="00081A8C">
            <w:pPr>
              <w:spacing w:line="360" w:lineRule="auto"/>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在AI技术浪潮背景下，公司加快在AI方面的技术创新。目前有两个层面的布局，首先是AI技术赋能公司传统的信息通信和信息安全业务，形成AI+网络通信、AI+多媒体处理和AI+云服务等领域的技术积累，并布局开展新业务，开辟新赛道。其次是立项AI Agent产品， AI Agent是指基于大</w:t>
            </w:r>
            <w:r>
              <w:rPr>
                <w:rFonts w:asciiTheme="minorEastAsia" w:eastAsiaTheme="minorEastAsia" w:hAnsiTheme="minorEastAsia" w:hint="eastAsia"/>
                <w:sz w:val="24"/>
                <w:szCs w:val="24"/>
              </w:rPr>
              <w:lastRenderedPageBreak/>
              <w:t>型模型的人工智能体。公司规划的是自主智能体，力图实现复杂流程自动化。即当给定自主智能体一个目标时，它们能自行创建任务、完成任务、创建新任务、重新确定任务列表的优先级、完成新的首要任务，并不断重复这个过程，直到完成目标。从智能助手开始切入，打造多模态自主助手Agent框架，实现to C和 to B 应用任务的自主规划和自动执行。公司认为AI将会影响整个人类的生活方式，因此会进行长期的战略性投入，短期内可能不会要求有多大的回报。</w:t>
            </w:r>
          </w:p>
          <w:p w14:paraId="51E64785" w14:textId="77777777" w:rsidR="006A096C" w:rsidRPr="006A096C" w:rsidRDefault="006A096C" w:rsidP="006A096C">
            <w:pPr>
              <w:spacing w:line="360" w:lineRule="auto"/>
              <w:ind w:firstLine="482"/>
              <w:rPr>
                <w:rFonts w:asciiTheme="minorEastAsia" w:eastAsiaTheme="minorEastAsia" w:hAnsiTheme="minorEastAsia" w:hint="eastAsia"/>
                <w:b/>
                <w:sz w:val="24"/>
                <w:szCs w:val="24"/>
              </w:rPr>
            </w:pPr>
            <w:r w:rsidRPr="006A096C">
              <w:rPr>
                <w:rFonts w:asciiTheme="minorEastAsia" w:eastAsiaTheme="minorEastAsia" w:hAnsiTheme="minorEastAsia" w:hint="eastAsia"/>
                <w:b/>
                <w:sz w:val="24"/>
                <w:szCs w:val="24"/>
              </w:rPr>
              <w:t>2、请问贵公司AI智能体考虑接入DeepSeek吗？</w:t>
            </w:r>
          </w:p>
          <w:p w14:paraId="0A52A704" w14:textId="77777777" w:rsidR="006A096C" w:rsidRDefault="006A096C" w:rsidP="006A096C">
            <w:pPr>
              <w:spacing w:line="360" w:lineRule="auto"/>
              <w:ind w:firstLine="480"/>
              <w:rPr>
                <w:rFonts w:asciiTheme="minorEastAsia" w:eastAsiaTheme="minorEastAsia" w:hAnsiTheme="minorEastAsia" w:hint="eastAsia"/>
                <w:sz w:val="24"/>
                <w:szCs w:val="24"/>
              </w:rPr>
            </w:pPr>
            <w:r w:rsidRPr="006A096C">
              <w:rPr>
                <w:rFonts w:asciiTheme="minorEastAsia" w:eastAsiaTheme="minorEastAsia" w:hAnsiTheme="minorEastAsia" w:hint="eastAsia"/>
                <w:sz w:val="24"/>
                <w:szCs w:val="24"/>
              </w:rPr>
              <w:t>公司正积极推进与国内外领先大模型的技术适配工作，包括但不限于DeepSeek、通义千问2.5Max、OpenAI、Claude等主流模型，旨在构建多元化的智能体技术生态。目前相关技术方案尚处于规划论证阶段，具体产品形态、技术路径及商业化落地时间尚未最终确定，新技术及业务的推进和发展受多重因素影响，该业务处于发展初期，请广大投资者注意风险。</w:t>
            </w:r>
          </w:p>
          <w:p w14:paraId="1FDDF4EF" w14:textId="77777777" w:rsidR="006009A9" w:rsidRDefault="006009A9" w:rsidP="006009A9">
            <w:pPr>
              <w:spacing w:line="360" w:lineRule="auto"/>
              <w:ind w:firstLine="482"/>
              <w:rPr>
                <w:rFonts w:asciiTheme="minorEastAsia" w:eastAsiaTheme="minorEastAsia" w:hAnsiTheme="minorEastAsia" w:hint="eastAsia"/>
                <w:sz w:val="24"/>
                <w:szCs w:val="24"/>
              </w:rPr>
            </w:pPr>
            <w:r w:rsidRPr="006009A9">
              <w:rPr>
                <w:rFonts w:asciiTheme="minorEastAsia" w:eastAsiaTheme="minorEastAsia" w:hAnsiTheme="minorEastAsia" w:hint="eastAsia"/>
                <w:b/>
                <w:sz w:val="24"/>
                <w:szCs w:val="24"/>
              </w:rPr>
              <w:t>3、公司2024年在AI方面是否已经有合同并形成收入？</w:t>
            </w:r>
          </w:p>
          <w:p w14:paraId="210A3C4F" w14:textId="77777777" w:rsidR="006009A9" w:rsidRPr="006009A9" w:rsidRDefault="006009A9" w:rsidP="006009A9">
            <w:pPr>
              <w:spacing w:line="360" w:lineRule="auto"/>
              <w:ind w:firstLine="480"/>
              <w:rPr>
                <w:rFonts w:ascii="宋体" w:eastAsia="宋体" w:hAnsi="宋体" w:cs="Arial" w:hint="eastAsia"/>
                <w:sz w:val="24"/>
                <w:szCs w:val="24"/>
              </w:rPr>
            </w:pPr>
            <w:r w:rsidRPr="006009A9">
              <w:rPr>
                <w:rFonts w:ascii="宋体" w:eastAsia="宋体" w:hAnsi="宋体" w:cs="Arial" w:hint="eastAsia"/>
                <w:sz w:val="24"/>
                <w:szCs w:val="24"/>
              </w:rPr>
              <w:t>公司已经在AI Agent数字人定制方面与客户签订了合同，在心理健康领域展开应用，提供了智能客服、深度评估、心理咨询多种数字员工，并在2024年确认部分收入，该业务处于发展初期，对2024 年度业绩不产生较大影响，具体业绩请参考公司未来发布的定期报告</w:t>
            </w:r>
            <w:r>
              <w:rPr>
                <w:rFonts w:ascii="宋体" w:eastAsia="宋体" w:hAnsi="宋体" w:cs="Arial" w:hint="eastAsia"/>
                <w:sz w:val="24"/>
                <w:szCs w:val="24"/>
              </w:rPr>
              <w:t>。</w:t>
            </w:r>
          </w:p>
          <w:p w14:paraId="20B8611E" w14:textId="77777777" w:rsidR="007D5E64" w:rsidRDefault="006009A9">
            <w:pPr>
              <w:spacing w:line="360" w:lineRule="auto"/>
              <w:ind w:firstLine="482"/>
              <w:rPr>
                <w:rFonts w:ascii="Calibri" w:eastAsia="宋体" w:hAnsi="Calibri"/>
                <w:b/>
                <w:sz w:val="24"/>
                <w:szCs w:val="24"/>
              </w:rPr>
            </w:pPr>
            <w:r>
              <w:rPr>
                <w:rFonts w:ascii="Calibri" w:eastAsia="宋体" w:hAnsi="Calibri"/>
                <w:b/>
                <w:sz w:val="24"/>
                <w:szCs w:val="24"/>
              </w:rPr>
              <w:t>4</w:t>
            </w:r>
            <w:r w:rsidR="00E22C92">
              <w:rPr>
                <w:rFonts w:ascii="Calibri" w:eastAsia="宋体" w:hAnsi="Calibri" w:hint="eastAsia"/>
                <w:b/>
                <w:sz w:val="24"/>
                <w:szCs w:val="24"/>
              </w:rPr>
              <w:t>、请问公司并购星网信通的战略意义是什么？未来如果成功整合之后，双方如何互相赋能？</w:t>
            </w:r>
          </w:p>
          <w:p w14:paraId="5C727B23" w14:textId="77777777" w:rsidR="007D5E64" w:rsidRDefault="00E22C92">
            <w:pPr>
              <w:spacing w:line="360" w:lineRule="auto"/>
              <w:ind w:firstLine="480"/>
              <w:rPr>
                <w:rFonts w:ascii="宋体" w:eastAsia="宋体" w:hAnsi="宋体" w:cs="Arial" w:hint="eastAsia"/>
                <w:sz w:val="24"/>
                <w:szCs w:val="24"/>
              </w:rPr>
            </w:pPr>
            <w:r>
              <w:rPr>
                <w:rFonts w:ascii="宋体" w:eastAsia="宋体" w:hAnsi="宋体" w:cs="宋体" w:hint="eastAsia"/>
                <w:sz w:val="24"/>
                <w:szCs w:val="24"/>
              </w:rPr>
              <w:t>星网信通是一家为客户提供智慧融合通信综合解决方案的高新技术企业，主营业务包含 ICT 产品解决方案、融合通信解决方案、运维服务等，主要应用于融合指挥、智能客服、企业统一通信和 ICT 产品解决方案等智慧融合通信领域。星网信通还获得国家级“专精特新小巨人”企业称号、2024</w:t>
            </w:r>
            <w:r>
              <w:rPr>
                <w:rFonts w:ascii="宋体" w:eastAsia="宋体" w:hAnsi="宋体" w:cs="宋体" w:hint="eastAsia"/>
                <w:sz w:val="24"/>
                <w:szCs w:val="24"/>
              </w:rPr>
              <w:lastRenderedPageBreak/>
              <w:t>年度华为全球优秀服务伙伴、2024年度华为优秀解决方案伙伴等多项荣誉。公司并购星网信通的战略意义主要包括以下几个方面：1、拓展产品线，打造综合通信解决方案：双方可形成端到端的产品线，从硬件、软件到服务提供一体化通信解决方案，覆盖智慧政务、金融服务、智慧城市、应急指挥等领域。2、增强市场渗透力，开辟第二增长曲线：公司可通过星网信通的市场资源快速切入金融和政府市场；同时，星网信通也可通过邦彦技术扩展在公司客户市场的业务。3、推动技术创新，满足信创产业需求：双方可整合AI、信息安全和通信技术，推出高安全性、高智能化的国产通信产品，有助于公司抢占信创市场先机。4、提升行业竞争力，形成规模效应：整合后公司将在技术研发、产品交付、品牌影响力等方面实现倍增效应。规模效应将显著降低运营成本，提高盈利能力。 公司具备提供完整的端到端融合通信解决方案能力，并积极布局人工智能及云计算等领域；星网信通拥有自主研发的应用软件和平台软件，在融合通信领域具备较为深厚的技术积累。本次交易完成后，双方在产品、技术、市场、供应链等方面具有协同效应，可以互相赋能：1、技术互补，提升创新能力：将邦彦技术的AI技术应用于星网信通的产品，在智能客服中引入自然语言处理和情感计算，提高交互体验。公司的信息安全加密能力可以应用于星网信通的融合通信产品，满足政府和金融行业对信息安全的高要求。结合公司云计算和边缘计算技术，提升星网信通融合通信产品的性能和稳定性。2、产品互补，丰富解决方案：公司的云PC与星网的融合通信平台深度整合，为智慧办公、远程协作和应急指挥场景提供云端一体的一站式解决方案。3、市场互补、客户资源共享：利用双方的客户资源，开展交叉销售，提升销售业绩。整合双方的销售渠道和市场网络，扩大市场覆盖面，进入新的行业和区域市场。4、供应链协同：整合供应链</w:t>
            </w:r>
            <w:r>
              <w:rPr>
                <w:rFonts w:ascii="宋体" w:eastAsia="宋体" w:hAnsi="宋体" w:cs="宋体" w:hint="eastAsia"/>
                <w:sz w:val="24"/>
                <w:szCs w:val="24"/>
              </w:rPr>
              <w:lastRenderedPageBreak/>
              <w:t>管理体系，通过集中采购，共享供应商资源，降低成本，提升供应链的响应速度和效率；本次交易后，可以深化双方供应链的合作，包括不限于共同开发解决方案，满足客户的多样化需求。</w:t>
            </w:r>
          </w:p>
          <w:bookmarkEnd w:id="0"/>
          <w:p w14:paraId="2EEAD33E" w14:textId="77777777" w:rsidR="007D5E64" w:rsidRDefault="00E60BB3">
            <w:pPr>
              <w:spacing w:line="360" w:lineRule="auto"/>
              <w:ind w:firstLine="482"/>
              <w:rPr>
                <w:rFonts w:asciiTheme="minorEastAsia" w:eastAsiaTheme="minorEastAsia" w:hAnsiTheme="minorEastAsia" w:hint="eastAsia"/>
                <w:b/>
                <w:sz w:val="24"/>
                <w:szCs w:val="24"/>
              </w:rPr>
            </w:pPr>
            <w:r>
              <w:rPr>
                <w:rFonts w:asciiTheme="minorEastAsia" w:eastAsiaTheme="minorEastAsia" w:hAnsiTheme="minorEastAsia"/>
                <w:b/>
                <w:sz w:val="24"/>
                <w:szCs w:val="24"/>
              </w:rPr>
              <w:t>5</w:t>
            </w:r>
            <w:r w:rsidR="00E22C92">
              <w:rPr>
                <w:rFonts w:asciiTheme="minorEastAsia" w:eastAsiaTheme="minorEastAsia" w:hAnsiTheme="minorEastAsia"/>
                <w:b/>
                <w:sz w:val="24"/>
                <w:szCs w:val="24"/>
              </w:rPr>
              <w:t>、</w:t>
            </w:r>
            <w:r w:rsidR="00E22C92">
              <w:rPr>
                <w:rFonts w:asciiTheme="minorEastAsia" w:eastAsiaTheme="minorEastAsia" w:hAnsiTheme="minorEastAsia" w:hint="eastAsia"/>
                <w:b/>
                <w:sz w:val="24"/>
                <w:szCs w:val="24"/>
              </w:rPr>
              <w:t>邦彦云PC系统1.0版本解决了什么问题？产品市场需求前景如何？</w:t>
            </w:r>
          </w:p>
          <w:p w14:paraId="01B6D016" w14:textId="77777777" w:rsidR="007D5E64" w:rsidRDefault="00E22C92">
            <w:pPr>
              <w:spacing w:line="360" w:lineRule="auto"/>
              <w:ind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邦彦云PC系统是基于云计算技术的高性能且安全的计算解决方案，用于满足 B 端用户对运维效率、数据安全、移动办公、协作通信、高性能计算需求等方面需求的产品，主要覆盖高质生产力办公需求场景，同时也能满足日常商务办公需求。相对于云桌面的性能瓶颈、图像质量差、延迟卡顿、外设兼容性差、安全风险等问题，提供了一种更加平衡的解决方案，集成了传统PC的高性能和云桌面的管理优势，拥有高性能与无损计算、卓越的图像处理、物理隔离的网络安全、广泛的外设兼容性等优势。桌面上云概念推出已有十来年时间，但市场份额仍不及传统 PC 市场的十分之一，尚处于发展早期阶段，目前主要在一些对性能体验要求不高的办公或教育场景使用。 信创是我国信息技术产业发展的重要方向，国家对各级政府、各央国企、金融机构、部队等各行业办公电脑明确提出了国产化替换的要求。邦彦云PC的信创系列可实现信息技术领域的自主可控、安全可靠，既解决了当前主流 PC/桌面上云所存在的问题，也可满足各重点行业对办公电脑替换的信创需求，是继传统的台式电脑、笔记本电脑、云桌面后一个新的PC品类，有望促进整个PC行业进入高速发展通道。</w:t>
            </w:r>
            <w:bookmarkEnd w:id="1"/>
          </w:p>
          <w:p w14:paraId="5D59984F" w14:textId="77777777" w:rsidR="006009A9" w:rsidRDefault="00E60BB3">
            <w:pPr>
              <w:spacing w:line="360" w:lineRule="auto"/>
              <w:ind w:firstLine="482"/>
              <w:rPr>
                <w:rFonts w:asciiTheme="minorEastAsia" w:eastAsiaTheme="minorEastAsia" w:hAnsiTheme="minorEastAsia" w:hint="eastAsia"/>
                <w:b/>
                <w:sz w:val="24"/>
                <w:szCs w:val="24"/>
              </w:rPr>
            </w:pPr>
            <w:r>
              <w:rPr>
                <w:rFonts w:asciiTheme="minorEastAsia" w:eastAsiaTheme="minorEastAsia" w:hAnsiTheme="minorEastAsia"/>
                <w:b/>
                <w:sz w:val="24"/>
                <w:szCs w:val="24"/>
              </w:rPr>
              <w:t>6</w:t>
            </w:r>
            <w:r w:rsidR="006009A9" w:rsidRPr="006009A9">
              <w:rPr>
                <w:rFonts w:asciiTheme="minorEastAsia" w:eastAsiaTheme="minorEastAsia" w:hAnsiTheme="minorEastAsia" w:hint="eastAsia"/>
                <w:b/>
                <w:sz w:val="24"/>
                <w:szCs w:val="24"/>
              </w:rPr>
              <w:t>、</w:t>
            </w:r>
            <w:r w:rsidR="006009A9">
              <w:rPr>
                <w:rFonts w:asciiTheme="minorEastAsia" w:eastAsiaTheme="minorEastAsia" w:hAnsiTheme="minorEastAsia" w:hint="eastAsia"/>
                <w:b/>
                <w:sz w:val="24"/>
                <w:szCs w:val="24"/>
              </w:rPr>
              <w:t>请问邦彦</w:t>
            </w:r>
            <w:r w:rsidR="006009A9" w:rsidRPr="006009A9">
              <w:rPr>
                <w:rFonts w:asciiTheme="minorEastAsia" w:eastAsiaTheme="minorEastAsia" w:hAnsiTheme="minorEastAsia" w:hint="eastAsia"/>
                <w:b/>
                <w:sz w:val="24"/>
                <w:szCs w:val="24"/>
              </w:rPr>
              <w:t>云PC系统V1.0版本目前处于什么水平程度？</w:t>
            </w:r>
          </w:p>
          <w:p w14:paraId="5134F102" w14:textId="77777777" w:rsidR="006009A9" w:rsidRPr="006009A9" w:rsidRDefault="006009A9" w:rsidP="006009A9">
            <w:pPr>
              <w:spacing w:line="360" w:lineRule="auto"/>
              <w:ind w:firstLine="480"/>
              <w:rPr>
                <w:rFonts w:ascii="Calibri" w:eastAsia="宋体" w:hAnsi="Calibri"/>
                <w:sz w:val="24"/>
                <w:szCs w:val="24"/>
              </w:rPr>
            </w:pPr>
            <w:r w:rsidRPr="006009A9">
              <w:rPr>
                <w:rFonts w:ascii="Calibri" w:eastAsia="宋体" w:hAnsi="Calibri" w:hint="eastAsia"/>
                <w:sz w:val="24"/>
                <w:szCs w:val="24"/>
              </w:rPr>
              <w:t>该产品在高性能计算资源的使用效率、数据安全保障和集中运维能力等方面，结合了公司在云计算、自主可控、数</w:t>
            </w:r>
            <w:r w:rsidRPr="006009A9">
              <w:rPr>
                <w:rFonts w:ascii="Calibri" w:eastAsia="宋体" w:hAnsi="Calibri" w:hint="eastAsia"/>
                <w:sz w:val="24"/>
                <w:szCs w:val="24"/>
              </w:rPr>
              <w:lastRenderedPageBreak/>
              <w:t>据安全、智能运维等方面的积累，具备创新优势，达到销售、交付状态。</w:t>
            </w:r>
            <w:r w:rsidRPr="006009A9">
              <w:rPr>
                <w:rFonts w:ascii="Calibri" w:eastAsia="宋体" w:hAnsi="Calibri" w:hint="eastAsia"/>
                <w:sz w:val="24"/>
                <w:szCs w:val="24"/>
              </w:rPr>
              <w:t>V1.0</w:t>
            </w:r>
            <w:r w:rsidRPr="006009A9">
              <w:rPr>
                <w:rFonts w:ascii="Calibri" w:eastAsia="宋体" w:hAnsi="Calibri" w:hint="eastAsia"/>
                <w:sz w:val="24"/>
                <w:szCs w:val="24"/>
              </w:rPr>
              <w:t>版本的硬件平台支持</w:t>
            </w:r>
            <w:r w:rsidRPr="006009A9">
              <w:rPr>
                <w:rFonts w:ascii="Calibri" w:eastAsia="宋体" w:hAnsi="Calibri" w:hint="eastAsia"/>
                <w:sz w:val="24"/>
                <w:szCs w:val="24"/>
              </w:rPr>
              <w:t>Intel i3/i5/i7</w:t>
            </w:r>
            <w:r w:rsidRPr="006009A9">
              <w:rPr>
                <w:rFonts w:ascii="Calibri" w:eastAsia="宋体" w:hAnsi="Calibri" w:hint="eastAsia"/>
                <w:sz w:val="24"/>
                <w:szCs w:val="24"/>
              </w:rPr>
              <w:t>系列以及信创系列，邦彦云</w:t>
            </w:r>
            <w:r w:rsidRPr="006009A9">
              <w:rPr>
                <w:rFonts w:ascii="Calibri" w:eastAsia="宋体" w:hAnsi="Calibri" w:hint="eastAsia"/>
                <w:sz w:val="24"/>
                <w:szCs w:val="24"/>
              </w:rPr>
              <w:t>PC</w:t>
            </w:r>
            <w:r w:rsidRPr="006009A9">
              <w:rPr>
                <w:rFonts w:ascii="Calibri" w:eastAsia="宋体" w:hAnsi="Calibri" w:hint="eastAsia"/>
                <w:sz w:val="24"/>
                <w:szCs w:val="24"/>
              </w:rPr>
              <w:t>信创产品采用全国产化选型，兼容海光、飞腾等国产</w:t>
            </w:r>
            <w:r w:rsidRPr="006009A9">
              <w:rPr>
                <w:rFonts w:ascii="Calibri" w:eastAsia="宋体" w:hAnsi="Calibri" w:hint="eastAsia"/>
                <w:sz w:val="24"/>
                <w:szCs w:val="24"/>
              </w:rPr>
              <w:t>CPU</w:t>
            </w:r>
            <w:r w:rsidRPr="006009A9">
              <w:rPr>
                <w:rFonts w:ascii="Calibri" w:eastAsia="宋体" w:hAnsi="Calibri" w:hint="eastAsia"/>
                <w:sz w:val="24"/>
                <w:szCs w:val="24"/>
              </w:rPr>
              <w:t>以及麒麟、统信等操作系统。公司还与伟仕佳杰（重庆）科技有限公司签订了战略合作协议，授权其作为全国总代理，通过资源整合和优势互补，推动邦彦云</w:t>
            </w:r>
            <w:r w:rsidRPr="006009A9">
              <w:rPr>
                <w:rFonts w:ascii="Calibri" w:eastAsia="宋体" w:hAnsi="Calibri" w:hint="eastAsia"/>
                <w:sz w:val="24"/>
                <w:szCs w:val="24"/>
              </w:rPr>
              <w:t>PC</w:t>
            </w:r>
            <w:r w:rsidRPr="006009A9">
              <w:rPr>
                <w:rFonts w:ascii="Calibri" w:eastAsia="宋体" w:hAnsi="Calibri" w:hint="eastAsia"/>
                <w:sz w:val="24"/>
                <w:szCs w:val="24"/>
              </w:rPr>
              <w:t>产品的市场快速增长。但新客户的开拓需要一定周期，敬请广大投资者注意投资风险，理性投资。</w:t>
            </w:r>
          </w:p>
        </w:tc>
      </w:tr>
      <w:tr w:rsidR="007D5E64" w14:paraId="5DDBCC2D" w14:textId="77777777">
        <w:trPr>
          <w:trHeight w:val="708"/>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98A392C" w14:textId="77777777" w:rsidR="007D5E64" w:rsidRDefault="00E22C92">
            <w:pPr>
              <w:spacing w:line="360" w:lineRule="auto"/>
              <w:ind w:firstLineChars="0" w:firstLine="0"/>
              <w:rPr>
                <w:rFonts w:ascii="宋体" w:eastAsia="宋体" w:hAnsi="宋体" w:cs="宋体" w:hint="eastAsia"/>
                <w:b/>
                <w:iCs/>
                <w:color w:val="000000"/>
                <w:sz w:val="24"/>
                <w:szCs w:val="24"/>
              </w:rPr>
            </w:pPr>
            <w:r>
              <w:rPr>
                <w:rFonts w:ascii="宋体" w:eastAsia="宋体" w:hAnsi="宋体" w:cs="宋体" w:hint="eastAsia"/>
                <w:b/>
                <w:iCs/>
                <w:color w:val="000000"/>
                <w:sz w:val="24"/>
                <w:szCs w:val="24"/>
              </w:rPr>
              <w:lastRenderedPageBreak/>
              <w:t>本次活动是否涉及应披露重大信息的说明</w:t>
            </w:r>
          </w:p>
        </w:tc>
        <w:tc>
          <w:tcPr>
            <w:tcW w:w="3914" w:type="pct"/>
            <w:tcBorders>
              <w:top w:val="single" w:sz="4" w:space="0" w:color="auto"/>
              <w:left w:val="single" w:sz="4" w:space="0" w:color="auto"/>
              <w:bottom w:val="single" w:sz="4" w:space="0" w:color="auto"/>
              <w:right w:val="single" w:sz="4" w:space="0" w:color="auto"/>
            </w:tcBorders>
            <w:shd w:val="clear" w:color="auto" w:fill="auto"/>
            <w:vAlign w:val="center"/>
          </w:tcPr>
          <w:p w14:paraId="16BFF9B8" w14:textId="77777777" w:rsidR="007D5E64" w:rsidRDefault="00E22C92">
            <w:pPr>
              <w:spacing w:line="360" w:lineRule="auto"/>
              <w:ind w:firstLineChars="0" w:firstLine="0"/>
              <w:jc w:val="center"/>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本次活动不涉及未公开披露的重大信息。</w:t>
            </w:r>
          </w:p>
        </w:tc>
      </w:tr>
      <w:tr w:rsidR="007D5E64" w14:paraId="787871D2" w14:textId="77777777">
        <w:trPr>
          <w:trHeight w:val="708"/>
        </w:trPr>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434CD5D" w14:textId="77777777" w:rsidR="007D5E64" w:rsidRDefault="00E22C92">
            <w:pPr>
              <w:spacing w:line="360" w:lineRule="auto"/>
              <w:ind w:firstLineChars="0" w:firstLine="0"/>
              <w:rPr>
                <w:rFonts w:ascii="宋体" w:eastAsia="宋体" w:hAnsi="宋体" w:cs="宋体" w:hint="eastAsia"/>
                <w:b/>
                <w:iCs/>
                <w:color w:val="000000"/>
                <w:sz w:val="24"/>
                <w:szCs w:val="24"/>
              </w:rPr>
            </w:pPr>
            <w:r>
              <w:rPr>
                <w:rFonts w:ascii="宋体" w:eastAsia="宋体" w:hAnsi="宋体" w:cs="宋体" w:hint="eastAsia"/>
                <w:b/>
                <w:iCs/>
                <w:color w:val="000000"/>
                <w:sz w:val="24"/>
                <w:szCs w:val="24"/>
              </w:rPr>
              <w:t>附件清单（如有）</w:t>
            </w:r>
          </w:p>
        </w:tc>
        <w:tc>
          <w:tcPr>
            <w:tcW w:w="3914" w:type="pct"/>
            <w:tcBorders>
              <w:top w:val="single" w:sz="4" w:space="0" w:color="auto"/>
              <w:left w:val="single" w:sz="4" w:space="0" w:color="auto"/>
              <w:bottom w:val="single" w:sz="4" w:space="0" w:color="auto"/>
              <w:right w:val="single" w:sz="4" w:space="0" w:color="auto"/>
            </w:tcBorders>
            <w:shd w:val="clear" w:color="auto" w:fill="auto"/>
          </w:tcPr>
          <w:p w14:paraId="08B73BA9" w14:textId="77777777" w:rsidR="007D5E64" w:rsidRDefault="00E22C92">
            <w:pPr>
              <w:spacing w:line="360" w:lineRule="auto"/>
              <w:ind w:firstLineChars="0" w:firstLine="0"/>
              <w:jc w:val="center"/>
              <w:rPr>
                <w:rFonts w:ascii="宋体" w:eastAsia="宋体" w:hAnsi="宋体" w:cs="宋体" w:hint="eastAsia"/>
                <w:bCs/>
                <w:iCs/>
                <w:color w:val="000000"/>
                <w:sz w:val="24"/>
                <w:szCs w:val="24"/>
              </w:rPr>
            </w:pPr>
            <w:r>
              <w:rPr>
                <w:rFonts w:ascii="宋体" w:eastAsia="宋体" w:hAnsi="宋体" w:cs="宋体" w:hint="eastAsia"/>
                <w:bCs/>
                <w:iCs/>
                <w:color w:val="000000"/>
                <w:sz w:val="24"/>
                <w:szCs w:val="24"/>
              </w:rPr>
              <w:t>无</w:t>
            </w:r>
          </w:p>
        </w:tc>
      </w:tr>
    </w:tbl>
    <w:p w14:paraId="3FB384AB" w14:textId="77777777" w:rsidR="007D5E64" w:rsidRDefault="007D5E64">
      <w:pPr>
        <w:spacing w:line="360" w:lineRule="auto"/>
        <w:ind w:firstLineChars="0" w:firstLine="0"/>
        <w:rPr>
          <w:rFonts w:ascii="宋体" w:eastAsia="宋体" w:hAnsi="宋体" w:cs="宋体" w:hint="eastAsia"/>
          <w:sz w:val="24"/>
          <w:szCs w:val="24"/>
        </w:rPr>
      </w:pPr>
    </w:p>
    <w:sectPr w:rsidR="007D5E6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237E" w14:textId="77777777" w:rsidR="00DC743E" w:rsidRDefault="00DC743E">
      <w:pPr>
        <w:spacing w:line="240" w:lineRule="auto"/>
        <w:ind w:firstLine="640"/>
      </w:pPr>
      <w:r>
        <w:separator/>
      </w:r>
    </w:p>
  </w:endnote>
  <w:endnote w:type="continuationSeparator" w:id="0">
    <w:p w14:paraId="5AAA53C7" w14:textId="77777777" w:rsidR="00DC743E" w:rsidRDefault="00DC743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5AAF" w14:textId="77777777" w:rsidR="007D5E64" w:rsidRDefault="007D5E6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52B34" w14:textId="77777777" w:rsidR="007D5E64" w:rsidRDefault="007D5E64">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7B9A4" w14:textId="77777777" w:rsidR="007D5E64" w:rsidRDefault="007D5E6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9CDC3" w14:textId="77777777" w:rsidR="00DC743E" w:rsidRDefault="00DC743E">
      <w:pPr>
        <w:spacing w:line="240" w:lineRule="auto"/>
        <w:ind w:firstLine="640"/>
      </w:pPr>
      <w:r>
        <w:separator/>
      </w:r>
    </w:p>
  </w:footnote>
  <w:footnote w:type="continuationSeparator" w:id="0">
    <w:p w14:paraId="61578E4D" w14:textId="77777777" w:rsidR="00DC743E" w:rsidRDefault="00DC743E">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6D274" w14:textId="77777777" w:rsidR="007D5E64" w:rsidRDefault="007D5E64">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4BA4" w14:textId="77777777" w:rsidR="007D5E64" w:rsidRDefault="007D5E64">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CB0F" w14:textId="77777777" w:rsidR="007D5E64" w:rsidRDefault="007D5E64">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4E82"/>
    <w:multiLevelType w:val="multilevel"/>
    <w:tmpl w:val="1CCE4E82"/>
    <w:lvl w:ilvl="0">
      <w:start w:val="1"/>
      <w:numFmt w:val="japaneseCounting"/>
      <w:lvlText w:val="%1、"/>
      <w:lvlJc w:val="left"/>
      <w:pPr>
        <w:ind w:left="800" w:hanging="480"/>
      </w:pPr>
      <w:rPr>
        <w:rFonts w:asciiTheme="majorEastAsia" w:eastAsiaTheme="majorEastAsia" w:hAnsiTheme="majorEastAsia" w:hint="default"/>
      </w:rPr>
    </w:lvl>
    <w:lvl w:ilvl="1">
      <w:start w:val="1"/>
      <w:numFmt w:val="lowerLetter"/>
      <w:lvlText w:val="%2)"/>
      <w:lvlJc w:val="left"/>
      <w:pPr>
        <w:ind w:left="1160" w:hanging="420"/>
      </w:pPr>
    </w:lvl>
    <w:lvl w:ilvl="2">
      <w:start w:val="1"/>
      <w:numFmt w:val="lowerRoman"/>
      <w:lvlText w:val="%3."/>
      <w:lvlJc w:val="right"/>
      <w:pPr>
        <w:ind w:left="1580" w:hanging="420"/>
      </w:pPr>
    </w:lvl>
    <w:lvl w:ilvl="3">
      <w:start w:val="1"/>
      <w:numFmt w:val="decimal"/>
      <w:lvlText w:val="%4."/>
      <w:lvlJc w:val="left"/>
      <w:pPr>
        <w:ind w:left="2000" w:hanging="420"/>
      </w:pPr>
    </w:lvl>
    <w:lvl w:ilvl="4">
      <w:start w:val="1"/>
      <w:numFmt w:val="lowerLetter"/>
      <w:lvlText w:val="%5)"/>
      <w:lvlJc w:val="left"/>
      <w:pPr>
        <w:ind w:left="2420" w:hanging="420"/>
      </w:pPr>
    </w:lvl>
    <w:lvl w:ilvl="5">
      <w:start w:val="1"/>
      <w:numFmt w:val="lowerRoman"/>
      <w:lvlText w:val="%6."/>
      <w:lvlJc w:val="right"/>
      <w:pPr>
        <w:ind w:left="2840" w:hanging="420"/>
      </w:pPr>
    </w:lvl>
    <w:lvl w:ilvl="6">
      <w:start w:val="1"/>
      <w:numFmt w:val="decimal"/>
      <w:lvlText w:val="%7."/>
      <w:lvlJc w:val="left"/>
      <w:pPr>
        <w:ind w:left="3260" w:hanging="420"/>
      </w:pPr>
    </w:lvl>
    <w:lvl w:ilvl="7">
      <w:start w:val="1"/>
      <w:numFmt w:val="lowerLetter"/>
      <w:lvlText w:val="%8)"/>
      <w:lvlJc w:val="left"/>
      <w:pPr>
        <w:ind w:left="3680" w:hanging="420"/>
      </w:pPr>
    </w:lvl>
    <w:lvl w:ilvl="8">
      <w:start w:val="1"/>
      <w:numFmt w:val="lowerRoman"/>
      <w:lvlText w:val="%9."/>
      <w:lvlJc w:val="right"/>
      <w:pPr>
        <w:ind w:left="4100" w:hanging="420"/>
      </w:pPr>
    </w:lvl>
  </w:abstractNum>
  <w:abstractNum w:abstractNumId="1" w15:restartNumberingAfterBreak="0">
    <w:nsid w:val="23E3716E"/>
    <w:multiLevelType w:val="hybridMultilevel"/>
    <w:tmpl w:val="C7CC5B7C"/>
    <w:lvl w:ilvl="0" w:tplc="63A2CB6E">
      <w:start w:val="1"/>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16cid:durableId="1159888353">
    <w:abstractNumId w:val="0"/>
  </w:num>
  <w:num w:numId="2" w16cid:durableId="726564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llZDg3YzdhNjQ5NzM1NzkzNTZhNmNkMWJmOTZlMTUifQ=="/>
  </w:docVars>
  <w:rsids>
    <w:rsidRoot w:val="00172A27"/>
    <w:rsid w:val="00014D52"/>
    <w:rsid w:val="00021F65"/>
    <w:rsid w:val="00026BC1"/>
    <w:rsid w:val="00035808"/>
    <w:rsid w:val="0005432B"/>
    <w:rsid w:val="000719A0"/>
    <w:rsid w:val="00081A8C"/>
    <w:rsid w:val="0008553C"/>
    <w:rsid w:val="00087069"/>
    <w:rsid w:val="000938F4"/>
    <w:rsid w:val="000A0087"/>
    <w:rsid w:val="000A070B"/>
    <w:rsid w:val="000A689D"/>
    <w:rsid w:val="000B762E"/>
    <w:rsid w:val="000C135F"/>
    <w:rsid w:val="000C1B71"/>
    <w:rsid w:val="000D5B84"/>
    <w:rsid w:val="000E0EB3"/>
    <w:rsid w:val="001210E0"/>
    <w:rsid w:val="00167499"/>
    <w:rsid w:val="00170FC4"/>
    <w:rsid w:val="0017260B"/>
    <w:rsid w:val="00172A27"/>
    <w:rsid w:val="00193BDB"/>
    <w:rsid w:val="001A42F0"/>
    <w:rsid w:val="001B13C9"/>
    <w:rsid w:val="001B281A"/>
    <w:rsid w:val="001C09DC"/>
    <w:rsid w:val="001D6FA8"/>
    <w:rsid w:val="001E347E"/>
    <w:rsid w:val="001F25AD"/>
    <w:rsid w:val="001F5347"/>
    <w:rsid w:val="001F70F2"/>
    <w:rsid w:val="002076BE"/>
    <w:rsid w:val="0021183F"/>
    <w:rsid w:val="002235A5"/>
    <w:rsid w:val="00224F36"/>
    <w:rsid w:val="002364A1"/>
    <w:rsid w:val="00242BBE"/>
    <w:rsid w:val="002450B3"/>
    <w:rsid w:val="00256C6E"/>
    <w:rsid w:val="00271305"/>
    <w:rsid w:val="0027163D"/>
    <w:rsid w:val="0028706E"/>
    <w:rsid w:val="002919E1"/>
    <w:rsid w:val="002924BD"/>
    <w:rsid w:val="00293B4F"/>
    <w:rsid w:val="002D4F3D"/>
    <w:rsid w:val="003216AB"/>
    <w:rsid w:val="003402B7"/>
    <w:rsid w:val="0035458C"/>
    <w:rsid w:val="00354BDE"/>
    <w:rsid w:val="003571C5"/>
    <w:rsid w:val="003608F5"/>
    <w:rsid w:val="00361944"/>
    <w:rsid w:val="00363B5F"/>
    <w:rsid w:val="00372ABB"/>
    <w:rsid w:val="00392E9B"/>
    <w:rsid w:val="003A01A1"/>
    <w:rsid w:val="003B4EF7"/>
    <w:rsid w:val="003B54B4"/>
    <w:rsid w:val="003C002A"/>
    <w:rsid w:val="003D2DCE"/>
    <w:rsid w:val="003E581F"/>
    <w:rsid w:val="003F5B58"/>
    <w:rsid w:val="003F74E5"/>
    <w:rsid w:val="00411181"/>
    <w:rsid w:val="004222B3"/>
    <w:rsid w:val="00422A32"/>
    <w:rsid w:val="004247C8"/>
    <w:rsid w:val="00424A25"/>
    <w:rsid w:val="0043047F"/>
    <w:rsid w:val="004444AF"/>
    <w:rsid w:val="0044480A"/>
    <w:rsid w:val="004B0B55"/>
    <w:rsid w:val="004C0E38"/>
    <w:rsid w:val="004C455A"/>
    <w:rsid w:val="004E1C6E"/>
    <w:rsid w:val="004F5749"/>
    <w:rsid w:val="005104CA"/>
    <w:rsid w:val="0051776E"/>
    <w:rsid w:val="005406C2"/>
    <w:rsid w:val="00547A27"/>
    <w:rsid w:val="00561488"/>
    <w:rsid w:val="005711D7"/>
    <w:rsid w:val="00596F1A"/>
    <w:rsid w:val="005B2251"/>
    <w:rsid w:val="005C0F7D"/>
    <w:rsid w:val="005D151E"/>
    <w:rsid w:val="005D4B60"/>
    <w:rsid w:val="005E0766"/>
    <w:rsid w:val="006009A9"/>
    <w:rsid w:val="006205D4"/>
    <w:rsid w:val="00624AC3"/>
    <w:rsid w:val="00651B6A"/>
    <w:rsid w:val="0065401F"/>
    <w:rsid w:val="006578EE"/>
    <w:rsid w:val="00693E31"/>
    <w:rsid w:val="006A096C"/>
    <w:rsid w:val="006A1683"/>
    <w:rsid w:val="006B1270"/>
    <w:rsid w:val="006C0BA8"/>
    <w:rsid w:val="006C3B16"/>
    <w:rsid w:val="006D01A3"/>
    <w:rsid w:val="006E35A8"/>
    <w:rsid w:val="006E4AF4"/>
    <w:rsid w:val="006E5A85"/>
    <w:rsid w:val="0070369B"/>
    <w:rsid w:val="00703B8A"/>
    <w:rsid w:val="00711498"/>
    <w:rsid w:val="00726F0C"/>
    <w:rsid w:val="0073229D"/>
    <w:rsid w:val="00736E45"/>
    <w:rsid w:val="00744656"/>
    <w:rsid w:val="007645B5"/>
    <w:rsid w:val="00765341"/>
    <w:rsid w:val="00775F5B"/>
    <w:rsid w:val="00776882"/>
    <w:rsid w:val="00791A14"/>
    <w:rsid w:val="00796468"/>
    <w:rsid w:val="007A3F26"/>
    <w:rsid w:val="007A4666"/>
    <w:rsid w:val="007B407A"/>
    <w:rsid w:val="007B40FB"/>
    <w:rsid w:val="007C1C5B"/>
    <w:rsid w:val="007D104F"/>
    <w:rsid w:val="007D5D1C"/>
    <w:rsid w:val="007D5E64"/>
    <w:rsid w:val="007D6190"/>
    <w:rsid w:val="007E451E"/>
    <w:rsid w:val="008159EA"/>
    <w:rsid w:val="008227EE"/>
    <w:rsid w:val="008239BE"/>
    <w:rsid w:val="00823EB7"/>
    <w:rsid w:val="00824B7C"/>
    <w:rsid w:val="00832B75"/>
    <w:rsid w:val="00836F94"/>
    <w:rsid w:val="00841C03"/>
    <w:rsid w:val="00843561"/>
    <w:rsid w:val="00843E06"/>
    <w:rsid w:val="008740DE"/>
    <w:rsid w:val="00896E65"/>
    <w:rsid w:val="008A6633"/>
    <w:rsid w:val="008E2996"/>
    <w:rsid w:val="008F7313"/>
    <w:rsid w:val="008F7592"/>
    <w:rsid w:val="0090549D"/>
    <w:rsid w:val="009059D8"/>
    <w:rsid w:val="00910F97"/>
    <w:rsid w:val="009328B6"/>
    <w:rsid w:val="0094073E"/>
    <w:rsid w:val="00942073"/>
    <w:rsid w:val="00950DA3"/>
    <w:rsid w:val="00952CE1"/>
    <w:rsid w:val="0096682A"/>
    <w:rsid w:val="009A014B"/>
    <w:rsid w:val="009A0D93"/>
    <w:rsid w:val="009A2DD2"/>
    <w:rsid w:val="009F7F5C"/>
    <w:rsid w:val="00A10E13"/>
    <w:rsid w:val="00A11522"/>
    <w:rsid w:val="00A20BD4"/>
    <w:rsid w:val="00A21E2A"/>
    <w:rsid w:val="00A37CDE"/>
    <w:rsid w:val="00A53050"/>
    <w:rsid w:val="00A65B3F"/>
    <w:rsid w:val="00A65FFE"/>
    <w:rsid w:val="00A9286C"/>
    <w:rsid w:val="00A97569"/>
    <w:rsid w:val="00AA7A95"/>
    <w:rsid w:val="00AB562B"/>
    <w:rsid w:val="00AE14E5"/>
    <w:rsid w:val="00AF001F"/>
    <w:rsid w:val="00AF3A5A"/>
    <w:rsid w:val="00B14FD9"/>
    <w:rsid w:val="00B33CEC"/>
    <w:rsid w:val="00B7049C"/>
    <w:rsid w:val="00B81703"/>
    <w:rsid w:val="00BA3025"/>
    <w:rsid w:val="00BB7670"/>
    <w:rsid w:val="00BD2262"/>
    <w:rsid w:val="00BD3A81"/>
    <w:rsid w:val="00BE0A69"/>
    <w:rsid w:val="00BF15D8"/>
    <w:rsid w:val="00BF401D"/>
    <w:rsid w:val="00BF7802"/>
    <w:rsid w:val="00C036F7"/>
    <w:rsid w:val="00C07EF1"/>
    <w:rsid w:val="00C17C86"/>
    <w:rsid w:val="00C349B2"/>
    <w:rsid w:val="00C35FF3"/>
    <w:rsid w:val="00C408B5"/>
    <w:rsid w:val="00C47C6A"/>
    <w:rsid w:val="00C52840"/>
    <w:rsid w:val="00C549B7"/>
    <w:rsid w:val="00C70622"/>
    <w:rsid w:val="00C72730"/>
    <w:rsid w:val="00C74E82"/>
    <w:rsid w:val="00C83E5B"/>
    <w:rsid w:val="00C85E6F"/>
    <w:rsid w:val="00C9608C"/>
    <w:rsid w:val="00C966F0"/>
    <w:rsid w:val="00CC6698"/>
    <w:rsid w:val="00CD1317"/>
    <w:rsid w:val="00CF02E5"/>
    <w:rsid w:val="00CF0E2B"/>
    <w:rsid w:val="00D12F21"/>
    <w:rsid w:val="00D1588C"/>
    <w:rsid w:val="00D3241D"/>
    <w:rsid w:val="00D52D47"/>
    <w:rsid w:val="00D63C53"/>
    <w:rsid w:val="00D73D0C"/>
    <w:rsid w:val="00D82CA1"/>
    <w:rsid w:val="00D9147F"/>
    <w:rsid w:val="00D978B1"/>
    <w:rsid w:val="00DA0937"/>
    <w:rsid w:val="00DC455E"/>
    <w:rsid w:val="00DC743E"/>
    <w:rsid w:val="00DE4241"/>
    <w:rsid w:val="00DE7F16"/>
    <w:rsid w:val="00E107CB"/>
    <w:rsid w:val="00E22C92"/>
    <w:rsid w:val="00E33D48"/>
    <w:rsid w:val="00E60BB3"/>
    <w:rsid w:val="00E63DAE"/>
    <w:rsid w:val="00E72CDC"/>
    <w:rsid w:val="00E8036A"/>
    <w:rsid w:val="00E91A5E"/>
    <w:rsid w:val="00E942A7"/>
    <w:rsid w:val="00EC07E2"/>
    <w:rsid w:val="00EF0AB8"/>
    <w:rsid w:val="00EF2435"/>
    <w:rsid w:val="00EF5FE4"/>
    <w:rsid w:val="00F03A12"/>
    <w:rsid w:val="00F269FF"/>
    <w:rsid w:val="00F42824"/>
    <w:rsid w:val="00FA1F42"/>
    <w:rsid w:val="00FB2F93"/>
    <w:rsid w:val="00FB3164"/>
    <w:rsid w:val="00FC4FB0"/>
    <w:rsid w:val="00FC6F30"/>
    <w:rsid w:val="00FD0CBB"/>
    <w:rsid w:val="00FF2A79"/>
    <w:rsid w:val="02076F1C"/>
    <w:rsid w:val="033C1CF6"/>
    <w:rsid w:val="05AD6D6E"/>
    <w:rsid w:val="06F21CC1"/>
    <w:rsid w:val="0A1266E3"/>
    <w:rsid w:val="0C131349"/>
    <w:rsid w:val="0C6F7B97"/>
    <w:rsid w:val="0C955C72"/>
    <w:rsid w:val="0D103E05"/>
    <w:rsid w:val="0D433883"/>
    <w:rsid w:val="0DB20B97"/>
    <w:rsid w:val="101C2610"/>
    <w:rsid w:val="101F036D"/>
    <w:rsid w:val="10563F48"/>
    <w:rsid w:val="10892AE9"/>
    <w:rsid w:val="13267B4D"/>
    <w:rsid w:val="191A0E8B"/>
    <w:rsid w:val="19750B7A"/>
    <w:rsid w:val="1D50131F"/>
    <w:rsid w:val="1EED3DA0"/>
    <w:rsid w:val="1F3B5A8F"/>
    <w:rsid w:val="1F6F0C48"/>
    <w:rsid w:val="1FB34E94"/>
    <w:rsid w:val="210445BE"/>
    <w:rsid w:val="22501B2B"/>
    <w:rsid w:val="22573C15"/>
    <w:rsid w:val="23035FB3"/>
    <w:rsid w:val="25162A70"/>
    <w:rsid w:val="26F65E37"/>
    <w:rsid w:val="27D93F3E"/>
    <w:rsid w:val="29EB0013"/>
    <w:rsid w:val="2A9919AD"/>
    <w:rsid w:val="2C537863"/>
    <w:rsid w:val="2CCC5FED"/>
    <w:rsid w:val="2E0C4DEE"/>
    <w:rsid w:val="2EEA35A2"/>
    <w:rsid w:val="352276E8"/>
    <w:rsid w:val="356E093D"/>
    <w:rsid w:val="359313AA"/>
    <w:rsid w:val="35C16BFB"/>
    <w:rsid w:val="36491112"/>
    <w:rsid w:val="3AC86541"/>
    <w:rsid w:val="3BE73A1E"/>
    <w:rsid w:val="3C1232C6"/>
    <w:rsid w:val="3CDD79F1"/>
    <w:rsid w:val="3E3F509F"/>
    <w:rsid w:val="3E6034F4"/>
    <w:rsid w:val="3F794C38"/>
    <w:rsid w:val="41667638"/>
    <w:rsid w:val="41E00614"/>
    <w:rsid w:val="42247621"/>
    <w:rsid w:val="425210A6"/>
    <w:rsid w:val="43754D8C"/>
    <w:rsid w:val="46052769"/>
    <w:rsid w:val="4BDF4987"/>
    <w:rsid w:val="4DC94942"/>
    <w:rsid w:val="4E0821BF"/>
    <w:rsid w:val="4F2E5F21"/>
    <w:rsid w:val="4FDE2F28"/>
    <w:rsid w:val="51DE2E7B"/>
    <w:rsid w:val="530D4CEF"/>
    <w:rsid w:val="543D5146"/>
    <w:rsid w:val="557E462E"/>
    <w:rsid w:val="56186984"/>
    <w:rsid w:val="56B272DD"/>
    <w:rsid w:val="56C71A1E"/>
    <w:rsid w:val="59DB4118"/>
    <w:rsid w:val="5AE00364"/>
    <w:rsid w:val="5BB93074"/>
    <w:rsid w:val="5C612FB3"/>
    <w:rsid w:val="5CD10796"/>
    <w:rsid w:val="5DD16269"/>
    <w:rsid w:val="5E7F32D6"/>
    <w:rsid w:val="5FB445F8"/>
    <w:rsid w:val="5FB92B90"/>
    <w:rsid w:val="602E2C97"/>
    <w:rsid w:val="609A1295"/>
    <w:rsid w:val="61E96DED"/>
    <w:rsid w:val="628254AA"/>
    <w:rsid w:val="628404D4"/>
    <w:rsid w:val="63A96660"/>
    <w:rsid w:val="63E14839"/>
    <w:rsid w:val="67972454"/>
    <w:rsid w:val="67EA7CF2"/>
    <w:rsid w:val="68DC5E82"/>
    <w:rsid w:val="692C1BCB"/>
    <w:rsid w:val="6A837C0B"/>
    <w:rsid w:val="6C990208"/>
    <w:rsid w:val="6DC4374B"/>
    <w:rsid w:val="6FFE1AE2"/>
    <w:rsid w:val="70201783"/>
    <w:rsid w:val="70E81643"/>
    <w:rsid w:val="716A1AC4"/>
    <w:rsid w:val="73861075"/>
    <w:rsid w:val="73F74A1A"/>
    <w:rsid w:val="76E128E3"/>
    <w:rsid w:val="78FB5372"/>
    <w:rsid w:val="7BE511C7"/>
    <w:rsid w:val="7CD43511"/>
    <w:rsid w:val="7EFA0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D3F8E"/>
  <w15:docId w15:val="{B0A6427B-8A02-4AF6-A63F-9B33256AA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uiPriority="10"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560" w:lineRule="exact"/>
      <w:ind w:firstLineChars="200" w:firstLine="200"/>
      <w:jc w:val="both"/>
    </w:pPr>
    <w:rPr>
      <w:rFonts w:eastAsia="仿宋"/>
      <w:kern w:val="2"/>
      <w:sz w:val="32"/>
    </w:rPr>
  </w:style>
  <w:style w:type="paragraph" w:styleId="3">
    <w:name w:val="heading 3"/>
    <w:basedOn w:val="a"/>
    <w:next w:val="a"/>
    <w:link w:val="30"/>
    <w:qFormat/>
    <w:pPr>
      <w:keepNext/>
      <w:keepLines/>
      <w:tabs>
        <w:tab w:val="left" w:pos="1440"/>
      </w:tabs>
      <w:spacing w:before="260" w:after="260" w:line="413" w:lineRule="auto"/>
      <w:ind w:left="1440" w:hanging="720"/>
      <w:outlineLvl w:val="2"/>
    </w:pPr>
    <w:rPr>
      <w:b/>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line="240" w:lineRule="auto"/>
    </w:pPr>
    <w:rPr>
      <w:sz w:val="18"/>
      <w:szCs w:val="18"/>
    </w:rPr>
  </w:style>
  <w:style w:type="paragraph" w:styleId="a5">
    <w:name w:val="footer"/>
    <w:basedOn w:val="a"/>
    <w:link w:val="a6"/>
    <w:qFormat/>
    <w:pPr>
      <w:tabs>
        <w:tab w:val="center" w:pos="4153"/>
        <w:tab w:val="right" w:pos="8306"/>
      </w:tabs>
      <w:snapToGrid w:val="0"/>
      <w:spacing w:line="240" w:lineRule="atLeast"/>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spacing w:line="240" w:lineRule="atLeast"/>
      <w:jc w:val="center"/>
    </w:pPr>
    <w:rPr>
      <w:sz w:val="18"/>
      <w:szCs w:val="18"/>
    </w:rPr>
  </w:style>
  <w:style w:type="paragraph" w:styleId="a9">
    <w:name w:val="Title"/>
    <w:basedOn w:val="a"/>
    <w:next w:val="a"/>
    <w:link w:val="aa"/>
    <w:uiPriority w:val="10"/>
    <w:qFormat/>
    <w:pPr>
      <w:spacing w:before="240" w:after="60" w:line="240" w:lineRule="auto"/>
      <w:ind w:firstLineChars="0" w:firstLine="0"/>
      <w:jc w:val="center"/>
      <w:outlineLvl w:val="0"/>
    </w:pPr>
    <w:rPr>
      <w:rFonts w:asciiTheme="majorHAnsi" w:eastAsia="宋体" w:hAnsiTheme="majorHAnsi" w:cstheme="majorBidi"/>
      <w:b/>
      <w:bCs/>
      <w:szCs w:val="32"/>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8">
    <w:name w:val="页眉 字符"/>
    <w:basedOn w:val="a0"/>
    <w:link w:val="a7"/>
    <w:qFormat/>
    <w:rPr>
      <w:rFonts w:eastAsia="仿宋"/>
      <w:kern w:val="2"/>
      <w:sz w:val="18"/>
      <w:szCs w:val="18"/>
    </w:rPr>
  </w:style>
  <w:style w:type="character" w:customStyle="1" w:styleId="a6">
    <w:name w:val="页脚 字符"/>
    <w:basedOn w:val="a0"/>
    <w:link w:val="a5"/>
    <w:qFormat/>
    <w:rPr>
      <w:rFonts w:eastAsia="仿宋"/>
      <w:kern w:val="2"/>
      <w:sz w:val="18"/>
      <w:szCs w:val="18"/>
    </w:rPr>
  </w:style>
  <w:style w:type="paragraph" w:styleId="ab">
    <w:name w:val="List Paragraph"/>
    <w:basedOn w:val="a"/>
    <w:uiPriority w:val="99"/>
    <w:qFormat/>
    <w:pPr>
      <w:ind w:firstLine="420"/>
    </w:pPr>
  </w:style>
  <w:style w:type="character" w:customStyle="1" w:styleId="30">
    <w:name w:val="标题 3 字符"/>
    <w:basedOn w:val="a0"/>
    <w:link w:val="3"/>
    <w:qFormat/>
    <w:rPr>
      <w:rFonts w:eastAsia="仿宋"/>
      <w:b/>
      <w:sz w:val="32"/>
    </w:rPr>
  </w:style>
  <w:style w:type="character" w:customStyle="1" w:styleId="aa">
    <w:name w:val="标题 字符"/>
    <w:basedOn w:val="a0"/>
    <w:link w:val="a9"/>
    <w:uiPriority w:val="10"/>
    <w:rPr>
      <w:rFonts w:asciiTheme="majorHAnsi" w:hAnsiTheme="majorHAnsi" w:cstheme="majorBidi"/>
      <w:b/>
      <w:bCs/>
      <w:kern w:val="2"/>
      <w:sz w:val="32"/>
      <w:szCs w:val="32"/>
    </w:rPr>
  </w:style>
  <w:style w:type="character" w:customStyle="1" w:styleId="a4">
    <w:name w:val="批注框文本 字符"/>
    <w:basedOn w:val="a0"/>
    <w:link w:val="a3"/>
    <w:qFormat/>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452</Words>
  <Characters>2583</Characters>
  <Application>Microsoft Office Word</Application>
  <DocSecurity>0</DocSecurity>
  <Lines>21</Lines>
  <Paragraphs>6</Paragraphs>
  <ScaleCrop>false</ScaleCrop>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li.jiang</dc:creator>
  <cp:lastModifiedBy>王梓怡</cp:lastModifiedBy>
  <cp:revision>12</cp:revision>
  <cp:lastPrinted>2025-02-14T05:23:00Z</cp:lastPrinted>
  <dcterms:created xsi:type="dcterms:W3CDTF">2025-02-14T04:28:00Z</dcterms:created>
  <dcterms:modified xsi:type="dcterms:W3CDTF">2025-02-14T06:47:00Z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6EBF5BBDDB574A46B633F130ADDEDCCA</vt:lpwstr>
  </property>
  <property fmtid="{D5CDD505-2E9C-101B-9397-08002B2CF9AE}" pid="4" name="KSOTemplateDocerSaveRecord">
    <vt:lpwstr>eyJoZGlkIjoiMzllZDg3YzdhNjQ5NzM1NzkzNTZhNmNkMWJmOTZlMTUiLCJ1c2VySWQiOiIzOTUzNDQ1MjAifQ==</vt:lpwstr>
  </property>
</Properties>
</file>