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2E4D4256" w:rsidR="006F541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 w:rsidR="00597E1C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6F5417" w:rsidRDefault="006F5417"/>
    <w:p w14:paraId="11655686" w14:textId="77777777" w:rsidR="006F5417" w:rsidRDefault="006F5417"/>
    <w:p w14:paraId="77B51C8E" w14:textId="77777777" w:rsidR="006F5417" w:rsidRDefault="006F5417"/>
    <w:p w14:paraId="7A157788" w14:textId="77777777" w:rsidR="006F5417" w:rsidRDefault="006F5417"/>
    <w:p w14:paraId="249797AA" w14:textId="77777777" w:rsidR="006F5417" w:rsidRDefault="006F5417"/>
    <w:p w14:paraId="66A226F4" w14:textId="77777777" w:rsidR="006F5417" w:rsidRDefault="006F5417"/>
    <w:p w14:paraId="75BD4271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6F5417" w:rsidRDefault="006F5417"/>
    <w:p w14:paraId="7F08F8EA" w14:textId="77777777" w:rsidR="006F5417" w:rsidRDefault="006F5417"/>
    <w:p w14:paraId="164215F5" w14:textId="77777777" w:rsidR="006F5417" w:rsidRDefault="006F5417"/>
    <w:p w14:paraId="00510FAE" w14:textId="77777777" w:rsidR="006F5417" w:rsidRDefault="006F5417"/>
    <w:p w14:paraId="40D3381D" w14:textId="77777777" w:rsidR="006F5417" w:rsidRDefault="006F5417"/>
    <w:p w14:paraId="021C8955" w14:textId="77777777" w:rsidR="006F5417" w:rsidRDefault="006F5417">
      <w:pPr>
        <w:jc w:val="center"/>
      </w:pPr>
    </w:p>
    <w:p w14:paraId="1BCD26BF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6F5417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6F5417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6F5417" w14:paraId="7619C05F" w14:textId="77777777" w:rsidTr="00C75D9B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40C7BDB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 w:rsidR="00C75D9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155E5051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35549E9E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□新闻发布会       </w:t>
            </w:r>
            <w:r w:rsidR="00C75D9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路演活动</w:t>
            </w:r>
          </w:p>
          <w:p w14:paraId="1D761977" w14:textId="43026951" w:rsidR="006F5417" w:rsidRDefault="00233E7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6BF33141" w:rsidR="006F5417" w:rsidRDefault="00AC56A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B27E0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F5417" w14:paraId="44300F5D" w14:textId="77777777" w:rsidTr="00C75D9B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3CE5CD64" w14:textId="2890ECC7" w:rsidR="00C75D9B" w:rsidRDefault="00C75D9B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广发证券、泰</w:t>
            </w: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康资管</w:t>
            </w:r>
            <w:proofErr w:type="gramEnd"/>
          </w:p>
          <w:p w14:paraId="249926A2" w14:textId="77777777" w:rsidR="00C75D9B" w:rsidRDefault="00C75D9B" w:rsidP="00C75D9B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天风证券策略会、大家资产</w:t>
            </w:r>
          </w:p>
          <w:p w14:paraId="136E9C8B" w14:textId="18F0D027" w:rsidR="00C75D9B" w:rsidRDefault="00C75D9B" w:rsidP="00C75D9B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华西证券、长城基金、东吴基金、财通基金</w:t>
            </w:r>
          </w:p>
          <w:p w14:paraId="110663D0" w14:textId="1F3DDE58" w:rsidR="00C75D9B" w:rsidRDefault="00C75D9B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申万宏源证券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策略会、国寿养老、长信基金</w:t>
            </w:r>
          </w:p>
          <w:p w14:paraId="2255D986" w14:textId="77777777" w:rsidR="00C75D9B" w:rsidRDefault="00C75D9B" w:rsidP="00C75D9B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浙商证券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策略会、长城基金</w:t>
            </w:r>
          </w:p>
          <w:p w14:paraId="1185AF3D" w14:textId="63E0215A" w:rsidR="00C75D9B" w:rsidRPr="00C75D9B" w:rsidRDefault="00C75D9B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长江证券策略会、华安基金、南方基金、富国基金、申万菱信基金</w:t>
            </w:r>
          </w:p>
          <w:p w14:paraId="67020A45" w14:textId="0A09FF3D" w:rsidR="00C75D9B" w:rsidRDefault="00C75D9B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开源证券策略会</w:t>
            </w:r>
          </w:p>
          <w:p w14:paraId="45C3CE27" w14:textId="77777777" w:rsidR="003E660D" w:rsidRDefault="003E660D" w:rsidP="003E660D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华</w:t>
            </w: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福证券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策略会、银华基金、长城基金</w:t>
            </w:r>
          </w:p>
          <w:p w14:paraId="03DAFA71" w14:textId="4CDC70D5" w:rsidR="00C75D9B" w:rsidRDefault="00C75D9B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兴业证券</w:t>
            </w:r>
          </w:p>
          <w:p w14:paraId="5D519B82" w14:textId="2B7BA224" w:rsidR="00C75D9B" w:rsidRDefault="00C75D9B" w:rsidP="00A07BF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东吴证券策略会、大成基金、</w:t>
            </w: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汇添富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基金、金鹰基金</w:t>
            </w:r>
          </w:p>
          <w:p w14:paraId="7B854EE1" w14:textId="68517B26" w:rsidR="00C75D9B" w:rsidRDefault="00C75D9B" w:rsidP="00C75D9B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国海证券、华鑫证券</w:t>
            </w:r>
          </w:p>
        </w:tc>
      </w:tr>
      <w:tr w:rsidR="006F5417" w14:paraId="1ADB90F2" w14:textId="77777777" w:rsidTr="00C75D9B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5F12515F" w14:textId="627B9BDD" w:rsidR="00C75D9B" w:rsidRDefault="00C75D9B" w:rsidP="00AC56A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2025年2月10日 13:30</w:t>
            </w:r>
          </w:p>
          <w:p w14:paraId="02372771" w14:textId="3F277A92" w:rsidR="00C75D9B" w:rsidRDefault="00C75D9B" w:rsidP="00AC56A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2025年2月12日 09:15</w:t>
            </w:r>
          </w:p>
          <w:p w14:paraId="17F1AE57" w14:textId="08A5B611" w:rsidR="00C75D9B" w:rsidRDefault="00C75D9B" w:rsidP="00C75D9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2025年2月12日 14:00</w:t>
            </w:r>
          </w:p>
          <w:p w14:paraId="5E02165F" w14:textId="4E6C1128" w:rsidR="00C75D9B" w:rsidRDefault="00C75D9B" w:rsidP="00C75D9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2025年2月13日 09:00</w:t>
            </w:r>
          </w:p>
          <w:p w14:paraId="4A79B050" w14:textId="77777777" w:rsidR="00C75D9B" w:rsidRDefault="00C75D9B" w:rsidP="00C75D9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2025年2月13日 09:00</w:t>
            </w:r>
          </w:p>
          <w:p w14:paraId="380A7FA7" w14:textId="0B2F3FDB" w:rsidR="00C75D9B" w:rsidRDefault="00C75D9B" w:rsidP="00C75D9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2025年2月13日 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；2月14日15:00</w:t>
            </w:r>
          </w:p>
          <w:p w14:paraId="767826AD" w14:textId="6AEC7F18" w:rsidR="003E660D" w:rsidRDefault="003E660D" w:rsidP="003E660D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2025年2月13日 15:30</w:t>
            </w:r>
          </w:p>
          <w:p w14:paraId="322961DD" w14:textId="0A7137A1" w:rsidR="003E660D" w:rsidRDefault="003E660D" w:rsidP="003E660D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2025年2月14日 10:00</w:t>
            </w:r>
          </w:p>
          <w:p w14:paraId="40B427C8" w14:textId="68314A83" w:rsidR="003E660D" w:rsidRDefault="003E660D" w:rsidP="003E660D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2025年2月14日 13:30</w:t>
            </w:r>
          </w:p>
          <w:p w14:paraId="34806898" w14:textId="27F301CC" w:rsidR="003E660D" w:rsidRDefault="003E660D" w:rsidP="003E660D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2025年2月14日 09:00</w:t>
            </w:r>
          </w:p>
          <w:p w14:paraId="24E907C3" w14:textId="5761B181" w:rsidR="006C7772" w:rsidRDefault="003E660D" w:rsidP="003E660D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2025年2月14日 14:00</w:t>
            </w:r>
          </w:p>
        </w:tc>
      </w:tr>
      <w:tr w:rsidR="006F5417" w14:paraId="1BD4FA1D" w14:textId="77777777" w:rsidTr="00C75D9B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0F387B3C" w14:textId="3D7132C1" w:rsidR="00AC56A8" w:rsidRDefault="00AC56A8" w:rsidP="00A07BF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腾讯会议</w:t>
            </w:r>
            <w:proofErr w:type="gramEnd"/>
          </w:p>
          <w:p w14:paraId="0815EE2B" w14:textId="77777777" w:rsidR="006C7772" w:rsidRDefault="00233E74" w:rsidP="00AC56A8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深圳市南山区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意中利科技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园1号3楼</w:t>
            </w:r>
          </w:p>
          <w:p w14:paraId="632EF760" w14:textId="0952D5BA" w:rsidR="003E660D" w:rsidRPr="006C7772" w:rsidRDefault="003E660D" w:rsidP="003E660D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北京中国大饭店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上海凯宾斯基大酒店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上海JW万豪酒店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上海浦东香格里拉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上海浦东丽思卡尔顿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深圳福田香格里拉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深圳福田四季酒店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</w:p>
        </w:tc>
      </w:tr>
      <w:tr w:rsidR="006F5417" w14:paraId="575817E8" w14:textId="77777777" w:rsidTr="00C75D9B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11F6EE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刘耘</w:t>
            </w:r>
          </w:p>
          <w:p w14:paraId="6C3C10A9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证券事务代表 邵凯真</w:t>
            </w:r>
          </w:p>
        </w:tc>
      </w:tr>
      <w:tr w:rsidR="006F5417" w14:paraId="42318FFA" w14:textId="77777777" w:rsidTr="00C75D9B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3E93B729" w14:textId="77777777" w:rsidR="003E660D" w:rsidRPr="003E660D" w:rsidRDefault="003E660D" w:rsidP="003E660D">
            <w:r w:rsidRPr="003E660D">
              <w:rPr>
                <w:rFonts w:hint="eastAsia"/>
              </w:rPr>
              <w:t>1</w:t>
            </w:r>
            <w:r w:rsidRPr="003E660D">
              <w:rPr>
                <w:rFonts w:hint="eastAsia"/>
              </w:rPr>
              <w:t>、电机技术在机器人关节方案里面会有被替代的风险吗？</w:t>
            </w:r>
          </w:p>
          <w:p w14:paraId="43E668F3" w14:textId="4A35A89B" w:rsidR="003E660D" w:rsidRPr="003E660D" w:rsidRDefault="003E660D" w:rsidP="003E660D">
            <w:r w:rsidRPr="003E660D">
              <w:rPr>
                <w:rFonts w:hint="eastAsia"/>
              </w:rPr>
              <w:t>答：从机器人关节方案来看，无框力矩电机方案已经在协作机器人上得到了批量的验证和认证，目前协作机器人已经是比较成熟的应用场景，公司认为协作机器人可以看作是人形机器人双臂系统的前身，短期来看，无框力矩电机在机器人手臂端是比较明确的方案。</w:t>
            </w:r>
          </w:p>
          <w:p w14:paraId="79550FEF" w14:textId="77777777" w:rsidR="003E660D" w:rsidRPr="003E660D" w:rsidRDefault="003E660D" w:rsidP="003E660D">
            <w:r w:rsidRPr="003E660D">
              <w:rPr>
                <w:rFonts w:hint="eastAsia"/>
              </w:rPr>
              <w:t> </w:t>
            </w:r>
          </w:p>
          <w:p w14:paraId="4F5145F9" w14:textId="77777777" w:rsidR="003E660D" w:rsidRPr="003E660D" w:rsidRDefault="003E660D" w:rsidP="003E660D">
            <w:r w:rsidRPr="003E660D">
              <w:rPr>
                <w:rFonts w:hint="eastAsia"/>
              </w:rPr>
              <w:t>2</w:t>
            </w:r>
            <w:r w:rsidRPr="003E660D">
              <w:rPr>
                <w:rFonts w:hint="eastAsia"/>
              </w:rPr>
              <w:t>、公司机器人下游客户对公司产品的开发需求有哪些？</w:t>
            </w:r>
          </w:p>
          <w:p w14:paraId="7BF64EED" w14:textId="77777777" w:rsidR="003E660D" w:rsidRPr="003E660D" w:rsidRDefault="003E660D" w:rsidP="003E660D">
            <w:r w:rsidRPr="003E660D">
              <w:rPr>
                <w:rFonts w:hint="eastAsia"/>
              </w:rPr>
              <w:t>答：公司主要配合下游客户应用场景的需求对产品进行开发，目前电机轻量化和高转矩是比较明确的需求。</w:t>
            </w:r>
          </w:p>
          <w:p w14:paraId="333EC266" w14:textId="77777777" w:rsidR="003E660D" w:rsidRPr="003E660D" w:rsidRDefault="003E660D" w:rsidP="003E660D">
            <w:r w:rsidRPr="003E660D">
              <w:rPr>
                <w:rFonts w:hint="eastAsia"/>
              </w:rPr>
              <w:t> </w:t>
            </w:r>
          </w:p>
          <w:p w14:paraId="09B496E7" w14:textId="77777777" w:rsidR="003E660D" w:rsidRPr="003E660D" w:rsidRDefault="003E660D" w:rsidP="003E660D">
            <w:r w:rsidRPr="003E660D">
              <w:rPr>
                <w:rFonts w:hint="eastAsia"/>
              </w:rPr>
              <w:t>3</w:t>
            </w:r>
            <w:r w:rsidRPr="003E660D">
              <w:rPr>
                <w:rFonts w:hint="eastAsia"/>
              </w:rPr>
              <w:t>、与外资品牌相比，公司无框力矩电机的优势在哪里？</w:t>
            </w:r>
          </w:p>
          <w:p w14:paraId="700DD935" w14:textId="77777777" w:rsidR="003E660D" w:rsidRDefault="003E660D" w:rsidP="003E660D">
            <w:r w:rsidRPr="003E660D">
              <w:rPr>
                <w:rFonts w:hint="eastAsia"/>
              </w:rPr>
              <w:t>答：公司一直深耕在低压伺服领域，经过多年的技术积累，拥有丰富的电机应用经验，所以在技术平台上，公司产品和国际品牌是可以对齐的；在技术对等的前提下，公司在协作机器人方向深耕多年，能够更加深入的理解市场需求和痛点，具有更强的灵活性，可以快速响应客户定制需求，输出解决方案。</w:t>
            </w:r>
          </w:p>
          <w:p w14:paraId="0A9F575E" w14:textId="77777777" w:rsidR="003E660D" w:rsidRPr="003E660D" w:rsidRDefault="003E660D" w:rsidP="003E660D"/>
          <w:p w14:paraId="5E52B66C" w14:textId="77777777" w:rsidR="003E660D" w:rsidRPr="003E660D" w:rsidRDefault="003E660D" w:rsidP="003E660D">
            <w:r w:rsidRPr="003E660D">
              <w:rPr>
                <w:rFonts w:hint="eastAsia"/>
              </w:rPr>
              <w:t>4</w:t>
            </w:r>
            <w:r w:rsidRPr="003E660D">
              <w:rPr>
                <w:rFonts w:hint="eastAsia"/>
              </w:rPr>
              <w:t>、公司给机器人行业提供的产品有哪些？</w:t>
            </w:r>
          </w:p>
          <w:p w14:paraId="0298FD14" w14:textId="5CE48CDF" w:rsidR="00233E74" w:rsidRPr="003E660D" w:rsidRDefault="003E660D" w:rsidP="000353B0">
            <w:r w:rsidRPr="003E660D">
              <w:rPr>
                <w:rFonts w:hint="eastAsia"/>
              </w:rPr>
              <w:t>答：目前公司以提供动力解决方案为主，基于</w:t>
            </w:r>
            <w:proofErr w:type="spellStart"/>
            <w:r w:rsidRPr="003E660D">
              <w:rPr>
                <w:rFonts w:hint="eastAsia"/>
              </w:rPr>
              <w:t>i</w:t>
            </w:r>
            <w:proofErr w:type="spellEnd"/>
            <w:r w:rsidRPr="003E660D">
              <w:rPr>
                <w:rFonts w:hint="eastAsia"/>
              </w:rPr>
              <w:t>-Kinco</w:t>
            </w:r>
            <w:r w:rsidRPr="003E660D">
              <w:rPr>
                <w:rFonts w:hint="eastAsia"/>
              </w:rPr>
              <w:t>集成技术平台，以电机技术为核心，组合驱动器、编码器、减速机、轮毂等多种核心部件，推出集成式伺服轮、轮毂一体机、旋转</w:t>
            </w:r>
            <w:proofErr w:type="gramStart"/>
            <w:r w:rsidRPr="003E660D">
              <w:rPr>
                <w:rFonts w:hint="eastAsia"/>
              </w:rPr>
              <w:t>顶升模组</w:t>
            </w:r>
            <w:proofErr w:type="gramEnd"/>
            <w:r w:rsidRPr="003E660D">
              <w:rPr>
                <w:rFonts w:hint="eastAsia"/>
              </w:rPr>
              <w:t>、舵轮模组等解决方案型产品，同时，也提供行业驱动器、机器人专用</w:t>
            </w:r>
            <w:r w:rsidRPr="003E660D">
              <w:rPr>
                <w:rFonts w:hint="eastAsia"/>
              </w:rPr>
              <w:t>HMI</w:t>
            </w:r>
            <w:r w:rsidRPr="003E660D">
              <w:rPr>
                <w:rFonts w:hint="eastAsia"/>
              </w:rPr>
              <w:t>等产品。</w:t>
            </w:r>
          </w:p>
        </w:tc>
      </w:tr>
      <w:tr w:rsidR="006F5417" w14:paraId="2610FEC7" w14:textId="77777777" w:rsidTr="00C75D9B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6F5417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F5417" w14:paraId="78850856" w14:textId="77777777" w:rsidTr="00C75D9B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3AAE4263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932C1D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AC56A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6F5417" w:rsidRDefault="006F5417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6F5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8B83" w14:textId="77777777" w:rsidR="006869C0" w:rsidRDefault="006869C0">
      <w:r>
        <w:separator/>
      </w:r>
    </w:p>
  </w:endnote>
  <w:endnote w:type="continuationSeparator" w:id="0">
    <w:p w14:paraId="7CA1F22E" w14:textId="77777777" w:rsidR="006869C0" w:rsidRDefault="0068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AC56A8" w:rsidRDefault="00AC56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6F65E591" w:rsidR="006F5417" w:rsidRPr="00AC56A8" w:rsidRDefault="006F5417" w:rsidP="00AC56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6F5417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6F5417" w:rsidRDefault="006F5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6E78" w14:textId="77777777" w:rsidR="006869C0" w:rsidRDefault="006869C0">
      <w:r>
        <w:separator/>
      </w:r>
    </w:p>
  </w:footnote>
  <w:footnote w:type="continuationSeparator" w:id="0">
    <w:p w14:paraId="1CD6C835" w14:textId="77777777" w:rsidR="006869C0" w:rsidRDefault="0068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AC56A8" w:rsidRDefault="00AC56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AC56A8" w:rsidRDefault="00AC56A8" w:rsidP="000353B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6F5417" w:rsidRDefault="006F541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4252"/>
    <w:rsid w:val="0004465F"/>
    <w:rsid w:val="00046C96"/>
    <w:rsid w:val="000509EF"/>
    <w:rsid w:val="00052824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9EF"/>
    <w:rsid w:val="00110FD1"/>
    <w:rsid w:val="00110FD8"/>
    <w:rsid w:val="00113882"/>
    <w:rsid w:val="0011404E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7CA7"/>
    <w:rsid w:val="002401D3"/>
    <w:rsid w:val="002413F3"/>
    <w:rsid w:val="00241804"/>
    <w:rsid w:val="002443F0"/>
    <w:rsid w:val="00245A1F"/>
    <w:rsid w:val="00252BB0"/>
    <w:rsid w:val="0025353D"/>
    <w:rsid w:val="0026332C"/>
    <w:rsid w:val="00264CB8"/>
    <w:rsid w:val="00271061"/>
    <w:rsid w:val="00271153"/>
    <w:rsid w:val="00271D5A"/>
    <w:rsid w:val="00282D54"/>
    <w:rsid w:val="00294D34"/>
    <w:rsid w:val="00296E21"/>
    <w:rsid w:val="002978AA"/>
    <w:rsid w:val="002A0C59"/>
    <w:rsid w:val="002A1959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5773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2029"/>
    <w:rsid w:val="003A21A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589E"/>
    <w:rsid w:val="00496148"/>
    <w:rsid w:val="0049713B"/>
    <w:rsid w:val="004A621C"/>
    <w:rsid w:val="004A63AC"/>
    <w:rsid w:val="004A711E"/>
    <w:rsid w:val="004B0021"/>
    <w:rsid w:val="004B172B"/>
    <w:rsid w:val="004B53EE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C5FA6"/>
    <w:rsid w:val="005C77A0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2CC8"/>
    <w:rsid w:val="0065372F"/>
    <w:rsid w:val="0065556C"/>
    <w:rsid w:val="0065637B"/>
    <w:rsid w:val="006568F7"/>
    <w:rsid w:val="00657A82"/>
    <w:rsid w:val="006623CA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384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63DE"/>
    <w:rsid w:val="00910250"/>
    <w:rsid w:val="0091048F"/>
    <w:rsid w:val="00911546"/>
    <w:rsid w:val="009133BC"/>
    <w:rsid w:val="00914AF6"/>
    <w:rsid w:val="009204E5"/>
    <w:rsid w:val="00922CCC"/>
    <w:rsid w:val="00926DF8"/>
    <w:rsid w:val="00927614"/>
    <w:rsid w:val="00932C1D"/>
    <w:rsid w:val="00937199"/>
    <w:rsid w:val="00937E96"/>
    <w:rsid w:val="00943376"/>
    <w:rsid w:val="00947011"/>
    <w:rsid w:val="009524FD"/>
    <w:rsid w:val="00954E18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B3AA8"/>
    <w:rsid w:val="009B4482"/>
    <w:rsid w:val="009B7476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5D"/>
    <w:rsid w:val="00AF5FE5"/>
    <w:rsid w:val="00B00139"/>
    <w:rsid w:val="00B05CB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60E40"/>
    <w:rsid w:val="00B614C6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75D9B"/>
    <w:rsid w:val="00C8070A"/>
    <w:rsid w:val="00C827FB"/>
    <w:rsid w:val="00C915DF"/>
    <w:rsid w:val="00C97850"/>
    <w:rsid w:val="00CA19FF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1B74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8BE10E1"/>
    <w:rsid w:val="199E2BAF"/>
    <w:rsid w:val="1CE369D3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517174DB"/>
    <w:rsid w:val="569F4D86"/>
    <w:rsid w:val="56C44AAA"/>
    <w:rsid w:val="5756142C"/>
    <w:rsid w:val="57FF3520"/>
    <w:rsid w:val="5A184997"/>
    <w:rsid w:val="5B4F2B6D"/>
    <w:rsid w:val="60E84350"/>
    <w:rsid w:val="616012AC"/>
    <w:rsid w:val="6812734C"/>
    <w:rsid w:val="6B726158"/>
    <w:rsid w:val="6EDE743A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7EB38"/>
  <w15:docId w15:val="{585BFE45-0F19-44EA-9C71-7B09E3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E66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27E0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7E0C"/>
    <w:rPr>
      <w:rFonts w:ascii="Courier New" w:hAnsi="Courier New" w:cs="Courier New"/>
      <w:kern w:val="2"/>
    </w:rPr>
  </w:style>
  <w:style w:type="paragraph" w:styleId="ab">
    <w:name w:val="Revision"/>
    <w:hidden/>
    <w:uiPriority w:val="99"/>
    <w:unhideWhenUsed/>
    <w:rsid w:val="00DD0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IT Kinco</cp:lastModifiedBy>
  <cp:revision>668</cp:revision>
  <dcterms:created xsi:type="dcterms:W3CDTF">2015-05-14T07:43:00Z</dcterms:created>
  <dcterms:modified xsi:type="dcterms:W3CDTF">2025-02-14T08:22:00Z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F1D217665D314A2399E7E6FFA11C03D2_13</vt:lpwstr>
  </property>
</Properties>
</file>