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5C02" w:rsidRPr="0007246F" w:rsidRDefault="00D3704D" w:rsidP="008D1EEF">
      <w:pPr>
        <w:spacing w:beforeLines="50" w:before="156" w:afterLines="50" w:after="156" w:line="400" w:lineRule="exact"/>
        <w:rPr>
          <w:rFonts w:ascii="TimesNewRoman" w:hAnsi="宋体"/>
          <w:b/>
          <w:sz w:val="24"/>
        </w:rPr>
      </w:pPr>
      <w:r w:rsidRPr="0007246F">
        <w:rPr>
          <w:rFonts w:ascii="TimesNewRoman" w:hAnsi="宋体" w:hint="eastAsia"/>
          <w:b/>
          <w:sz w:val="24"/>
        </w:rPr>
        <w:t>证券代码：</w:t>
      </w:r>
      <w:r w:rsidR="009D2D7D" w:rsidRPr="0007246F">
        <w:rPr>
          <w:rFonts w:ascii="TimesNewRoman" w:hAnsi="TimesNewRoman"/>
          <w:b/>
          <w:sz w:val="24"/>
        </w:rPr>
        <w:t>688499</w:t>
      </w:r>
      <w:r w:rsidRPr="0007246F">
        <w:rPr>
          <w:rFonts w:ascii="TimesNewRoman" w:hAnsi="TimesNewRoman" w:hint="eastAsia"/>
          <w:b/>
          <w:sz w:val="24"/>
        </w:rPr>
        <w:t xml:space="preserve">                                </w:t>
      </w:r>
      <w:r w:rsidR="008D1EEF" w:rsidRPr="0007246F">
        <w:rPr>
          <w:rFonts w:ascii="TimesNewRoman" w:hAnsi="TimesNewRoman"/>
          <w:b/>
          <w:sz w:val="24"/>
        </w:rPr>
        <w:t xml:space="preserve">     </w:t>
      </w:r>
      <w:r w:rsidRPr="0007246F">
        <w:rPr>
          <w:rFonts w:ascii="TimesNewRoman" w:hAnsi="宋体" w:hint="eastAsia"/>
          <w:b/>
          <w:sz w:val="24"/>
        </w:rPr>
        <w:t>证券简称：</w:t>
      </w:r>
      <w:r w:rsidR="009D2D7D" w:rsidRPr="0007246F">
        <w:rPr>
          <w:rFonts w:ascii="TimesNewRoman" w:hAnsi="宋体" w:hint="eastAsia"/>
          <w:b/>
          <w:sz w:val="24"/>
        </w:rPr>
        <w:t>利元亨</w:t>
      </w:r>
    </w:p>
    <w:p w:rsidR="00C04DF9" w:rsidRDefault="009D2D7D" w:rsidP="008D1EEF">
      <w:pPr>
        <w:spacing w:beforeLines="200" w:before="624" w:afterLines="100" w:after="312" w:line="400" w:lineRule="exact"/>
        <w:jc w:val="center"/>
        <w:rPr>
          <w:rFonts w:ascii="TimesNewRoman" w:hAnsi="宋体"/>
          <w:b/>
          <w:sz w:val="32"/>
          <w:szCs w:val="32"/>
        </w:rPr>
      </w:pPr>
      <w:r>
        <w:rPr>
          <w:rFonts w:ascii="TimesNewRoman" w:hAnsi="宋体" w:hint="eastAsia"/>
          <w:b/>
          <w:sz w:val="32"/>
          <w:szCs w:val="32"/>
        </w:rPr>
        <w:t>广东利元亨智能装备</w:t>
      </w:r>
      <w:r w:rsidR="00E83A63">
        <w:rPr>
          <w:rFonts w:ascii="TimesNewRoman" w:hAnsi="宋体" w:hint="eastAsia"/>
          <w:b/>
          <w:sz w:val="32"/>
          <w:szCs w:val="32"/>
        </w:rPr>
        <w:t>股份有限公司</w:t>
      </w:r>
    </w:p>
    <w:p w:rsidR="00D3704D" w:rsidRPr="00943E94" w:rsidRDefault="00353959" w:rsidP="00871A26">
      <w:pPr>
        <w:spacing w:beforeLines="100" w:before="312" w:afterLines="100" w:after="312" w:line="400" w:lineRule="exact"/>
        <w:jc w:val="center"/>
        <w:rPr>
          <w:rFonts w:ascii="TimesNewRoman" w:hAnsi="TimesNewRoman" w:hint="eastAsia"/>
          <w:b/>
          <w:sz w:val="32"/>
          <w:szCs w:val="32"/>
        </w:rPr>
      </w:pPr>
      <w:r>
        <w:rPr>
          <w:rFonts w:ascii="TimesNewRoman" w:hAnsi="TimesNewRoman" w:hint="eastAsia"/>
          <w:b/>
          <w:sz w:val="32"/>
          <w:szCs w:val="32"/>
        </w:rPr>
        <w:t>投资者交流记录表</w:t>
      </w:r>
    </w:p>
    <w:p w:rsidR="00D3704D" w:rsidRPr="00943E94" w:rsidRDefault="00D3704D" w:rsidP="00D3704D">
      <w:pPr>
        <w:spacing w:line="400" w:lineRule="exact"/>
        <w:rPr>
          <w:rFonts w:ascii="TimesNewRoman" w:hAnsi="TimesNewRoman" w:hint="eastAsia"/>
          <w:sz w:val="24"/>
        </w:rPr>
      </w:pPr>
      <w:r w:rsidRPr="00943E94">
        <w:rPr>
          <w:rFonts w:ascii="TimesNewRoman" w:hAnsi="TimesNewRoman" w:hint="eastAsia"/>
          <w:sz w:val="24"/>
        </w:rPr>
        <w:t xml:space="preserve">                    </w:t>
      </w:r>
      <w:r w:rsidR="009F518A">
        <w:rPr>
          <w:rFonts w:ascii="TimesNewRoman" w:hAnsi="TimesNewRoman" w:hint="eastAsia"/>
          <w:sz w:val="24"/>
        </w:rPr>
        <w:t xml:space="preserve">                               </w:t>
      </w:r>
      <w:r w:rsidRPr="00943E94">
        <w:rPr>
          <w:rFonts w:ascii="TimesNewRoman" w:hAnsi="TimesNewRoman" w:hint="eastAsia"/>
          <w:sz w:val="24"/>
        </w:rPr>
        <w:t xml:space="preserve"> </w:t>
      </w:r>
      <w:r w:rsidRPr="00943E94">
        <w:rPr>
          <w:rFonts w:ascii="TimesNewRoman" w:hAnsi="宋体" w:hint="eastAsia"/>
          <w:sz w:val="24"/>
        </w:rPr>
        <w:t>编号：</w:t>
      </w:r>
      <w:r w:rsidR="004D2728" w:rsidRPr="004D2728">
        <w:rPr>
          <w:rFonts w:ascii="TimesNewRoman" w:hAnsi="TimesNewRoman"/>
          <w:sz w:val="24"/>
        </w:rPr>
        <w:t>202</w:t>
      </w:r>
      <w:r w:rsidR="0031756E">
        <w:rPr>
          <w:rFonts w:ascii="TimesNewRoman" w:hAnsi="TimesNewRoman"/>
          <w:sz w:val="24"/>
        </w:rPr>
        <w:t>5</w:t>
      </w:r>
      <w:r w:rsidR="009F518A">
        <w:rPr>
          <w:rFonts w:ascii="TimesNewRoman" w:hAnsi="TimesNewRoman" w:hint="eastAsia"/>
          <w:sz w:val="24"/>
        </w:rPr>
        <w:t>-</w:t>
      </w:r>
      <w:r w:rsidR="0055128B">
        <w:rPr>
          <w:rFonts w:ascii="TimesNewRoman" w:hAnsi="TimesNewRoman" w:hint="eastAsia"/>
          <w:sz w:val="24"/>
        </w:rPr>
        <w:t>0</w:t>
      </w:r>
      <w:r w:rsidR="0031756E">
        <w:rPr>
          <w:rFonts w:ascii="TimesNewRoman" w:hAnsi="TimesNewRoman"/>
          <w:sz w:val="24"/>
        </w:rPr>
        <w:t>2</w:t>
      </w:r>
      <w:r w:rsidR="004D2728" w:rsidRPr="004D2728">
        <w:rPr>
          <w:rFonts w:ascii="TimesNewRoman" w:hAnsi="TimesNewRoman"/>
          <w:sz w:val="24"/>
        </w:rPr>
        <w:t>00</w:t>
      </w:r>
      <w:r w:rsidR="003A0A09">
        <w:rPr>
          <w:rFonts w:ascii="TimesNewRoman" w:hAnsi="TimesNewRoman" w:hint="eastAsia"/>
          <w:sz w:val="24"/>
        </w:rPr>
        <w:t>1</w:t>
      </w:r>
    </w:p>
    <w:tbl>
      <w:tblPr>
        <w:tblW w:w="90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08"/>
        <w:gridCol w:w="7117"/>
      </w:tblGrid>
      <w:tr w:rsidR="00D3704D" w:rsidRPr="00943E94" w:rsidTr="0007246F">
        <w:trPr>
          <w:trHeight w:val="2087"/>
          <w:jc w:val="center"/>
        </w:trPr>
        <w:tc>
          <w:tcPr>
            <w:tcW w:w="1908" w:type="dxa"/>
            <w:vAlign w:val="center"/>
          </w:tcPr>
          <w:p w:rsidR="00D3704D" w:rsidRPr="00943E94" w:rsidRDefault="00D3704D" w:rsidP="008D1EEF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投资者关系活动类别</w:t>
            </w:r>
          </w:p>
        </w:tc>
        <w:tc>
          <w:tcPr>
            <w:tcW w:w="7117" w:type="dxa"/>
            <w:tcBorders>
              <w:bottom w:val="single" w:sz="4" w:space="0" w:color="auto"/>
            </w:tcBorders>
          </w:tcPr>
          <w:p w:rsidR="00D3704D" w:rsidRPr="00943E94" w:rsidRDefault="009D2D7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特定对象调研</w:t>
            </w:r>
            <w:r w:rsidR="00337761">
              <w:rPr>
                <w:rFonts w:ascii="TimesNewRoman" w:hAnsi="TimesNewRoman" w:hint="eastAsia"/>
                <w:sz w:val="24"/>
              </w:rPr>
              <w:t xml:space="preserve">      </w:t>
            </w:r>
            <w:r w:rsidR="006F3FA6">
              <w:rPr>
                <w:rFonts w:ascii="TimesNewRoman" w:hAnsi="TimesNewRoman" w:hint="eastAsia"/>
                <w:sz w:val="24"/>
              </w:rPr>
              <w:t xml:space="preserve">  </w:t>
            </w:r>
            <w:r w:rsidR="00337761" w:rsidRPr="00943E94">
              <w:rPr>
                <w:rFonts w:ascii="TimesNewRoman" w:hAnsi="TimesNewRoman" w:hint="eastAsia"/>
                <w:sz w:val="24"/>
              </w:rPr>
              <w:t>□</w:t>
            </w:r>
            <w:r w:rsidR="00D3704D" w:rsidRPr="00943E94">
              <w:rPr>
                <w:rFonts w:ascii="TimesNewRoman" w:hAnsi="宋体" w:hint="eastAsia"/>
                <w:sz w:val="24"/>
              </w:rPr>
              <w:t>分析师会议</w:t>
            </w:r>
          </w:p>
          <w:p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媒体采访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="000E087D">
              <w:rPr>
                <w:rFonts w:ascii="TimesNewRoman" w:hAnsi="宋体" w:hint="eastAsia"/>
                <w:sz w:val="24"/>
              </w:rPr>
              <w:t>业绩</w:t>
            </w:r>
            <w:r w:rsidRPr="00943E94">
              <w:rPr>
                <w:rFonts w:ascii="TimesNewRoman" w:hAnsi="宋体" w:hint="eastAsia"/>
                <w:sz w:val="24"/>
              </w:rPr>
              <w:t>说明会</w:t>
            </w:r>
          </w:p>
          <w:p w:rsidR="00D3704D" w:rsidRPr="00943E94" w:rsidRDefault="00D3704D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新闻发布会</w:t>
            </w:r>
            <w:r w:rsidRPr="00943E94">
              <w:rPr>
                <w:rFonts w:ascii="TimesNewRoman" w:hAnsi="TimesNewRoman" w:hint="eastAsia"/>
                <w:sz w:val="24"/>
              </w:rPr>
              <w:t xml:space="preserve">          </w:t>
            </w:r>
            <w:r w:rsidRPr="00943E94">
              <w:rPr>
                <w:rFonts w:ascii="TimesNewRoman" w:hAnsi="TimesNewRoman" w:hint="eastAsia"/>
                <w:sz w:val="24"/>
              </w:rPr>
              <w:t>□</w:t>
            </w:r>
            <w:r w:rsidRPr="00943E94">
              <w:rPr>
                <w:rFonts w:ascii="TimesNewRoman" w:hAnsi="宋体" w:hint="eastAsia"/>
                <w:sz w:val="24"/>
              </w:rPr>
              <w:t>路演活动</w:t>
            </w:r>
          </w:p>
          <w:p w:rsidR="00D3704D" w:rsidRPr="00943E94" w:rsidRDefault="0007604F" w:rsidP="000E087D">
            <w:pPr>
              <w:tabs>
                <w:tab w:val="left" w:pos="2565"/>
                <w:tab w:val="center" w:pos="3199"/>
              </w:tabs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■</w:t>
            </w:r>
            <w:r w:rsidR="00D3704D" w:rsidRPr="00943E94">
              <w:rPr>
                <w:rFonts w:ascii="TimesNewRoman" w:hAnsi="宋体" w:hint="eastAsia"/>
                <w:sz w:val="24"/>
              </w:rPr>
              <w:t>现场参观</w:t>
            </w:r>
            <w:r w:rsidR="008D1EEF">
              <w:rPr>
                <w:rFonts w:ascii="TimesNewRoman" w:hAnsi="宋体" w:hint="eastAsia"/>
                <w:sz w:val="24"/>
              </w:rPr>
              <w:t xml:space="preserve"> </w:t>
            </w:r>
            <w:r w:rsidR="008D1EEF">
              <w:rPr>
                <w:rFonts w:ascii="TimesNewRoman" w:hAnsi="宋体"/>
                <w:sz w:val="24"/>
              </w:rPr>
              <w:t xml:space="preserve"> </w:t>
            </w:r>
            <w:r w:rsidR="008D1EEF" w:rsidRPr="00943E94">
              <w:rPr>
                <w:rFonts w:ascii="TimesNewRoman" w:hAnsi="TimesNewRoman" w:hint="eastAsia"/>
                <w:sz w:val="24"/>
              </w:rPr>
              <w:t xml:space="preserve">          </w:t>
            </w:r>
            <w:r w:rsidR="008D1EEF" w:rsidRPr="00943E94">
              <w:rPr>
                <w:rFonts w:ascii="TimesNewRoman" w:hAnsi="TimesNewRoman" w:hint="eastAsia"/>
                <w:sz w:val="24"/>
              </w:rPr>
              <w:t>□</w:t>
            </w:r>
            <w:r w:rsidR="008C175B" w:rsidRPr="008C175B">
              <w:rPr>
                <w:rFonts w:ascii="TimesNewRoman" w:hAnsi="TimesNewRoman" w:hint="eastAsia"/>
                <w:sz w:val="24"/>
              </w:rPr>
              <w:t>其他</w:t>
            </w:r>
          </w:p>
        </w:tc>
      </w:tr>
      <w:tr w:rsidR="00134783" w:rsidRPr="004973D8" w:rsidTr="0007246F">
        <w:trPr>
          <w:trHeight w:val="3960"/>
          <w:jc w:val="center"/>
        </w:trPr>
        <w:tc>
          <w:tcPr>
            <w:tcW w:w="1908" w:type="dxa"/>
            <w:vAlign w:val="center"/>
          </w:tcPr>
          <w:p w:rsidR="00134783" w:rsidRPr="00943E94" w:rsidRDefault="00134783" w:rsidP="008D1EEF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参与单位名称</w:t>
            </w:r>
          </w:p>
        </w:tc>
        <w:tc>
          <w:tcPr>
            <w:tcW w:w="7117" w:type="dxa"/>
          </w:tcPr>
          <w:p w:rsidR="00E772E3" w:rsidRPr="00E772E3" w:rsidRDefault="0099139F" w:rsidP="004A7ECB">
            <w:pPr>
              <w:spacing w:line="480" w:lineRule="atLeast"/>
              <w:jc w:val="left"/>
              <w:rPr>
                <w:rFonts w:ascii="TimesNewRoman" w:eastAsiaTheme="minorEastAsia" w:hAnsi="TimesNewRoman" w:cs="Arial" w:hint="eastAsia"/>
                <w:color w:val="000000"/>
                <w:kern w:val="0"/>
                <w:sz w:val="24"/>
                <w:szCs w:val="24"/>
              </w:rPr>
            </w:pPr>
            <w:r w:rsidRPr="0099139F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INVESCO GLOBAL</w:t>
            </w:r>
            <w:r w:rsidR="00363A31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363A31" w:rsidRPr="00363A31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TEMPLETON EMERGING MARKETS GROUP</w:t>
            </w:r>
            <w:r w:rsidR="00363A31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FD1CCC" w:rsidRPr="00FD1CCC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POINT72 ASSET MANAGEMENT LP</w:t>
            </w:r>
            <w:r w:rsidR="00FD1CCC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FD1CCC" w:rsidRPr="00FD1CCC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TEMASEK HOLDINGS</w:t>
            </w:r>
            <w:r w:rsidR="00FD1CCC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FD1CCC" w:rsidRPr="00FD1CCC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ALLIANZ GLOBAL INVESTORS</w:t>
            </w:r>
            <w:r w:rsidR="00FD1CCC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FD1CCC" w:rsidRPr="00FD1CCC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MANULIFE ASSET MANAGEMENT</w:t>
            </w:r>
            <w:r w:rsidR="00FD1CCC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FD1CCC" w:rsidRPr="00FD1CCC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IP MORGAN ASSET MANAGEMENT</w:t>
            </w:r>
            <w:r w:rsidR="00741968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741968" w:rsidRPr="00741968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LAZARD ASSET MANAGEMENT</w:t>
            </w:r>
            <w:r w:rsidR="00741968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741968" w:rsidRPr="00741968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FENGHE FUND MANAGEMENT PTE LTD</w:t>
            </w:r>
            <w:r w:rsidR="00741968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741968" w:rsidRPr="00741968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KHAZANAH NASIONAL BERHAD</w:t>
            </w:r>
            <w:r w:rsidR="00741968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741968" w:rsidRPr="00741968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TRIVEST ADVISORS LIMITED</w:t>
            </w:r>
            <w:r w:rsidR="00455D77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</w:t>
            </w:r>
            <w:r w:rsidR="00C10A1C" w:rsidRPr="00C10A1C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正圆投资</w:t>
            </w:r>
            <w:r w:rsidR="00C10A1C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、东吴证券、易方达基金</w:t>
            </w:r>
            <w:r w:rsidR="00141F83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，合计</w:t>
            </w:r>
            <w:r w:rsidR="004A7ECB">
              <w:rPr>
                <w:rFonts w:ascii="TimesNewRoman" w:eastAsiaTheme="minorEastAsia" w:hAnsi="TimesNewRoman" w:cs="Arial"/>
                <w:b/>
                <w:color w:val="000000"/>
                <w:kern w:val="0"/>
                <w:sz w:val="24"/>
                <w:szCs w:val="24"/>
              </w:rPr>
              <w:t>21</w:t>
            </w:r>
            <w:r w:rsidR="00141F83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位投资者</w:t>
            </w:r>
            <w:r w:rsidR="00407621">
              <w:rPr>
                <w:rFonts w:ascii="TimesNewRoman" w:eastAsiaTheme="minorEastAsia" w:hAnsi="TimesNewRoman" w:cs="Arial" w:hint="eastAsia"/>
                <w:b/>
                <w:color w:val="000000"/>
                <w:kern w:val="0"/>
                <w:sz w:val="24"/>
                <w:szCs w:val="24"/>
              </w:rPr>
              <w:t>。</w:t>
            </w:r>
          </w:p>
        </w:tc>
      </w:tr>
      <w:tr w:rsidR="00D3704D" w:rsidRPr="00943E94" w:rsidTr="00292A8E">
        <w:trPr>
          <w:trHeight w:val="638"/>
          <w:jc w:val="center"/>
        </w:trPr>
        <w:tc>
          <w:tcPr>
            <w:tcW w:w="1908" w:type="dxa"/>
          </w:tcPr>
          <w:p w:rsidR="00D3704D" w:rsidRPr="00943E94" w:rsidRDefault="00D3704D" w:rsidP="008D1EEF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时间</w:t>
            </w:r>
          </w:p>
        </w:tc>
        <w:tc>
          <w:tcPr>
            <w:tcW w:w="7117" w:type="dxa"/>
          </w:tcPr>
          <w:p w:rsidR="00D3704D" w:rsidRPr="00943E94" w:rsidRDefault="004A7ECB" w:rsidP="004A7ECB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202</w:t>
            </w:r>
            <w:r>
              <w:rPr>
                <w:rFonts w:ascii="TimesNewRoman" w:hAnsi="TimesNewRoman"/>
                <w:sz w:val="24"/>
              </w:rPr>
              <w:t>5</w:t>
            </w:r>
            <w:r w:rsidR="00DF0E3E" w:rsidRPr="00DF0E3E">
              <w:rPr>
                <w:rFonts w:ascii="TimesNewRoman" w:hAnsi="TimesNewRoman" w:hint="eastAsia"/>
                <w:sz w:val="24"/>
              </w:rPr>
              <w:t>年</w:t>
            </w:r>
            <w:r>
              <w:rPr>
                <w:rFonts w:ascii="TimesNewRoman" w:hAnsi="TimesNewRoman"/>
                <w:sz w:val="24"/>
              </w:rPr>
              <w:t>2</w:t>
            </w:r>
            <w:r w:rsidR="00DF0E3E" w:rsidRPr="00DF0E3E">
              <w:rPr>
                <w:rFonts w:ascii="TimesNewRoman" w:hAnsi="TimesNewRoman" w:hint="eastAsia"/>
                <w:sz w:val="24"/>
              </w:rPr>
              <w:t>月</w:t>
            </w:r>
            <w:r>
              <w:rPr>
                <w:rFonts w:ascii="TimesNewRoman" w:hAnsi="TimesNewRoman"/>
                <w:sz w:val="24"/>
              </w:rPr>
              <w:t>11</w:t>
            </w:r>
            <w:r w:rsidR="00960BBD">
              <w:rPr>
                <w:rFonts w:ascii="TimesNewRoman" w:hAnsi="TimesNewRoman" w:hint="eastAsia"/>
                <w:sz w:val="24"/>
              </w:rPr>
              <w:t>日</w:t>
            </w:r>
            <w:r>
              <w:rPr>
                <w:rFonts w:ascii="TimesNewRoman" w:hAnsi="TimesNewRoman" w:hint="eastAsia"/>
                <w:sz w:val="24"/>
              </w:rPr>
              <w:t>、</w:t>
            </w:r>
            <w:r>
              <w:rPr>
                <w:rFonts w:ascii="TimesNewRoman" w:hAnsi="TimesNewRoman" w:hint="eastAsia"/>
                <w:sz w:val="24"/>
              </w:rPr>
              <w:t>202</w:t>
            </w:r>
            <w:r>
              <w:rPr>
                <w:rFonts w:ascii="TimesNewRoman" w:hAnsi="TimesNewRoman"/>
                <w:sz w:val="24"/>
              </w:rPr>
              <w:t>5</w:t>
            </w:r>
            <w:r w:rsidRPr="00DF0E3E">
              <w:rPr>
                <w:rFonts w:ascii="TimesNewRoman" w:hAnsi="TimesNewRoman" w:hint="eastAsia"/>
                <w:sz w:val="24"/>
              </w:rPr>
              <w:t>年</w:t>
            </w:r>
            <w:r>
              <w:rPr>
                <w:rFonts w:ascii="TimesNewRoman" w:hAnsi="TimesNewRoman"/>
                <w:sz w:val="24"/>
              </w:rPr>
              <w:t>2</w:t>
            </w:r>
            <w:r w:rsidRPr="00DF0E3E">
              <w:rPr>
                <w:rFonts w:ascii="TimesNewRoman" w:hAnsi="TimesNewRoman" w:hint="eastAsia"/>
                <w:sz w:val="24"/>
              </w:rPr>
              <w:t>月</w:t>
            </w:r>
            <w:r>
              <w:rPr>
                <w:rFonts w:ascii="TimesNewRoman" w:hAnsi="TimesNewRoman"/>
                <w:sz w:val="24"/>
              </w:rPr>
              <w:t>12</w:t>
            </w:r>
            <w:r>
              <w:rPr>
                <w:rFonts w:ascii="TimesNewRoman" w:hAnsi="TimesNewRoman" w:hint="eastAsia"/>
                <w:sz w:val="24"/>
              </w:rPr>
              <w:t>日</w:t>
            </w:r>
          </w:p>
        </w:tc>
      </w:tr>
      <w:tr w:rsidR="00D3704D" w:rsidRPr="00943E94" w:rsidTr="00FA21B0">
        <w:trPr>
          <w:trHeight w:val="590"/>
          <w:jc w:val="center"/>
        </w:trPr>
        <w:tc>
          <w:tcPr>
            <w:tcW w:w="1908" w:type="dxa"/>
          </w:tcPr>
          <w:p w:rsidR="00D3704D" w:rsidRPr="00943E94" w:rsidRDefault="00D3704D" w:rsidP="008D1EEF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地点</w:t>
            </w:r>
          </w:p>
        </w:tc>
        <w:tc>
          <w:tcPr>
            <w:tcW w:w="7117" w:type="dxa"/>
          </w:tcPr>
          <w:p w:rsidR="00D3704D" w:rsidRPr="00943E94" w:rsidRDefault="00CE1111" w:rsidP="002749ED">
            <w:pPr>
              <w:spacing w:line="480" w:lineRule="atLeast"/>
              <w:rPr>
                <w:rFonts w:ascii="TimesNewRoman" w:hAnsi="TimesNewRoman" w:hint="eastAsia"/>
                <w:sz w:val="24"/>
              </w:rPr>
            </w:pPr>
            <w:r>
              <w:rPr>
                <w:rFonts w:ascii="TimesNewRoman" w:hAnsi="TimesNewRoman" w:hint="eastAsia"/>
                <w:sz w:val="24"/>
              </w:rPr>
              <w:t>利元亨办公室</w:t>
            </w:r>
          </w:p>
        </w:tc>
      </w:tr>
      <w:tr w:rsidR="00D3704D" w:rsidRPr="00943E94" w:rsidTr="008D1EEF">
        <w:trPr>
          <w:trHeight w:val="1092"/>
          <w:jc w:val="center"/>
        </w:trPr>
        <w:tc>
          <w:tcPr>
            <w:tcW w:w="1908" w:type="dxa"/>
            <w:vAlign w:val="center"/>
          </w:tcPr>
          <w:p w:rsidR="00D3704D" w:rsidRPr="00943E94" w:rsidRDefault="00D3704D" w:rsidP="008D1EEF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上市公司接待人员姓名</w:t>
            </w:r>
          </w:p>
        </w:tc>
        <w:tc>
          <w:tcPr>
            <w:tcW w:w="7117" w:type="dxa"/>
          </w:tcPr>
          <w:p w:rsidR="00B52A9F" w:rsidRDefault="00AE7BA9" w:rsidP="00B52A9F">
            <w:pPr>
              <w:spacing w:line="480" w:lineRule="atLeast"/>
              <w:rPr>
                <w:rFonts w:ascii="TimesNewRoman" w:hAnsi="宋体"/>
                <w:sz w:val="24"/>
              </w:rPr>
            </w:pPr>
            <w:r w:rsidRPr="00AE7BA9">
              <w:rPr>
                <w:rFonts w:ascii="TimesNewRoman" w:hAnsi="宋体" w:hint="eastAsia"/>
                <w:sz w:val="24"/>
              </w:rPr>
              <w:t>广东利元亨智能装备股份有限公司</w:t>
            </w:r>
            <w:r w:rsidR="004973D8">
              <w:rPr>
                <w:rFonts w:ascii="TimesNewRoman" w:hAnsi="宋体" w:hint="eastAsia"/>
                <w:sz w:val="24"/>
              </w:rPr>
              <w:t>董事会秘书</w:t>
            </w:r>
            <w:r w:rsidRPr="00AE7BA9">
              <w:rPr>
                <w:rFonts w:ascii="TimesNewRoman" w:hAnsi="宋体" w:hint="eastAsia"/>
                <w:sz w:val="24"/>
              </w:rPr>
              <w:t xml:space="preserve"> </w:t>
            </w:r>
            <w:r w:rsidRPr="00AE7BA9">
              <w:rPr>
                <w:rFonts w:ascii="TimesNewRoman" w:hAnsi="宋体" w:hint="eastAsia"/>
                <w:sz w:val="24"/>
              </w:rPr>
              <w:t>陈振容</w:t>
            </w:r>
          </w:p>
          <w:p w:rsidR="00DF0E3E" w:rsidRDefault="00960BBD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广东利元亨智能装备股份有限公司研究院院长</w:t>
            </w:r>
            <w:r>
              <w:rPr>
                <w:rFonts w:ascii="TimesNewRoman" w:hAnsi="宋体" w:hint="eastAsia"/>
                <w:sz w:val="24"/>
              </w:rPr>
              <w:t xml:space="preserve"> </w:t>
            </w:r>
            <w:r>
              <w:rPr>
                <w:rFonts w:ascii="TimesNewRoman" w:hAnsi="宋体" w:hint="eastAsia"/>
                <w:sz w:val="24"/>
              </w:rPr>
              <w:t>杜义贤</w:t>
            </w:r>
          </w:p>
          <w:p w:rsidR="004A7ECB" w:rsidRPr="005F46D2" w:rsidRDefault="005F46D2" w:rsidP="00960BBD">
            <w:pPr>
              <w:spacing w:line="480" w:lineRule="atLeast"/>
              <w:rPr>
                <w:rFonts w:ascii="TimesNewRoman" w:hAnsi="宋体"/>
                <w:sz w:val="24"/>
              </w:rPr>
            </w:pPr>
            <w:r>
              <w:rPr>
                <w:rFonts w:ascii="TimesNewRoman" w:hAnsi="宋体" w:hint="eastAsia"/>
                <w:sz w:val="24"/>
              </w:rPr>
              <w:t>广东利元亨智能装备股份有限公司</w:t>
            </w:r>
            <w:r>
              <w:rPr>
                <w:rFonts w:ascii="TimesNewRoman" w:hAnsi="宋体" w:hint="eastAsia"/>
                <w:sz w:val="24"/>
              </w:rPr>
              <w:t>I</w:t>
            </w:r>
            <w:r>
              <w:rPr>
                <w:rFonts w:ascii="TimesNewRoman" w:hAnsi="宋体"/>
                <w:sz w:val="24"/>
              </w:rPr>
              <w:t>R</w:t>
            </w:r>
            <w:r>
              <w:rPr>
                <w:rFonts w:ascii="TimesNewRoman" w:hAnsi="宋体" w:hint="eastAsia"/>
                <w:sz w:val="24"/>
              </w:rPr>
              <w:t xml:space="preserve"> </w:t>
            </w:r>
            <w:r>
              <w:rPr>
                <w:rFonts w:ascii="TimesNewRoman" w:hAnsi="宋体" w:hint="eastAsia"/>
                <w:sz w:val="24"/>
              </w:rPr>
              <w:t>陈丽凡</w:t>
            </w:r>
          </w:p>
        </w:tc>
      </w:tr>
      <w:tr w:rsidR="00CE1111" w:rsidRPr="008E6C37" w:rsidTr="008D1EEF">
        <w:trPr>
          <w:trHeight w:val="1813"/>
          <w:jc w:val="center"/>
        </w:trPr>
        <w:tc>
          <w:tcPr>
            <w:tcW w:w="1908" w:type="dxa"/>
            <w:vAlign w:val="center"/>
          </w:tcPr>
          <w:p w:rsidR="00CE1111" w:rsidRPr="00943E94" w:rsidRDefault="00CE1111" w:rsidP="008D1EEF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>
              <w:rPr>
                <w:rFonts w:ascii="TimesNewRoman" w:hAnsi="宋体" w:hint="eastAsia"/>
                <w:b/>
                <w:sz w:val="24"/>
              </w:rPr>
              <w:t>投资者关系活动主要内容介绍</w:t>
            </w:r>
          </w:p>
        </w:tc>
        <w:tc>
          <w:tcPr>
            <w:tcW w:w="7117" w:type="dxa"/>
          </w:tcPr>
          <w:p w:rsidR="0084293A" w:rsidRDefault="0084293A" w:rsidP="0098523C">
            <w:pPr>
              <w:pStyle w:val="af0"/>
              <w:numPr>
                <w:ilvl w:val="0"/>
                <w:numId w:val="2"/>
              </w:numPr>
              <w:spacing w:line="480" w:lineRule="atLeast"/>
              <w:ind w:firstLineChars="0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参观环节</w:t>
            </w:r>
          </w:p>
          <w:p w:rsidR="00141F83" w:rsidRPr="0098523C" w:rsidRDefault="0098523C" w:rsidP="0098523C">
            <w:pPr>
              <w:pStyle w:val="af0"/>
              <w:numPr>
                <w:ilvl w:val="0"/>
                <w:numId w:val="2"/>
              </w:numPr>
              <w:spacing w:line="480" w:lineRule="atLeast"/>
              <w:ind w:firstLineChars="0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98523C">
              <w:rPr>
                <w:rFonts w:asciiTheme="minorEastAsia" w:hAnsiTheme="minorEastAsia" w:hint="eastAsia"/>
                <w:b/>
                <w:sz w:val="24"/>
                <w:szCs w:val="24"/>
              </w:rPr>
              <w:t>提问环节</w:t>
            </w:r>
          </w:p>
          <w:p w:rsidR="00F20482" w:rsidRPr="0098523C" w:rsidRDefault="00CE1111" w:rsidP="00F20482">
            <w:pPr>
              <w:spacing w:line="480" w:lineRule="atLeast"/>
              <w:ind w:firstLineChars="147" w:firstLine="35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bookmarkStart w:id="0" w:name="OLE_LINK6"/>
            <w:bookmarkStart w:id="1" w:name="OLE_LINK7"/>
            <w:r w:rsidRPr="0098523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问题一：</w:t>
            </w:r>
            <w:r w:rsidR="00065F1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怎么看待固态电池投产的时间点</w:t>
            </w:r>
            <w:r w:rsidR="00543F76" w:rsidRPr="0098523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？</w:t>
            </w:r>
          </w:p>
          <w:p w:rsidR="00F355CA" w:rsidRPr="00F355CA" w:rsidRDefault="00F20482" w:rsidP="00CE093D">
            <w:pPr>
              <w:spacing w:line="480" w:lineRule="atLeast"/>
              <w:ind w:firstLineChars="147" w:firstLine="35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66E48"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="009C4476" w:rsidRPr="00266E48">
              <w:rPr>
                <w:rFonts w:asciiTheme="minorEastAsia" w:eastAsiaTheme="minorEastAsia" w:hAnsiTheme="minorEastAsia" w:hint="eastAsia"/>
                <w:sz w:val="24"/>
                <w:szCs w:val="24"/>
              </w:rPr>
              <w:t>近年</w:t>
            </w:r>
            <w:r w:rsidR="009C4476" w:rsidRPr="009C4476">
              <w:rPr>
                <w:rFonts w:asciiTheme="minorEastAsia" w:eastAsiaTheme="minorEastAsia" w:hAnsiTheme="minorEastAsia" w:hint="eastAsia"/>
                <w:sz w:val="24"/>
                <w:szCs w:val="24"/>
              </w:rPr>
              <w:t>来政府对全固态电池的研发高度重视，通过资金扶持</w:t>
            </w:r>
            <w:r w:rsidR="009C4476" w:rsidRPr="009C4476">
              <w:rPr>
                <w:rFonts w:asciiTheme="minorEastAsia" w:eastAsiaTheme="minorEastAsia" w:hAnsiTheme="minorEastAsia" w:hint="eastAsia"/>
                <w:sz w:val="24"/>
                <w:szCs w:val="24"/>
              </w:rPr>
              <w:lastRenderedPageBreak/>
              <w:t>和政策引导，推动该技术的产业化进程。根据</w:t>
            </w:r>
            <w:r w:rsidR="00525CE4" w:rsidRPr="00525CE4">
              <w:rPr>
                <w:rFonts w:asciiTheme="minorEastAsia" w:eastAsiaTheme="minorEastAsia" w:hAnsiTheme="minorEastAsia" w:hint="eastAsia"/>
                <w:sz w:val="24"/>
                <w:szCs w:val="24"/>
              </w:rPr>
              <w:t>工信部</w:t>
            </w:r>
            <w:r w:rsidR="00525CE4" w:rsidRPr="00F97D8B">
              <w:rPr>
                <w:rFonts w:asciiTheme="minorEastAsia" w:eastAsiaTheme="minorEastAsia" w:hAnsiTheme="minorEastAsia" w:hint="eastAsia"/>
                <w:sz w:val="24"/>
                <w:szCs w:val="24"/>
              </w:rPr>
              <w:t>《</w:t>
            </w:r>
            <w:r w:rsidR="00F312F3" w:rsidRPr="00F97D8B">
              <w:rPr>
                <w:rFonts w:asciiTheme="minorEastAsia" w:eastAsiaTheme="minorEastAsia" w:hAnsiTheme="minorEastAsia"/>
                <w:bCs/>
                <w:sz w:val="24"/>
                <w:szCs w:val="24"/>
              </w:rPr>
              <w:t>新能源汽车生产企业及产品准入管理规定</w:t>
            </w:r>
            <w:r w:rsidR="00525CE4" w:rsidRPr="00F97D8B">
              <w:rPr>
                <w:rFonts w:asciiTheme="minorEastAsia" w:eastAsiaTheme="minorEastAsia" w:hAnsiTheme="minorEastAsia" w:hint="eastAsia"/>
                <w:sz w:val="24"/>
                <w:szCs w:val="24"/>
              </w:rPr>
              <w:t>》要求</w:t>
            </w:r>
            <w:r w:rsidR="003477F1" w:rsidRPr="00F97D8B">
              <w:rPr>
                <w:rFonts w:asciiTheme="minorEastAsia" w:eastAsiaTheme="minorEastAsia" w:hAnsiTheme="minorEastAsia" w:hint="eastAsia"/>
                <w:sz w:val="24"/>
                <w:szCs w:val="24"/>
              </w:rPr>
              <w:t>新能源汽车动力电</w:t>
            </w:r>
            <w:r w:rsidR="003477F1" w:rsidRPr="003477F1">
              <w:rPr>
                <w:rFonts w:asciiTheme="minorEastAsia" w:eastAsiaTheme="minorEastAsia" w:hAnsiTheme="minorEastAsia" w:hint="eastAsia"/>
                <w:sz w:val="24"/>
                <w:szCs w:val="24"/>
              </w:rPr>
              <w:t>池需通过高低温性能、循环寿命、安全可靠性等测试</w:t>
            </w:r>
            <w:r w:rsidR="009C4476" w:rsidRPr="009C4476">
              <w:rPr>
                <w:rFonts w:asciiTheme="minorEastAsia" w:eastAsiaTheme="minorEastAsia" w:hAnsiTheme="minorEastAsia" w:hint="eastAsia"/>
                <w:sz w:val="24"/>
                <w:szCs w:val="24"/>
              </w:rPr>
              <w:t>，以确保其性能稳定性和可靠性</w:t>
            </w:r>
            <w:r w:rsidR="003477F1">
              <w:rPr>
                <w:rFonts w:asciiTheme="minorEastAsia" w:eastAsiaTheme="minorEastAsia" w:hAnsiTheme="minorEastAsia" w:hint="eastAsia"/>
                <w:sz w:val="24"/>
                <w:szCs w:val="24"/>
              </w:rPr>
              <w:t>，虽然</w:t>
            </w:r>
            <w:r w:rsidR="003477F1" w:rsidRPr="003477F1">
              <w:rPr>
                <w:rFonts w:asciiTheme="minorEastAsia" w:eastAsiaTheme="minorEastAsia" w:hAnsiTheme="minorEastAsia" w:hint="eastAsia"/>
                <w:sz w:val="24"/>
                <w:szCs w:val="24"/>
              </w:rPr>
              <w:t>企业可采用等效模拟测试方法优化验证流程</w:t>
            </w:r>
            <w:r w:rsidR="003477F1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153841">
              <w:rPr>
                <w:rFonts w:asciiTheme="minorEastAsia" w:eastAsiaTheme="minorEastAsia" w:hAnsiTheme="minorEastAsia" w:hint="eastAsia"/>
                <w:sz w:val="24"/>
                <w:szCs w:val="24"/>
              </w:rPr>
              <w:t>但</w:t>
            </w:r>
            <w:r w:rsidR="00774F59">
              <w:rPr>
                <w:rFonts w:asciiTheme="minorEastAsia" w:eastAsiaTheme="minorEastAsia" w:hAnsiTheme="minorEastAsia" w:hint="eastAsia"/>
                <w:sz w:val="24"/>
                <w:szCs w:val="24"/>
              </w:rPr>
              <w:t>结合</w:t>
            </w:r>
            <w:r w:rsidR="009F13C4" w:rsidRPr="009F13C4">
              <w:rPr>
                <w:rFonts w:asciiTheme="minorEastAsia" w:eastAsiaTheme="minorEastAsia" w:hAnsiTheme="minorEastAsia" w:hint="eastAsia"/>
                <w:sz w:val="24"/>
                <w:szCs w:val="24"/>
              </w:rPr>
              <w:t>车企技术路线图与公开表态</w:t>
            </w:r>
            <w:r w:rsidR="00567624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F97D8B">
              <w:rPr>
                <w:rFonts w:asciiTheme="minorEastAsia" w:eastAsiaTheme="minorEastAsia" w:hAnsiTheme="minorEastAsia" w:hint="eastAsia"/>
                <w:sz w:val="24"/>
                <w:szCs w:val="24"/>
              </w:rPr>
              <w:t>全面</w:t>
            </w:r>
            <w:r w:rsidR="009C4476" w:rsidRPr="009C4476">
              <w:rPr>
                <w:rFonts w:asciiTheme="minorEastAsia" w:eastAsiaTheme="minorEastAsia" w:hAnsiTheme="minorEastAsia" w:hint="eastAsia"/>
                <w:sz w:val="24"/>
                <w:szCs w:val="24"/>
              </w:rPr>
              <w:t>测试数据</w:t>
            </w:r>
            <w:r w:rsidR="00F97D8B" w:rsidRPr="00F97D8B">
              <w:rPr>
                <w:rFonts w:asciiTheme="minorEastAsia" w:eastAsiaTheme="minorEastAsia" w:hAnsiTheme="minorEastAsia" w:hint="eastAsia"/>
                <w:sz w:val="24"/>
                <w:szCs w:val="24"/>
              </w:rPr>
              <w:t>落地</w:t>
            </w:r>
            <w:r w:rsidR="00567624">
              <w:rPr>
                <w:rFonts w:asciiTheme="minorEastAsia" w:eastAsiaTheme="minorEastAsia" w:hAnsiTheme="minorEastAsia" w:hint="eastAsia"/>
                <w:sz w:val="24"/>
                <w:szCs w:val="24"/>
              </w:rPr>
              <w:t>预计至</w:t>
            </w:r>
            <w:r w:rsidR="00F97D8B" w:rsidRPr="00F97D8B">
              <w:rPr>
                <w:rFonts w:asciiTheme="minorEastAsia" w:eastAsiaTheme="minorEastAsia" w:hAnsiTheme="minorEastAsia" w:hint="eastAsia"/>
                <w:sz w:val="24"/>
                <w:szCs w:val="24"/>
              </w:rPr>
              <w:t>2027年左右</w:t>
            </w:r>
            <w:r w:rsidR="009C4476" w:rsidRPr="009C4476">
              <w:rPr>
                <w:rFonts w:asciiTheme="minorEastAsia" w:eastAsiaTheme="minorEastAsia" w:hAnsiTheme="minorEastAsia" w:hint="eastAsia"/>
                <w:sz w:val="24"/>
                <w:szCs w:val="24"/>
              </w:rPr>
              <w:t>。基于这一时间节点，2026年</w:t>
            </w:r>
            <w:r w:rsidR="00C01CB2">
              <w:rPr>
                <w:rFonts w:asciiTheme="minorEastAsia" w:eastAsiaTheme="minorEastAsia" w:hAnsiTheme="minorEastAsia" w:hint="eastAsia"/>
                <w:sz w:val="24"/>
                <w:szCs w:val="24"/>
              </w:rPr>
              <w:t>或</w:t>
            </w:r>
            <w:r w:rsidR="002C2ACE">
              <w:rPr>
                <w:rFonts w:asciiTheme="minorEastAsia" w:eastAsiaTheme="minorEastAsia" w:hAnsiTheme="minorEastAsia" w:hint="eastAsia"/>
                <w:sz w:val="24"/>
                <w:szCs w:val="24"/>
              </w:rPr>
              <w:t>有批</w:t>
            </w:r>
            <w:r w:rsidR="009C4476" w:rsidRPr="009C4476">
              <w:rPr>
                <w:rFonts w:asciiTheme="minorEastAsia" w:eastAsiaTheme="minorEastAsia" w:hAnsiTheme="minorEastAsia" w:hint="eastAsia"/>
                <w:sz w:val="24"/>
                <w:szCs w:val="24"/>
              </w:rPr>
              <w:t>量固态电池进入装车测试阶段。</w:t>
            </w:r>
            <w:bookmarkEnd w:id="0"/>
            <w:bookmarkEnd w:id="1"/>
          </w:p>
          <w:p w:rsidR="005C1331" w:rsidRPr="0098523C" w:rsidRDefault="005C1331" w:rsidP="005C1331">
            <w:pPr>
              <w:spacing w:line="480" w:lineRule="atLeast"/>
              <w:ind w:firstLineChars="147" w:firstLine="35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98523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问题二：</w:t>
            </w:r>
            <w:r w:rsidR="0099103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全固态</w:t>
            </w:r>
            <w:r w:rsidR="007453ED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设备里会有哪些新的设备，对于利元亨的机遇有哪些</w:t>
            </w:r>
            <w:r w:rsidR="00141F83" w:rsidRPr="0098523C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？</w:t>
            </w:r>
            <w:r w:rsidRPr="0098523C">
              <w:rPr>
                <w:rFonts w:asciiTheme="minorEastAsia" w:eastAsiaTheme="minorEastAsia" w:hAnsiTheme="minorEastAsia"/>
                <w:b/>
                <w:sz w:val="24"/>
                <w:szCs w:val="24"/>
              </w:rPr>
              <w:t xml:space="preserve"> </w:t>
            </w:r>
          </w:p>
          <w:p w:rsidR="00B529A8" w:rsidRPr="00CE093D" w:rsidRDefault="00B529A8" w:rsidP="00CE093D">
            <w:pPr>
              <w:spacing w:line="480" w:lineRule="atLeast"/>
              <w:ind w:firstLineChars="147" w:firstLine="353"/>
              <w:rPr>
                <w:rFonts w:asciiTheme="minorEastAsia" w:eastAsiaTheme="minorEastAsia" w:hAnsiTheme="minorEastAsia" w:cs="Arial" w:hint="eastAsia"/>
                <w:b/>
                <w:sz w:val="24"/>
                <w:szCs w:val="24"/>
              </w:rPr>
            </w:pPr>
            <w:r w:rsidRPr="00266E48"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="005F268C" w:rsidRPr="00266E48">
              <w:rPr>
                <w:rFonts w:asciiTheme="minorEastAsia" w:eastAsiaTheme="minorEastAsia" w:hAnsiTheme="minorEastAsia" w:hint="eastAsia"/>
                <w:sz w:val="24"/>
                <w:szCs w:val="24"/>
              </w:rPr>
              <w:t>全固态电池的产业化进程对设备提出了全新需求，</w:t>
            </w:r>
            <w:r w:rsidR="005E39C1" w:rsidRPr="00266E48">
              <w:rPr>
                <w:rFonts w:asciiTheme="minorEastAsia" w:eastAsiaTheme="minorEastAsia" w:hAnsiTheme="minorEastAsia" w:hint="eastAsia"/>
                <w:sz w:val="24"/>
                <w:szCs w:val="24"/>
              </w:rPr>
              <w:t>主要</w:t>
            </w:r>
            <w:r w:rsidR="005F268C" w:rsidRPr="00266E48">
              <w:rPr>
                <w:rFonts w:asciiTheme="minorEastAsia" w:eastAsiaTheme="minorEastAsia" w:hAnsiTheme="minorEastAsia" w:hint="eastAsia"/>
                <w:sz w:val="24"/>
                <w:szCs w:val="24"/>
              </w:rPr>
              <w:t>包括干法设备</w:t>
            </w:r>
            <w:r w:rsidR="00EA202C" w:rsidRPr="00266E48">
              <w:rPr>
                <w:rFonts w:asciiTheme="minorEastAsia" w:eastAsiaTheme="minorEastAsia" w:hAnsiTheme="minorEastAsia" w:hint="eastAsia"/>
                <w:sz w:val="24"/>
                <w:szCs w:val="24"/>
              </w:rPr>
              <w:t>（</w:t>
            </w:r>
            <w:r w:rsidR="00EA202C" w:rsidRPr="00266E48">
              <w:rPr>
                <w:rFonts w:asciiTheme="minorEastAsia" w:eastAsiaTheme="minorEastAsia" w:hAnsiTheme="minorEastAsia"/>
                <w:sz w:val="24"/>
                <w:szCs w:val="24"/>
              </w:rPr>
              <w:t>如</w:t>
            </w:r>
            <w:r w:rsidR="00EA202C" w:rsidRPr="00EA202C">
              <w:rPr>
                <w:rFonts w:asciiTheme="minorEastAsia" w:eastAsiaTheme="minorEastAsia" w:hAnsiTheme="minorEastAsia"/>
                <w:sz w:val="24"/>
                <w:szCs w:val="24"/>
              </w:rPr>
              <w:t>干混</w:t>
            </w:r>
            <w:r w:rsidR="005E39C1"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 w:rsidR="00EA202C" w:rsidRPr="00EA202C">
              <w:rPr>
                <w:rFonts w:asciiTheme="minorEastAsia" w:eastAsiaTheme="minorEastAsia" w:hAnsiTheme="minorEastAsia"/>
                <w:sz w:val="24"/>
                <w:szCs w:val="24"/>
              </w:rPr>
              <w:t>纤维化</w:t>
            </w:r>
            <w:r w:rsidR="005E39C1"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 w:rsidR="00EA202C" w:rsidRPr="00EA202C">
              <w:rPr>
                <w:rFonts w:asciiTheme="minorEastAsia" w:eastAsiaTheme="minorEastAsia" w:hAnsiTheme="minorEastAsia"/>
                <w:sz w:val="24"/>
                <w:szCs w:val="24"/>
              </w:rPr>
              <w:t>造粒</w:t>
            </w:r>
            <w:r w:rsidR="005E39C1">
              <w:rPr>
                <w:rFonts w:asciiTheme="minorEastAsia" w:eastAsiaTheme="minorEastAsia" w:hAnsiTheme="minorEastAsia" w:hint="eastAsia"/>
                <w:sz w:val="24"/>
                <w:szCs w:val="24"/>
              </w:rPr>
              <w:t>/</w:t>
            </w:r>
            <w:r w:rsidR="00EA202C" w:rsidRPr="00EA202C">
              <w:rPr>
                <w:rFonts w:asciiTheme="minorEastAsia" w:eastAsiaTheme="minorEastAsia" w:hAnsiTheme="minorEastAsia"/>
                <w:sz w:val="24"/>
                <w:szCs w:val="24"/>
              </w:rPr>
              <w:t>成膜设备）</w:t>
            </w:r>
            <w:r w:rsidR="005F268C" w:rsidRPr="005F268C">
              <w:rPr>
                <w:rFonts w:asciiTheme="minorEastAsia" w:eastAsiaTheme="minorEastAsia" w:hAnsiTheme="minorEastAsia" w:hint="eastAsia"/>
                <w:sz w:val="24"/>
                <w:szCs w:val="24"/>
              </w:rPr>
              <w:t>、电解质热复合设备、软包叠片设备、等静压设备和高压化成分容设备。</w:t>
            </w:r>
            <w:r w:rsidR="005E39C1" w:rsidRPr="005E39C1">
              <w:rPr>
                <w:rFonts w:asciiTheme="minorEastAsia" w:eastAsiaTheme="minorEastAsia" w:hAnsiTheme="minorEastAsia" w:hint="eastAsia"/>
                <w:sz w:val="24"/>
                <w:szCs w:val="24"/>
              </w:rPr>
              <w:t>利元亨依托前期在固态电池工艺技术的研发积累，通过整合技术优势和项目经验，已实现全固态电池</w:t>
            </w:r>
            <w:r w:rsidR="00844BE2">
              <w:rPr>
                <w:rFonts w:asciiTheme="minorEastAsia" w:eastAsiaTheme="minorEastAsia" w:hAnsiTheme="minorEastAsia" w:hint="eastAsia"/>
                <w:sz w:val="24"/>
                <w:szCs w:val="24"/>
              </w:rPr>
              <w:t>量产全线工艺覆盖，形成包含整线解决方案及关键工段设备的综合能力</w:t>
            </w:r>
            <w:r w:rsidR="0037386B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37386B" w:rsidRPr="0037386B">
              <w:rPr>
                <w:rFonts w:asciiTheme="minorEastAsia" w:eastAsiaTheme="minorEastAsia" w:hAnsiTheme="minorEastAsia" w:hint="eastAsia"/>
                <w:sz w:val="24"/>
                <w:szCs w:val="24"/>
              </w:rPr>
              <w:t>能够为客户提供</w:t>
            </w:r>
            <w:r w:rsidR="009E4F1D">
              <w:rPr>
                <w:rFonts w:asciiTheme="minorEastAsia" w:eastAsiaTheme="minorEastAsia" w:hAnsiTheme="minorEastAsia" w:hint="eastAsia"/>
                <w:sz w:val="24"/>
                <w:szCs w:val="24"/>
              </w:rPr>
              <w:t>各种化学体系的全固态电池生产综合解决方案</w:t>
            </w:r>
            <w:r w:rsidR="0037386B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 w:rsidR="00206F3A" w:rsidRPr="00206F3A">
              <w:rPr>
                <w:rFonts w:asciiTheme="minorEastAsia" w:eastAsiaTheme="minorEastAsia" w:hAnsiTheme="minorEastAsia" w:hint="eastAsia"/>
                <w:sz w:val="24"/>
                <w:szCs w:val="24"/>
              </w:rPr>
              <w:t>面对行业的快速发展</w:t>
            </w:r>
            <w:r w:rsidR="00874644">
              <w:rPr>
                <w:rFonts w:asciiTheme="minorEastAsia" w:eastAsiaTheme="minorEastAsia" w:hAnsiTheme="minorEastAsia" w:hint="eastAsia"/>
                <w:sz w:val="24"/>
                <w:szCs w:val="24"/>
              </w:rPr>
              <w:t>阶段</w:t>
            </w:r>
            <w:r w:rsidR="00206F3A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874644">
              <w:rPr>
                <w:rFonts w:asciiTheme="minorEastAsia" w:eastAsiaTheme="minorEastAsia" w:hAnsiTheme="minorEastAsia" w:hint="eastAsia"/>
                <w:sz w:val="24"/>
                <w:szCs w:val="24"/>
              </w:rPr>
              <w:t>利元亨</w:t>
            </w:r>
            <w:r w:rsidR="00C30518">
              <w:rPr>
                <w:rFonts w:asciiTheme="minorEastAsia" w:eastAsiaTheme="minorEastAsia" w:hAnsiTheme="minorEastAsia" w:hint="eastAsia"/>
                <w:sz w:val="24"/>
                <w:szCs w:val="24"/>
              </w:rPr>
              <w:t>固态电池</w:t>
            </w:r>
            <w:r w:rsidR="009A38E1">
              <w:rPr>
                <w:rFonts w:asciiTheme="minorEastAsia" w:eastAsiaTheme="minorEastAsia" w:hAnsiTheme="minorEastAsia" w:hint="eastAsia"/>
                <w:sz w:val="24"/>
                <w:szCs w:val="24"/>
              </w:rPr>
              <w:t>整线</w:t>
            </w:r>
            <w:r w:rsidR="00206F3A" w:rsidRPr="00206F3A">
              <w:rPr>
                <w:rFonts w:asciiTheme="minorEastAsia" w:eastAsiaTheme="minorEastAsia" w:hAnsiTheme="minorEastAsia" w:hint="eastAsia"/>
                <w:sz w:val="24"/>
                <w:szCs w:val="24"/>
              </w:rPr>
              <w:t>解决方案的技术含量和市场竞争力，</w:t>
            </w:r>
            <w:r w:rsidR="00874644">
              <w:rPr>
                <w:rFonts w:asciiTheme="minorEastAsia" w:eastAsiaTheme="minorEastAsia" w:hAnsiTheme="minorEastAsia" w:hint="eastAsia"/>
                <w:sz w:val="24"/>
                <w:szCs w:val="24"/>
              </w:rPr>
              <w:t>将</w:t>
            </w:r>
            <w:r w:rsidR="00206F3A">
              <w:rPr>
                <w:rFonts w:asciiTheme="minorEastAsia" w:eastAsiaTheme="minorEastAsia" w:hAnsiTheme="minorEastAsia" w:hint="eastAsia"/>
                <w:sz w:val="24"/>
                <w:szCs w:val="24"/>
              </w:rPr>
              <w:t>会</w:t>
            </w:r>
            <w:r w:rsidR="00206F3A" w:rsidRPr="00206F3A">
              <w:rPr>
                <w:rFonts w:asciiTheme="minorEastAsia" w:eastAsiaTheme="minorEastAsia" w:hAnsiTheme="minorEastAsia" w:hint="eastAsia"/>
                <w:sz w:val="24"/>
                <w:szCs w:val="24"/>
              </w:rPr>
              <w:t>为客户提供了更加可靠的技术保障</w:t>
            </w:r>
            <w:r w:rsidR="004A114B">
              <w:rPr>
                <w:rFonts w:asciiTheme="minorEastAsia" w:eastAsiaTheme="minorEastAsia" w:hAnsiTheme="minorEastAsia" w:hint="eastAsia"/>
                <w:sz w:val="24"/>
                <w:szCs w:val="24"/>
              </w:rPr>
              <w:t>，</w:t>
            </w:r>
            <w:r w:rsidR="009A38E1">
              <w:rPr>
                <w:rFonts w:asciiTheme="minorEastAsia" w:eastAsiaTheme="minorEastAsia" w:hAnsiTheme="minorEastAsia" w:hint="eastAsia"/>
                <w:sz w:val="24"/>
                <w:szCs w:val="24"/>
              </w:rPr>
              <w:t>也会成为公司</w:t>
            </w:r>
            <w:r w:rsidR="00874644" w:rsidRPr="00874644">
              <w:rPr>
                <w:rFonts w:asciiTheme="minorEastAsia" w:eastAsiaTheme="minorEastAsia" w:hAnsiTheme="minorEastAsia" w:hint="eastAsia"/>
                <w:sz w:val="24"/>
                <w:szCs w:val="24"/>
              </w:rPr>
              <w:t>参与招投标和方案洽谈</w:t>
            </w:r>
            <w:r w:rsidR="009A38E1">
              <w:rPr>
                <w:rFonts w:asciiTheme="minorEastAsia" w:eastAsiaTheme="minorEastAsia" w:hAnsiTheme="minorEastAsia" w:hint="eastAsia"/>
                <w:sz w:val="24"/>
                <w:szCs w:val="24"/>
              </w:rPr>
              <w:t>优势点</w:t>
            </w:r>
            <w:r w:rsidR="00874644" w:rsidRPr="00874644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</w:p>
          <w:p w:rsidR="00874644" w:rsidRDefault="00874644" w:rsidP="006A4AF2">
            <w:pPr>
              <w:spacing w:line="480" w:lineRule="atLeast"/>
              <w:ind w:firstLineChars="147" w:firstLine="354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问题三：</w:t>
            </w:r>
            <w:r w:rsidR="009A38E1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硫化物固态电</w:t>
            </w:r>
            <w:r w:rsidR="00266E48">
              <w:rPr>
                <w:rFonts w:asciiTheme="minorEastAsia" w:eastAsiaTheme="minorEastAsia" w:hAnsiTheme="minorEastAsia" w:hint="eastAsia"/>
                <w:b/>
                <w:sz w:val="24"/>
                <w:szCs w:val="24"/>
              </w:rPr>
              <w:t>池生产线，在设备设计上是否会有别于其他生产线？</w:t>
            </w:r>
          </w:p>
          <w:p w:rsidR="005963AC" w:rsidRPr="00CE093D" w:rsidRDefault="00266E48" w:rsidP="00CE093D">
            <w:pPr>
              <w:spacing w:line="480" w:lineRule="atLeast"/>
              <w:ind w:firstLineChars="147" w:firstLine="353"/>
              <w:rPr>
                <w:rFonts w:asciiTheme="minorEastAsia" w:eastAsiaTheme="minorEastAsia" w:hAnsiTheme="minorEastAsia" w:hint="eastAsia"/>
                <w:sz w:val="24"/>
                <w:szCs w:val="24"/>
              </w:rPr>
            </w:pPr>
            <w:r w:rsidRPr="00266E48">
              <w:rPr>
                <w:rFonts w:asciiTheme="minorEastAsia" w:eastAsiaTheme="minorEastAsia" w:hAnsiTheme="minorEastAsia" w:hint="eastAsia"/>
                <w:sz w:val="24"/>
                <w:szCs w:val="24"/>
              </w:rPr>
              <w:t>答：</w:t>
            </w:r>
            <w:r w:rsidR="00794BAC" w:rsidRPr="00794BAC">
              <w:rPr>
                <w:rFonts w:asciiTheme="minorEastAsia" w:eastAsiaTheme="minorEastAsia" w:hAnsiTheme="minorEastAsia" w:hint="eastAsia"/>
                <w:sz w:val="24"/>
                <w:szCs w:val="24"/>
              </w:rPr>
              <w:t>硫化物固态电池生产线</w:t>
            </w:r>
            <w:r w:rsidR="00794BAC">
              <w:rPr>
                <w:rFonts w:asciiTheme="minorEastAsia" w:eastAsiaTheme="minorEastAsia" w:hAnsiTheme="minorEastAsia" w:hint="eastAsia"/>
                <w:sz w:val="24"/>
                <w:szCs w:val="24"/>
              </w:rPr>
              <w:t>在生产过程中会释放硫化氢有毒气体，所以</w:t>
            </w:r>
            <w:r w:rsidR="00794BAC" w:rsidRPr="00794BAC">
              <w:rPr>
                <w:rFonts w:asciiTheme="minorEastAsia" w:eastAsiaTheme="minorEastAsia" w:hAnsiTheme="minorEastAsia" w:hint="eastAsia"/>
                <w:sz w:val="24"/>
                <w:szCs w:val="24"/>
              </w:rPr>
              <w:t>对生产过程当中</w:t>
            </w:r>
            <w:r w:rsidR="00625F72" w:rsidRPr="00625F72">
              <w:rPr>
                <w:rFonts w:asciiTheme="minorEastAsia" w:eastAsiaTheme="minorEastAsia" w:hAnsiTheme="minorEastAsia" w:hint="eastAsia"/>
                <w:sz w:val="24"/>
                <w:szCs w:val="24"/>
              </w:rPr>
              <w:t>安全防护和耐腐蚀性</w:t>
            </w:r>
            <w:r w:rsidR="00625F72">
              <w:rPr>
                <w:rFonts w:asciiTheme="minorEastAsia" w:eastAsiaTheme="minorEastAsia" w:hAnsiTheme="minorEastAsia" w:hint="eastAsia"/>
                <w:sz w:val="24"/>
                <w:szCs w:val="24"/>
              </w:rPr>
              <w:t>有</w:t>
            </w:r>
            <w:r w:rsidR="00625F72" w:rsidRPr="00625F72">
              <w:rPr>
                <w:rFonts w:asciiTheme="minorEastAsia" w:eastAsiaTheme="minorEastAsia" w:hAnsiTheme="minorEastAsia" w:hint="eastAsia"/>
                <w:sz w:val="24"/>
                <w:szCs w:val="24"/>
              </w:rPr>
              <w:t>特殊要求</w:t>
            </w:r>
            <w:r w:rsidR="00625F72">
              <w:rPr>
                <w:rFonts w:asciiTheme="minorEastAsia" w:eastAsiaTheme="minorEastAsia" w:hAnsiTheme="minorEastAsia" w:hint="eastAsia"/>
                <w:sz w:val="24"/>
                <w:szCs w:val="24"/>
              </w:rPr>
              <w:t>。</w:t>
            </w:r>
            <w:r w:rsidR="00794BAC">
              <w:rPr>
                <w:rFonts w:asciiTheme="minorEastAsia" w:eastAsiaTheme="minorEastAsia" w:hAnsiTheme="minorEastAsia" w:hint="eastAsia"/>
                <w:sz w:val="24"/>
                <w:szCs w:val="24"/>
              </w:rPr>
              <w:t>利元亨在方案设计过程中，也是将安全作为最重要的</w:t>
            </w:r>
            <w:r w:rsidR="000F69C6">
              <w:rPr>
                <w:rFonts w:asciiTheme="minorEastAsia" w:eastAsiaTheme="minorEastAsia" w:hAnsiTheme="minorEastAsia" w:hint="eastAsia"/>
                <w:sz w:val="24"/>
                <w:szCs w:val="24"/>
              </w:rPr>
              <w:t>前提展开讨论，</w:t>
            </w:r>
            <w:r w:rsidR="00993E1E">
              <w:rPr>
                <w:rFonts w:asciiTheme="minorEastAsia" w:eastAsiaTheme="minorEastAsia" w:hAnsiTheme="minorEastAsia" w:hint="eastAsia"/>
                <w:sz w:val="24"/>
                <w:szCs w:val="24"/>
              </w:rPr>
              <w:t>比如</w:t>
            </w:r>
            <w:r w:rsidR="005963AC" w:rsidRPr="005963AC">
              <w:rPr>
                <w:rFonts w:asciiTheme="minorEastAsia" w:eastAsiaTheme="minorEastAsia" w:hAnsiTheme="minorEastAsia" w:hint="eastAsia"/>
                <w:sz w:val="24"/>
                <w:szCs w:val="24"/>
              </w:rPr>
              <w:t>在方案中实施了三级防护体系，针对不同生产场景的潜在风险制定专项预案，并通过严格的材质测试筛选耐腐蚀材料，确保设备在防爆、防毒及长期抗腐蚀方面的可靠性。</w:t>
            </w:r>
          </w:p>
          <w:p w:rsidR="00A2270E" w:rsidRDefault="005963AC" w:rsidP="001738F4">
            <w:pPr>
              <w:spacing w:line="480" w:lineRule="atLeast"/>
              <w:ind w:firstLineChars="147" w:firstLine="354"/>
              <w:rPr>
                <w:rFonts w:ascii="TimesNewRoman" w:hAnsi="宋体"/>
                <w:b/>
                <w:sz w:val="24"/>
              </w:rPr>
            </w:pPr>
            <w:r w:rsidRPr="005963AC">
              <w:rPr>
                <w:rFonts w:ascii="TimesNewRoman" w:hAnsi="宋体" w:hint="eastAsia"/>
                <w:b/>
                <w:sz w:val="24"/>
              </w:rPr>
              <w:t>问题</w:t>
            </w:r>
            <w:r>
              <w:rPr>
                <w:rFonts w:ascii="TimesNewRoman" w:hAnsi="宋体" w:hint="eastAsia"/>
                <w:b/>
                <w:sz w:val="24"/>
              </w:rPr>
              <w:t>四</w:t>
            </w:r>
            <w:r w:rsidRPr="005963AC">
              <w:rPr>
                <w:rFonts w:ascii="TimesNewRoman" w:hAnsi="宋体" w:hint="eastAsia"/>
                <w:b/>
                <w:sz w:val="24"/>
              </w:rPr>
              <w:t>：</w:t>
            </w:r>
            <w:r w:rsidR="00E57019" w:rsidRPr="00E57019">
              <w:rPr>
                <w:rFonts w:ascii="TimesNewRoman" w:hAnsi="宋体" w:hint="eastAsia"/>
                <w:b/>
                <w:sz w:val="24"/>
              </w:rPr>
              <w:t>固态电池干法工艺的核心技术挑战？</w:t>
            </w:r>
          </w:p>
          <w:p w:rsidR="00724159" w:rsidRDefault="00F95747" w:rsidP="00CE093D">
            <w:pPr>
              <w:spacing w:line="480" w:lineRule="atLeast"/>
              <w:ind w:firstLineChars="147" w:firstLine="353"/>
              <w:rPr>
                <w:rFonts w:ascii="TimesNewRoman" w:hAnsi="宋体" w:hint="eastAsia"/>
                <w:sz w:val="24"/>
              </w:rPr>
            </w:pPr>
            <w:r w:rsidRPr="006620F1">
              <w:rPr>
                <w:rFonts w:ascii="TimesNewRoman" w:hAnsi="宋体" w:hint="eastAsia"/>
                <w:sz w:val="24"/>
              </w:rPr>
              <w:t>答：</w:t>
            </w:r>
            <w:r w:rsidR="009A5EBE" w:rsidRPr="009A5EBE">
              <w:rPr>
                <w:rFonts w:ascii="TimesNewRoman" w:hAnsi="宋体" w:hint="eastAsia"/>
                <w:sz w:val="24"/>
              </w:rPr>
              <w:t>负极干法工艺已实现规模化应用，但正极干法仍面临极片成型环节的膜层均匀性不足、材料粘结强度低及孔隙率分布不均等</w:t>
            </w:r>
            <w:r w:rsidR="009A5EBE" w:rsidRPr="009A5EBE">
              <w:rPr>
                <w:rFonts w:ascii="TimesNewRoman" w:hAnsi="宋体" w:hint="eastAsia"/>
                <w:sz w:val="24"/>
              </w:rPr>
              <w:lastRenderedPageBreak/>
              <w:t>瓶颈，需研究优化材料组成成分以改善材料成膜特性。</w:t>
            </w:r>
            <w:bookmarkStart w:id="2" w:name="_GoBack"/>
            <w:bookmarkEnd w:id="2"/>
          </w:p>
          <w:p w:rsidR="00724159" w:rsidRDefault="00724159" w:rsidP="00F81233">
            <w:pPr>
              <w:spacing w:line="480" w:lineRule="atLeast"/>
              <w:ind w:firstLineChars="147" w:firstLine="354"/>
              <w:rPr>
                <w:rFonts w:ascii="TimesNewRoman" w:hAnsi="宋体"/>
                <w:b/>
                <w:sz w:val="24"/>
              </w:rPr>
            </w:pPr>
            <w:r w:rsidRPr="00724159">
              <w:rPr>
                <w:rFonts w:ascii="TimesNewRoman" w:hAnsi="宋体" w:hint="eastAsia"/>
                <w:b/>
                <w:sz w:val="24"/>
              </w:rPr>
              <w:t>问题五：</w:t>
            </w:r>
            <w:r w:rsidR="00A365A2">
              <w:rPr>
                <w:rFonts w:ascii="TimesNewRoman" w:hAnsi="宋体" w:hint="eastAsia"/>
                <w:b/>
                <w:sz w:val="24"/>
              </w:rPr>
              <w:t>2</w:t>
            </w:r>
            <w:r w:rsidR="00A365A2">
              <w:rPr>
                <w:rFonts w:ascii="TimesNewRoman" w:hAnsi="宋体"/>
                <w:b/>
                <w:sz w:val="24"/>
              </w:rPr>
              <w:t>025</w:t>
            </w:r>
            <w:r w:rsidR="00A365A2">
              <w:rPr>
                <w:rFonts w:ascii="TimesNewRoman" w:hAnsi="宋体" w:hint="eastAsia"/>
                <w:b/>
                <w:sz w:val="24"/>
              </w:rPr>
              <w:t>年</w:t>
            </w:r>
            <w:r w:rsidR="00C93AC9">
              <w:rPr>
                <w:rFonts w:ascii="TimesNewRoman" w:hAnsi="宋体" w:hint="eastAsia"/>
                <w:b/>
                <w:sz w:val="24"/>
              </w:rPr>
              <w:t>业绩改善，费用管控策略？</w:t>
            </w:r>
          </w:p>
          <w:p w:rsidR="00C93AC9" w:rsidRPr="00C93AC9" w:rsidRDefault="00C93AC9" w:rsidP="00961568">
            <w:pPr>
              <w:spacing w:line="480" w:lineRule="atLeast"/>
              <w:ind w:firstLineChars="147" w:firstLine="353"/>
              <w:rPr>
                <w:rFonts w:ascii="TimesNewRoman" w:hAnsi="宋体"/>
                <w:sz w:val="24"/>
              </w:rPr>
            </w:pPr>
            <w:r w:rsidRPr="00C93AC9">
              <w:rPr>
                <w:rFonts w:ascii="TimesNewRoman" w:hAnsi="宋体" w:hint="eastAsia"/>
                <w:sz w:val="24"/>
              </w:rPr>
              <w:t>答：</w:t>
            </w:r>
            <w:r w:rsidR="005536A5" w:rsidRPr="005536A5">
              <w:rPr>
                <w:rFonts w:ascii="TimesNewRoman" w:hAnsi="宋体" w:hint="eastAsia"/>
                <w:sz w:val="24"/>
              </w:rPr>
              <w:t>公司管理层正在积极主动调整经营策略，更加聚焦有质量的客户和有质量的订单，更加专注新工艺新技术的研发创新，更加重视人均产出和盈利能力的提升；同时公司从人员配置、资源整合、项目管控、流程优化、标准沉淀等各个方面进行内部管理优化</w:t>
            </w:r>
            <w:r w:rsidR="00B966F5">
              <w:rPr>
                <w:rFonts w:ascii="TimesNewRoman" w:hAnsi="宋体" w:hint="eastAsia"/>
                <w:sz w:val="24"/>
              </w:rPr>
              <w:t>，</w:t>
            </w:r>
            <w:r w:rsidR="00D6538C">
              <w:rPr>
                <w:rFonts w:ascii="TimesNewRoman" w:hAnsi="宋体" w:hint="eastAsia"/>
                <w:sz w:val="24"/>
              </w:rPr>
              <w:t>目前</w:t>
            </w:r>
            <w:r w:rsidR="00B84477">
              <w:rPr>
                <w:rFonts w:ascii="TimesNewRoman" w:hAnsi="宋体" w:hint="eastAsia"/>
                <w:sz w:val="24"/>
              </w:rPr>
              <w:t>改革</w:t>
            </w:r>
            <w:r w:rsidR="00B966F5">
              <w:rPr>
                <w:rFonts w:ascii="TimesNewRoman" w:hAnsi="宋体" w:hint="eastAsia"/>
                <w:sz w:val="24"/>
              </w:rPr>
              <w:t>已经取得积极成效</w:t>
            </w:r>
            <w:r w:rsidR="005536A5" w:rsidRPr="005536A5">
              <w:rPr>
                <w:rFonts w:ascii="TimesNewRoman" w:hAnsi="宋体" w:hint="eastAsia"/>
                <w:sz w:val="24"/>
              </w:rPr>
              <w:t>。</w:t>
            </w:r>
            <w:r w:rsidR="006E298A">
              <w:rPr>
                <w:rFonts w:ascii="TimesNewRoman" w:hAnsi="宋体" w:hint="eastAsia"/>
                <w:sz w:val="24"/>
              </w:rPr>
              <w:t>今年开端，公司</w:t>
            </w:r>
            <w:r w:rsidR="00CB3520" w:rsidRPr="00CB3520">
              <w:rPr>
                <w:rFonts w:ascii="TimesNewRoman" w:hAnsi="宋体" w:hint="eastAsia"/>
                <w:sz w:val="24"/>
              </w:rPr>
              <w:t>陆续中标多家客户批量订单，以及印度、捷克、波兰等海外客户的意向订单，</w:t>
            </w:r>
            <w:r w:rsidR="00036DB7" w:rsidRPr="00036DB7">
              <w:rPr>
                <w:rFonts w:ascii="TimesNewRoman" w:hAnsi="宋体" w:hint="eastAsia"/>
                <w:sz w:val="24"/>
              </w:rPr>
              <w:t>客户结构优化及订单质量提升</w:t>
            </w:r>
            <w:r w:rsidR="00036DB7">
              <w:rPr>
                <w:rFonts w:ascii="TimesNewRoman" w:hAnsi="宋体" w:hint="eastAsia"/>
                <w:sz w:val="24"/>
              </w:rPr>
              <w:t>相信</w:t>
            </w:r>
            <w:r w:rsidR="006E298A">
              <w:rPr>
                <w:rFonts w:ascii="TimesNewRoman" w:hAnsi="宋体" w:hint="eastAsia"/>
                <w:sz w:val="24"/>
              </w:rPr>
              <w:t>会为未来的企稳回升奠定坚实基础。</w:t>
            </w:r>
          </w:p>
        </w:tc>
      </w:tr>
      <w:tr w:rsidR="000E087D" w:rsidRPr="008E6C37" w:rsidTr="000E087D">
        <w:trPr>
          <w:trHeight w:val="391"/>
          <w:jc w:val="center"/>
        </w:trPr>
        <w:tc>
          <w:tcPr>
            <w:tcW w:w="1908" w:type="dxa"/>
            <w:vAlign w:val="center"/>
          </w:tcPr>
          <w:p w:rsidR="000E087D" w:rsidRDefault="000E087D" w:rsidP="000E087D">
            <w:pPr>
              <w:spacing w:line="480" w:lineRule="atLeast"/>
              <w:jc w:val="center"/>
              <w:rPr>
                <w:rFonts w:ascii="TimesNewRoman" w:hAnsi="宋体"/>
                <w:b/>
                <w:sz w:val="24"/>
              </w:rPr>
            </w:pPr>
            <w:r w:rsidRPr="000E087D">
              <w:rPr>
                <w:rFonts w:ascii="TimesNewRoman" w:hAnsi="宋体" w:hint="eastAsia"/>
                <w:b/>
                <w:sz w:val="24"/>
              </w:rPr>
              <w:lastRenderedPageBreak/>
              <w:t>附件清单</w:t>
            </w:r>
          </w:p>
        </w:tc>
        <w:tc>
          <w:tcPr>
            <w:tcW w:w="7117" w:type="dxa"/>
          </w:tcPr>
          <w:p w:rsidR="000E087D" w:rsidRPr="000E087D" w:rsidRDefault="000E087D" w:rsidP="000E087D">
            <w:pPr>
              <w:spacing w:line="480" w:lineRule="atLeast"/>
              <w:rPr>
                <w:rFonts w:asciiTheme="minorEastAsia" w:hAnsiTheme="minorEastAsia"/>
                <w:sz w:val="24"/>
                <w:szCs w:val="24"/>
              </w:rPr>
            </w:pPr>
            <w:r w:rsidRPr="000E087D">
              <w:rPr>
                <w:rFonts w:asciiTheme="minorEastAsia" w:hAnsiTheme="minorEastAsia" w:hint="eastAsia"/>
                <w:sz w:val="24"/>
                <w:szCs w:val="24"/>
              </w:rPr>
              <w:t>无</w:t>
            </w:r>
          </w:p>
        </w:tc>
      </w:tr>
      <w:tr w:rsidR="00D3704D" w:rsidRPr="00943E94" w:rsidTr="00FA21B0">
        <w:trPr>
          <w:trHeight w:val="247"/>
          <w:jc w:val="center"/>
        </w:trPr>
        <w:tc>
          <w:tcPr>
            <w:tcW w:w="1908" w:type="dxa"/>
            <w:vAlign w:val="center"/>
          </w:tcPr>
          <w:p w:rsidR="00D3704D" w:rsidRPr="00943E94" w:rsidRDefault="00D3704D" w:rsidP="008D1EEF">
            <w:pPr>
              <w:spacing w:line="480" w:lineRule="atLeast"/>
              <w:jc w:val="center"/>
              <w:rPr>
                <w:rFonts w:ascii="TimesNewRoman" w:hAnsi="TimesNewRoman" w:hint="eastAsia"/>
                <w:b/>
                <w:sz w:val="24"/>
              </w:rPr>
            </w:pPr>
            <w:r w:rsidRPr="00943E94">
              <w:rPr>
                <w:rFonts w:ascii="TimesNewRoman" w:hAnsi="宋体" w:hint="eastAsia"/>
                <w:b/>
                <w:sz w:val="24"/>
              </w:rPr>
              <w:t>日期</w:t>
            </w:r>
          </w:p>
        </w:tc>
        <w:tc>
          <w:tcPr>
            <w:tcW w:w="7117" w:type="dxa"/>
          </w:tcPr>
          <w:p w:rsidR="00D3704D" w:rsidRPr="00943E94" w:rsidRDefault="00292A8E" w:rsidP="00A8080D">
            <w:pPr>
              <w:spacing w:line="480" w:lineRule="atLeast"/>
              <w:rPr>
                <w:rFonts w:ascii="TimesNewRoman" w:hAnsi="TimesNewRoman" w:hint="eastAsia"/>
                <w:sz w:val="24"/>
                <w:szCs w:val="24"/>
              </w:rPr>
            </w:pPr>
            <w:r w:rsidRPr="00292A8E">
              <w:rPr>
                <w:rFonts w:ascii="TimesNewRoman" w:hAnsi="TimesNewRoman" w:hint="eastAsia"/>
                <w:sz w:val="24"/>
              </w:rPr>
              <w:t>2025</w:t>
            </w:r>
            <w:r w:rsidRPr="00292A8E">
              <w:rPr>
                <w:rFonts w:ascii="TimesNewRoman" w:hAnsi="TimesNewRoman" w:hint="eastAsia"/>
                <w:sz w:val="24"/>
              </w:rPr>
              <w:t>年</w:t>
            </w:r>
            <w:r w:rsidRPr="00292A8E">
              <w:rPr>
                <w:rFonts w:ascii="TimesNewRoman" w:hAnsi="TimesNewRoman" w:hint="eastAsia"/>
                <w:sz w:val="24"/>
              </w:rPr>
              <w:t>2</w:t>
            </w:r>
            <w:r w:rsidRPr="00292A8E">
              <w:rPr>
                <w:rFonts w:ascii="TimesNewRoman" w:hAnsi="TimesNewRoman" w:hint="eastAsia"/>
                <w:sz w:val="24"/>
              </w:rPr>
              <w:t>月</w:t>
            </w:r>
            <w:r w:rsidRPr="00292A8E">
              <w:rPr>
                <w:rFonts w:ascii="TimesNewRoman" w:hAnsi="TimesNewRoman" w:hint="eastAsia"/>
                <w:sz w:val="24"/>
              </w:rPr>
              <w:t>11</w:t>
            </w:r>
            <w:r w:rsidRPr="00292A8E">
              <w:rPr>
                <w:rFonts w:ascii="TimesNewRoman" w:hAnsi="TimesNewRoman" w:hint="eastAsia"/>
                <w:sz w:val="24"/>
              </w:rPr>
              <w:t>日、</w:t>
            </w:r>
            <w:r w:rsidRPr="00292A8E">
              <w:rPr>
                <w:rFonts w:ascii="TimesNewRoman" w:hAnsi="TimesNewRoman" w:hint="eastAsia"/>
                <w:sz w:val="24"/>
              </w:rPr>
              <w:t>2025</w:t>
            </w:r>
            <w:r w:rsidRPr="00292A8E">
              <w:rPr>
                <w:rFonts w:ascii="TimesNewRoman" w:hAnsi="TimesNewRoman" w:hint="eastAsia"/>
                <w:sz w:val="24"/>
              </w:rPr>
              <w:t>年</w:t>
            </w:r>
            <w:r w:rsidRPr="00292A8E">
              <w:rPr>
                <w:rFonts w:ascii="TimesNewRoman" w:hAnsi="TimesNewRoman" w:hint="eastAsia"/>
                <w:sz w:val="24"/>
              </w:rPr>
              <w:t>2</w:t>
            </w:r>
            <w:r w:rsidRPr="00292A8E">
              <w:rPr>
                <w:rFonts w:ascii="TimesNewRoman" w:hAnsi="TimesNewRoman" w:hint="eastAsia"/>
                <w:sz w:val="24"/>
              </w:rPr>
              <w:t>月</w:t>
            </w:r>
            <w:r w:rsidRPr="00292A8E">
              <w:rPr>
                <w:rFonts w:ascii="TimesNewRoman" w:hAnsi="TimesNewRoman" w:hint="eastAsia"/>
                <w:sz w:val="24"/>
              </w:rPr>
              <w:t>12</w:t>
            </w:r>
            <w:r w:rsidRPr="00292A8E">
              <w:rPr>
                <w:rFonts w:ascii="TimesNewRoman" w:hAnsi="TimesNewRoman" w:hint="eastAsia"/>
                <w:sz w:val="24"/>
              </w:rPr>
              <w:t>日</w:t>
            </w:r>
          </w:p>
        </w:tc>
      </w:tr>
    </w:tbl>
    <w:p w:rsidR="00134783" w:rsidRDefault="00134783" w:rsidP="00D3704D">
      <w:pPr>
        <w:rPr>
          <w:rFonts w:ascii="TimesNewRoman" w:hAnsi="TimesNewRoman" w:hint="eastAsia"/>
        </w:rPr>
      </w:pPr>
    </w:p>
    <w:sectPr w:rsidR="00134783" w:rsidSect="002749ED">
      <w:footerReference w:type="default" r:id="rId8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0C24" w:rsidRDefault="00D00C24" w:rsidP="00D3704D">
      <w:r>
        <w:separator/>
      </w:r>
    </w:p>
  </w:endnote>
  <w:endnote w:type="continuationSeparator" w:id="0">
    <w:p w:rsidR="00D00C24" w:rsidRDefault="00D00C24" w:rsidP="00D370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52555993"/>
      <w:docPartObj>
        <w:docPartGallery w:val="Page Numbers (Bottom of Page)"/>
        <w:docPartUnique/>
      </w:docPartObj>
    </w:sdtPr>
    <w:sdtEndPr/>
    <w:sdtContent>
      <w:p w:rsidR="00BA3205" w:rsidRDefault="00BA320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093D" w:rsidRPr="00CE093D">
          <w:rPr>
            <w:noProof/>
            <w:lang w:val="zh-CN"/>
          </w:rPr>
          <w:t>2</w:t>
        </w:r>
        <w:r>
          <w:fldChar w:fldCharType="end"/>
        </w:r>
      </w:p>
    </w:sdtContent>
  </w:sdt>
  <w:p w:rsidR="00BA3205" w:rsidRDefault="00BA320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0C24" w:rsidRDefault="00D00C24" w:rsidP="00D3704D">
      <w:r>
        <w:separator/>
      </w:r>
    </w:p>
  </w:footnote>
  <w:footnote w:type="continuationSeparator" w:id="0">
    <w:p w:rsidR="00D00C24" w:rsidRDefault="00D00C24" w:rsidP="00D370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AA59FB"/>
    <w:multiLevelType w:val="hybridMultilevel"/>
    <w:tmpl w:val="7E062644"/>
    <w:lvl w:ilvl="0" w:tplc="A502BDB0">
      <w:start w:val="1"/>
      <w:numFmt w:val="decimal"/>
      <w:lvlText w:val="（%1）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" w15:restartNumberingAfterBreak="0">
    <w:nsid w:val="68F13ED6"/>
    <w:multiLevelType w:val="hybridMultilevel"/>
    <w:tmpl w:val="D6B6AE1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04D"/>
    <w:rsid w:val="000037FD"/>
    <w:rsid w:val="00007235"/>
    <w:rsid w:val="00007434"/>
    <w:rsid w:val="00007A64"/>
    <w:rsid w:val="0001134B"/>
    <w:rsid w:val="0001191E"/>
    <w:rsid w:val="00016D7C"/>
    <w:rsid w:val="00022326"/>
    <w:rsid w:val="000235A1"/>
    <w:rsid w:val="00032D68"/>
    <w:rsid w:val="000335F6"/>
    <w:rsid w:val="00036D0D"/>
    <w:rsid w:val="00036DB7"/>
    <w:rsid w:val="00037659"/>
    <w:rsid w:val="00041BD6"/>
    <w:rsid w:val="0004414C"/>
    <w:rsid w:val="00045A41"/>
    <w:rsid w:val="00051230"/>
    <w:rsid w:val="000649C3"/>
    <w:rsid w:val="00065F1C"/>
    <w:rsid w:val="0007246F"/>
    <w:rsid w:val="0007293B"/>
    <w:rsid w:val="0007604F"/>
    <w:rsid w:val="00081817"/>
    <w:rsid w:val="00082349"/>
    <w:rsid w:val="00082551"/>
    <w:rsid w:val="000846EC"/>
    <w:rsid w:val="0009127C"/>
    <w:rsid w:val="00094F01"/>
    <w:rsid w:val="000963FF"/>
    <w:rsid w:val="000A17B7"/>
    <w:rsid w:val="000A6856"/>
    <w:rsid w:val="000A74FD"/>
    <w:rsid w:val="000B0A61"/>
    <w:rsid w:val="000B609D"/>
    <w:rsid w:val="000B773C"/>
    <w:rsid w:val="000C4258"/>
    <w:rsid w:val="000D0E7C"/>
    <w:rsid w:val="000D29EC"/>
    <w:rsid w:val="000E087D"/>
    <w:rsid w:val="000F69C6"/>
    <w:rsid w:val="00100FB7"/>
    <w:rsid w:val="00103433"/>
    <w:rsid w:val="00105146"/>
    <w:rsid w:val="001123B3"/>
    <w:rsid w:val="00113756"/>
    <w:rsid w:val="00120DE0"/>
    <w:rsid w:val="001254C0"/>
    <w:rsid w:val="00126989"/>
    <w:rsid w:val="00132274"/>
    <w:rsid w:val="00134783"/>
    <w:rsid w:val="00136249"/>
    <w:rsid w:val="001368E7"/>
    <w:rsid w:val="00136A3B"/>
    <w:rsid w:val="00140353"/>
    <w:rsid w:val="00141F83"/>
    <w:rsid w:val="0014748C"/>
    <w:rsid w:val="00153841"/>
    <w:rsid w:val="0016127D"/>
    <w:rsid w:val="00163F1B"/>
    <w:rsid w:val="00164FB8"/>
    <w:rsid w:val="001662AD"/>
    <w:rsid w:val="001738F4"/>
    <w:rsid w:val="00174E5B"/>
    <w:rsid w:val="00174EF1"/>
    <w:rsid w:val="001752A3"/>
    <w:rsid w:val="00180170"/>
    <w:rsid w:val="0018028C"/>
    <w:rsid w:val="001828EB"/>
    <w:rsid w:val="001A5A36"/>
    <w:rsid w:val="001C2898"/>
    <w:rsid w:val="001C6DC4"/>
    <w:rsid w:val="001F4725"/>
    <w:rsid w:val="00206444"/>
    <w:rsid w:val="00206F3A"/>
    <w:rsid w:val="0021259E"/>
    <w:rsid w:val="002137E2"/>
    <w:rsid w:val="002264AA"/>
    <w:rsid w:val="00241ED6"/>
    <w:rsid w:val="00244464"/>
    <w:rsid w:val="00246516"/>
    <w:rsid w:val="00256CBC"/>
    <w:rsid w:val="002629C2"/>
    <w:rsid w:val="002633B7"/>
    <w:rsid w:val="00266E48"/>
    <w:rsid w:val="002713D9"/>
    <w:rsid w:val="002749ED"/>
    <w:rsid w:val="00281C82"/>
    <w:rsid w:val="002840D4"/>
    <w:rsid w:val="002910E9"/>
    <w:rsid w:val="00292A8E"/>
    <w:rsid w:val="002932A1"/>
    <w:rsid w:val="002941F4"/>
    <w:rsid w:val="002A5EDA"/>
    <w:rsid w:val="002B0986"/>
    <w:rsid w:val="002B0EC6"/>
    <w:rsid w:val="002B2BC2"/>
    <w:rsid w:val="002C249C"/>
    <w:rsid w:val="002C2A88"/>
    <w:rsid w:val="002C2ACE"/>
    <w:rsid w:val="002C654B"/>
    <w:rsid w:val="002D602B"/>
    <w:rsid w:val="002D60DE"/>
    <w:rsid w:val="002D7AAC"/>
    <w:rsid w:val="002E2D6C"/>
    <w:rsid w:val="003017A7"/>
    <w:rsid w:val="00312019"/>
    <w:rsid w:val="00316A4E"/>
    <w:rsid w:val="0031756E"/>
    <w:rsid w:val="003219A5"/>
    <w:rsid w:val="00322B99"/>
    <w:rsid w:val="0032749B"/>
    <w:rsid w:val="00335037"/>
    <w:rsid w:val="00337232"/>
    <w:rsid w:val="00337761"/>
    <w:rsid w:val="0034225E"/>
    <w:rsid w:val="003477F1"/>
    <w:rsid w:val="00350008"/>
    <w:rsid w:val="00353959"/>
    <w:rsid w:val="00354F44"/>
    <w:rsid w:val="00363A31"/>
    <w:rsid w:val="00364CA4"/>
    <w:rsid w:val="00366D14"/>
    <w:rsid w:val="00370EE6"/>
    <w:rsid w:val="003711B6"/>
    <w:rsid w:val="0037386B"/>
    <w:rsid w:val="003956A4"/>
    <w:rsid w:val="003A0A09"/>
    <w:rsid w:val="003A4BC5"/>
    <w:rsid w:val="003A6AD9"/>
    <w:rsid w:val="003B678A"/>
    <w:rsid w:val="003C23EA"/>
    <w:rsid w:val="003D0B0D"/>
    <w:rsid w:val="003E6CF9"/>
    <w:rsid w:val="003F018A"/>
    <w:rsid w:val="003F1AE1"/>
    <w:rsid w:val="00402CC2"/>
    <w:rsid w:val="00407621"/>
    <w:rsid w:val="004104ED"/>
    <w:rsid w:val="00413163"/>
    <w:rsid w:val="00415E89"/>
    <w:rsid w:val="00416724"/>
    <w:rsid w:val="00421CAC"/>
    <w:rsid w:val="00422D27"/>
    <w:rsid w:val="004401A3"/>
    <w:rsid w:val="004422C1"/>
    <w:rsid w:val="0044659F"/>
    <w:rsid w:val="0044774A"/>
    <w:rsid w:val="004511AD"/>
    <w:rsid w:val="004549D0"/>
    <w:rsid w:val="00455D77"/>
    <w:rsid w:val="00456D1D"/>
    <w:rsid w:val="00462A84"/>
    <w:rsid w:val="0046364D"/>
    <w:rsid w:val="00474CEB"/>
    <w:rsid w:val="004973D8"/>
    <w:rsid w:val="004A0EBC"/>
    <w:rsid w:val="004A114B"/>
    <w:rsid w:val="004A7ECB"/>
    <w:rsid w:val="004C4573"/>
    <w:rsid w:val="004C57EA"/>
    <w:rsid w:val="004D0004"/>
    <w:rsid w:val="004D2728"/>
    <w:rsid w:val="004D7CC8"/>
    <w:rsid w:val="004F3751"/>
    <w:rsid w:val="004F605B"/>
    <w:rsid w:val="00502D46"/>
    <w:rsid w:val="00506085"/>
    <w:rsid w:val="00507B3C"/>
    <w:rsid w:val="00511DA7"/>
    <w:rsid w:val="00525CE4"/>
    <w:rsid w:val="00526844"/>
    <w:rsid w:val="0053174A"/>
    <w:rsid w:val="00532440"/>
    <w:rsid w:val="0053397E"/>
    <w:rsid w:val="005341CB"/>
    <w:rsid w:val="00543F76"/>
    <w:rsid w:val="00550615"/>
    <w:rsid w:val="0055128B"/>
    <w:rsid w:val="00551555"/>
    <w:rsid w:val="0055262D"/>
    <w:rsid w:val="005536A5"/>
    <w:rsid w:val="0056241E"/>
    <w:rsid w:val="0056357A"/>
    <w:rsid w:val="00567624"/>
    <w:rsid w:val="005715D1"/>
    <w:rsid w:val="00573AD1"/>
    <w:rsid w:val="00574DD7"/>
    <w:rsid w:val="0058187B"/>
    <w:rsid w:val="00587B29"/>
    <w:rsid w:val="005963AC"/>
    <w:rsid w:val="005A4790"/>
    <w:rsid w:val="005B5582"/>
    <w:rsid w:val="005B6EB0"/>
    <w:rsid w:val="005C1331"/>
    <w:rsid w:val="005C1B38"/>
    <w:rsid w:val="005C7F55"/>
    <w:rsid w:val="005E11B8"/>
    <w:rsid w:val="005E39C1"/>
    <w:rsid w:val="005F06D4"/>
    <w:rsid w:val="005F268C"/>
    <w:rsid w:val="005F46D2"/>
    <w:rsid w:val="00601EB3"/>
    <w:rsid w:val="00606691"/>
    <w:rsid w:val="006222E6"/>
    <w:rsid w:val="00625F72"/>
    <w:rsid w:val="00627052"/>
    <w:rsid w:val="00633E3A"/>
    <w:rsid w:val="006620F1"/>
    <w:rsid w:val="00663B2C"/>
    <w:rsid w:val="00664FB0"/>
    <w:rsid w:val="00674522"/>
    <w:rsid w:val="00681D44"/>
    <w:rsid w:val="00691AD0"/>
    <w:rsid w:val="006946AA"/>
    <w:rsid w:val="006A4AF2"/>
    <w:rsid w:val="006A52E0"/>
    <w:rsid w:val="006A6F3C"/>
    <w:rsid w:val="006B12B3"/>
    <w:rsid w:val="006C21D6"/>
    <w:rsid w:val="006D42A9"/>
    <w:rsid w:val="006D59F1"/>
    <w:rsid w:val="006E18AA"/>
    <w:rsid w:val="006E298A"/>
    <w:rsid w:val="006F05CE"/>
    <w:rsid w:val="006F3FA6"/>
    <w:rsid w:val="0070033E"/>
    <w:rsid w:val="00704870"/>
    <w:rsid w:val="00705E75"/>
    <w:rsid w:val="007072C2"/>
    <w:rsid w:val="0070751F"/>
    <w:rsid w:val="0071462E"/>
    <w:rsid w:val="00717633"/>
    <w:rsid w:val="00722173"/>
    <w:rsid w:val="00724159"/>
    <w:rsid w:val="00727BEB"/>
    <w:rsid w:val="00727C04"/>
    <w:rsid w:val="0073572A"/>
    <w:rsid w:val="00741124"/>
    <w:rsid w:val="00741968"/>
    <w:rsid w:val="007453ED"/>
    <w:rsid w:val="007455B6"/>
    <w:rsid w:val="00746115"/>
    <w:rsid w:val="00746AA1"/>
    <w:rsid w:val="0076447D"/>
    <w:rsid w:val="00774F59"/>
    <w:rsid w:val="0078004C"/>
    <w:rsid w:val="007821B2"/>
    <w:rsid w:val="00792DD2"/>
    <w:rsid w:val="007933A1"/>
    <w:rsid w:val="00794BAC"/>
    <w:rsid w:val="007B76EC"/>
    <w:rsid w:val="007C56EE"/>
    <w:rsid w:val="007D4640"/>
    <w:rsid w:val="007D4C43"/>
    <w:rsid w:val="007E0E61"/>
    <w:rsid w:val="007E49F6"/>
    <w:rsid w:val="007E7623"/>
    <w:rsid w:val="007F6CCE"/>
    <w:rsid w:val="00803365"/>
    <w:rsid w:val="008034E4"/>
    <w:rsid w:val="00812B86"/>
    <w:rsid w:val="00816D5A"/>
    <w:rsid w:val="00820892"/>
    <w:rsid w:val="00822259"/>
    <w:rsid w:val="00825D5E"/>
    <w:rsid w:val="00826D25"/>
    <w:rsid w:val="00835A7C"/>
    <w:rsid w:val="0084293A"/>
    <w:rsid w:val="00844BE2"/>
    <w:rsid w:val="00844EF8"/>
    <w:rsid w:val="00847AFF"/>
    <w:rsid w:val="00847C3F"/>
    <w:rsid w:val="00852F8B"/>
    <w:rsid w:val="00871A26"/>
    <w:rsid w:val="00874644"/>
    <w:rsid w:val="00883D42"/>
    <w:rsid w:val="008A13EF"/>
    <w:rsid w:val="008A2B24"/>
    <w:rsid w:val="008B460B"/>
    <w:rsid w:val="008C175B"/>
    <w:rsid w:val="008C2CC0"/>
    <w:rsid w:val="008C6760"/>
    <w:rsid w:val="008D124E"/>
    <w:rsid w:val="008D1EEF"/>
    <w:rsid w:val="008E1538"/>
    <w:rsid w:val="008E246B"/>
    <w:rsid w:val="008E2BFB"/>
    <w:rsid w:val="008E6C37"/>
    <w:rsid w:val="008E76FF"/>
    <w:rsid w:val="008F70F5"/>
    <w:rsid w:val="008F7B85"/>
    <w:rsid w:val="00900C17"/>
    <w:rsid w:val="009027BF"/>
    <w:rsid w:val="00907CB2"/>
    <w:rsid w:val="009204B8"/>
    <w:rsid w:val="00924D44"/>
    <w:rsid w:val="00932A6C"/>
    <w:rsid w:val="00941380"/>
    <w:rsid w:val="00943C49"/>
    <w:rsid w:val="00943D37"/>
    <w:rsid w:val="00943E94"/>
    <w:rsid w:val="0095733F"/>
    <w:rsid w:val="00960BBD"/>
    <w:rsid w:val="00961568"/>
    <w:rsid w:val="0096570B"/>
    <w:rsid w:val="00971A60"/>
    <w:rsid w:val="0098523C"/>
    <w:rsid w:val="00986394"/>
    <w:rsid w:val="00990D6F"/>
    <w:rsid w:val="00991038"/>
    <w:rsid w:val="0099139F"/>
    <w:rsid w:val="00991A58"/>
    <w:rsid w:val="00993E1E"/>
    <w:rsid w:val="00997C6B"/>
    <w:rsid w:val="009A2BDB"/>
    <w:rsid w:val="009A38E1"/>
    <w:rsid w:val="009A559E"/>
    <w:rsid w:val="009A5EBE"/>
    <w:rsid w:val="009A6271"/>
    <w:rsid w:val="009A64A5"/>
    <w:rsid w:val="009B1061"/>
    <w:rsid w:val="009B5973"/>
    <w:rsid w:val="009B7165"/>
    <w:rsid w:val="009C04F4"/>
    <w:rsid w:val="009C0B5A"/>
    <w:rsid w:val="009C1A3F"/>
    <w:rsid w:val="009C4476"/>
    <w:rsid w:val="009C50BB"/>
    <w:rsid w:val="009C5485"/>
    <w:rsid w:val="009D0B5E"/>
    <w:rsid w:val="009D11B8"/>
    <w:rsid w:val="009D2D7D"/>
    <w:rsid w:val="009D36B6"/>
    <w:rsid w:val="009D5F85"/>
    <w:rsid w:val="009E0AD4"/>
    <w:rsid w:val="009E1DF1"/>
    <w:rsid w:val="009E2DA5"/>
    <w:rsid w:val="009E4F1D"/>
    <w:rsid w:val="009E68F0"/>
    <w:rsid w:val="009F13C4"/>
    <w:rsid w:val="009F518A"/>
    <w:rsid w:val="009F68B1"/>
    <w:rsid w:val="00A02A37"/>
    <w:rsid w:val="00A03D29"/>
    <w:rsid w:val="00A0744B"/>
    <w:rsid w:val="00A113FC"/>
    <w:rsid w:val="00A11C23"/>
    <w:rsid w:val="00A2270E"/>
    <w:rsid w:val="00A30CC8"/>
    <w:rsid w:val="00A34FDF"/>
    <w:rsid w:val="00A365A2"/>
    <w:rsid w:val="00A422F1"/>
    <w:rsid w:val="00A57249"/>
    <w:rsid w:val="00A60105"/>
    <w:rsid w:val="00A63D89"/>
    <w:rsid w:val="00A64ABE"/>
    <w:rsid w:val="00A7584E"/>
    <w:rsid w:val="00A761AC"/>
    <w:rsid w:val="00A8080D"/>
    <w:rsid w:val="00A85814"/>
    <w:rsid w:val="00A92AD4"/>
    <w:rsid w:val="00A931C5"/>
    <w:rsid w:val="00AA0E54"/>
    <w:rsid w:val="00AA1E47"/>
    <w:rsid w:val="00AA7CF7"/>
    <w:rsid w:val="00AB6086"/>
    <w:rsid w:val="00AC09A1"/>
    <w:rsid w:val="00AC71BB"/>
    <w:rsid w:val="00AD4C75"/>
    <w:rsid w:val="00AD6000"/>
    <w:rsid w:val="00AE43FA"/>
    <w:rsid w:val="00AE7BA9"/>
    <w:rsid w:val="00AE7FF6"/>
    <w:rsid w:val="00AF5ACA"/>
    <w:rsid w:val="00AF6F58"/>
    <w:rsid w:val="00B00CDE"/>
    <w:rsid w:val="00B11A28"/>
    <w:rsid w:val="00B1421C"/>
    <w:rsid w:val="00B15BDE"/>
    <w:rsid w:val="00B22933"/>
    <w:rsid w:val="00B246C1"/>
    <w:rsid w:val="00B32754"/>
    <w:rsid w:val="00B37BD0"/>
    <w:rsid w:val="00B37DDB"/>
    <w:rsid w:val="00B40F71"/>
    <w:rsid w:val="00B45FBA"/>
    <w:rsid w:val="00B529A8"/>
    <w:rsid w:val="00B52A9F"/>
    <w:rsid w:val="00B55099"/>
    <w:rsid w:val="00B555E5"/>
    <w:rsid w:val="00B559A3"/>
    <w:rsid w:val="00B55C02"/>
    <w:rsid w:val="00B7797E"/>
    <w:rsid w:val="00B84477"/>
    <w:rsid w:val="00B85DA8"/>
    <w:rsid w:val="00B87599"/>
    <w:rsid w:val="00B9062B"/>
    <w:rsid w:val="00B90BC3"/>
    <w:rsid w:val="00B966F5"/>
    <w:rsid w:val="00BA3205"/>
    <w:rsid w:val="00BA73F6"/>
    <w:rsid w:val="00BB211E"/>
    <w:rsid w:val="00BB2769"/>
    <w:rsid w:val="00BB2DB5"/>
    <w:rsid w:val="00BB3B5B"/>
    <w:rsid w:val="00BB47EF"/>
    <w:rsid w:val="00BB7D88"/>
    <w:rsid w:val="00BC7406"/>
    <w:rsid w:val="00BE4D98"/>
    <w:rsid w:val="00BF1090"/>
    <w:rsid w:val="00C01CB2"/>
    <w:rsid w:val="00C04DF9"/>
    <w:rsid w:val="00C10A1C"/>
    <w:rsid w:val="00C11C7A"/>
    <w:rsid w:val="00C21412"/>
    <w:rsid w:val="00C225EA"/>
    <w:rsid w:val="00C25D36"/>
    <w:rsid w:val="00C30518"/>
    <w:rsid w:val="00C30B8F"/>
    <w:rsid w:val="00C320A4"/>
    <w:rsid w:val="00C35433"/>
    <w:rsid w:val="00C36D80"/>
    <w:rsid w:val="00C45E19"/>
    <w:rsid w:val="00C64189"/>
    <w:rsid w:val="00C840C7"/>
    <w:rsid w:val="00C842DA"/>
    <w:rsid w:val="00C93AC9"/>
    <w:rsid w:val="00CA6204"/>
    <w:rsid w:val="00CA774D"/>
    <w:rsid w:val="00CB3520"/>
    <w:rsid w:val="00CD03F9"/>
    <w:rsid w:val="00CE093D"/>
    <w:rsid w:val="00CE1111"/>
    <w:rsid w:val="00CE3A25"/>
    <w:rsid w:val="00CE3BE3"/>
    <w:rsid w:val="00CF4C2C"/>
    <w:rsid w:val="00D004CF"/>
    <w:rsid w:val="00D00C24"/>
    <w:rsid w:val="00D10EAA"/>
    <w:rsid w:val="00D20834"/>
    <w:rsid w:val="00D21270"/>
    <w:rsid w:val="00D21866"/>
    <w:rsid w:val="00D2384F"/>
    <w:rsid w:val="00D305D4"/>
    <w:rsid w:val="00D310AF"/>
    <w:rsid w:val="00D3341B"/>
    <w:rsid w:val="00D3704D"/>
    <w:rsid w:val="00D51919"/>
    <w:rsid w:val="00D5243A"/>
    <w:rsid w:val="00D57055"/>
    <w:rsid w:val="00D6538C"/>
    <w:rsid w:val="00D654EC"/>
    <w:rsid w:val="00D66C56"/>
    <w:rsid w:val="00D74783"/>
    <w:rsid w:val="00D75691"/>
    <w:rsid w:val="00D7611B"/>
    <w:rsid w:val="00D84CE9"/>
    <w:rsid w:val="00D9280E"/>
    <w:rsid w:val="00D934AE"/>
    <w:rsid w:val="00D95CA3"/>
    <w:rsid w:val="00DA1279"/>
    <w:rsid w:val="00DA2DE9"/>
    <w:rsid w:val="00DA3D9B"/>
    <w:rsid w:val="00DA48B4"/>
    <w:rsid w:val="00DA6B6B"/>
    <w:rsid w:val="00DB0B87"/>
    <w:rsid w:val="00DC3E35"/>
    <w:rsid w:val="00DC6488"/>
    <w:rsid w:val="00DD5274"/>
    <w:rsid w:val="00DD553E"/>
    <w:rsid w:val="00DE1483"/>
    <w:rsid w:val="00DE56A1"/>
    <w:rsid w:val="00DF0E3E"/>
    <w:rsid w:val="00E05343"/>
    <w:rsid w:val="00E23AE5"/>
    <w:rsid w:val="00E272B5"/>
    <w:rsid w:val="00E3771B"/>
    <w:rsid w:val="00E41DBA"/>
    <w:rsid w:val="00E425C7"/>
    <w:rsid w:val="00E542BE"/>
    <w:rsid w:val="00E57019"/>
    <w:rsid w:val="00E573F5"/>
    <w:rsid w:val="00E62CC4"/>
    <w:rsid w:val="00E67912"/>
    <w:rsid w:val="00E71542"/>
    <w:rsid w:val="00E73989"/>
    <w:rsid w:val="00E772E3"/>
    <w:rsid w:val="00E80235"/>
    <w:rsid w:val="00E83A63"/>
    <w:rsid w:val="00E97CB9"/>
    <w:rsid w:val="00EA202C"/>
    <w:rsid w:val="00EA759E"/>
    <w:rsid w:val="00EA7DC4"/>
    <w:rsid w:val="00EB7D20"/>
    <w:rsid w:val="00EC1D56"/>
    <w:rsid w:val="00EC4BAE"/>
    <w:rsid w:val="00EE62D5"/>
    <w:rsid w:val="00EF3B7D"/>
    <w:rsid w:val="00F019FE"/>
    <w:rsid w:val="00F01A7F"/>
    <w:rsid w:val="00F02620"/>
    <w:rsid w:val="00F06CF7"/>
    <w:rsid w:val="00F10609"/>
    <w:rsid w:val="00F20482"/>
    <w:rsid w:val="00F22C6B"/>
    <w:rsid w:val="00F22E84"/>
    <w:rsid w:val="00F312F3"/>
    <w:rsid w:val="00F313A6"/>
    <w:rsid w:val="00F317EE"/>
    <w:rsid w:val="00F32670"/>
    <w:rsid w:val="00F355CA"/>
    <w:rsid w:val="00F37F6E"/>
    <w:rsid w:val="00F439F1"/>
    <w:rsid w:val="00F575CB"/>
    <w:rsid w:val="00F6410B"/>
    <w:rsid w:val="00F668D8"/>
    <w:rsid w:val="00F67693"/>
    <w:rsid w:val="00F81233"/>
    <w:rsid w:val="00F8703D"/>
    <w:rsid w:val="00F91AFD"/>
    <w:rsid w:val="00F95747"/>
    <w:rsid w:val="00F95DD9"/>
    <w:rsid w:val="00F97B2F"/>
    <w:rsid w:val="00F97D8B"/>
    <w:rsid w:val="00FA21B0"/>
    <w:rsid w:val="00FA5F54"/>
    <w:rsid w:val="00FB20BD"/>
    <w:rsid w:val="00FB2E26"/>
    <w:rsid w:val="00FB739E"/>
    <w:rsid w:val="00FC0A2D"/>
    <w:rsid w:val="00FD064F"/>
    <w:rsid w:val="00FD1CCC"/>
    <w:rsid w:val="00FD7484"/>
    <w:rsid w:val="00FE51C3"/>
    <w:rsid w:val="00FE5F79"/>
    <w:rsid w:val="00FE669E"/>
    <w:rsid w:val="00FE75A7"/>
    <w:rsid w:val="00FF11B5"/>
    <w:rsid w:val="00FF30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288D6F6"/>
  <w15:docId w15:val="{B072319A-D240-4674-A8B9-94414C5EC0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04D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70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3704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370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3704D"/>
    <w:rPr>
      <w:sz w:val="18"/>
      <w:szCs w:val="18"/>
    </w:rPr>
  </w:style>
  <w:style w:type="paragraph" w:customStyle="1" w:styleId="Default">
    <w:name w:val="Default"/>
    <w:rsid w:val="00B246C1"/>
    <w:pPr>
      <w:widowControl w:val="0"/>
      <w:autoSpaceDE w:val="0"/>
      <w:autoSpaceDN w:val="0"/>
      <w:adjustRightInd w:val="0"/>
    </w:pPr>
    <w:rPr>
      <w:rFonts w:ascii="宋体" w:eastAsia="宋体" w:cs="宋体"/>
      <w:color w:val="000000"/>
      <w:kern w:val="0"/>
      <w:sz w:val="24"/>
      <w:szCs w:val="24"/>
    </w:rPr>
  </w:style>
  <w:style w:type="character" w:styleId="a7">
    <w:name w:val="annotation reference"/>
    <w:basedOn w:val="a0"/>
    <w:uiPriority w:val="99"/>
    <w:semiHidden/>
    <w:unhideWhenUsed/>
    <w:rsid w:val="00941380"/>
    <w:rPr>
      <w:sz w:val="21"/>
      <w:szCs w:val="21"/>
    </w:rPr>
  </w:style>
  <w:style w:type="paragraph" w:styleId="a8">
    <w:name w:val="annotation text"/>
    <w:basedOn w:val="a"/>
    <w:link w:val="a9"/>
    <w:uiPriority w:val="99"/>
    <w:semiHidden/>
    <w:unhideWhenUsed/>
    <w:rsid w:val="00941380"/>
    <w:pPr>
      <w:jc w:val="left"/>
    </w:pPr>
  </w:style>
  <w:style w:type="character" w:customStyle="1" w:styleId="a9">
    <w:name w:val="批注文字 字符"/>
    <w:basedOn w:val="a0"/>
    <w:link w:val="a8"/>
    <w:uiPriority w:val="99"/>
    <w:semiHidden/>
    <w:rsid w:val="00941380"/>
    <w:rPr>
      <w:rFonts w:ascii="Times New Roman" w:eastAsia="宋体" w:hAnsi="Times New Roman" w:cs="Times New Roman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941380"/>
    <w:rPr>
      <w:b/>
      <w:bCs/>
    </w:rPr>
  </w:style>
  <w:style w:type="character" w:customStyle="1" w:styleId="ab">
    <w:name w:val="批注主题 字符"/>
    <w:basedOn w:val="a9"/>
    <w:link w:val="aa"/>
    <w:uiPriority w:val="99"/>
    <w:semiHidden/>
    <w:rsid w:val="00941380"/>
    <w:rPr>
      <w:rFonts w:ascii="Times New Roman" w:eastAsia="宋体" w:hAnsi="Times New Roman" w:cs="Times New Roman"/>
      <w:b/>
      <w:bCs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941380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941380"/>
    <w:rPr>
      <w:rFonts w:ascii="Times New Roman" w:eastAsia="宋体" w:hAnsi="Times New Roman" w:cs="Times New Roman"/>
      <w:sz w:val="18"/>
      <w:szCs w:val="18"/>
    </w:rPr>
  </w:style>
  <w:style w:type="character" w:customStyle="1" w:styleId="hrefstyle">
    <w:name w:val="hrefstyle"/>
    <w:basedOn w:val="a0"/>
    <w:rsid w:val="00A30CC8"/>
  </w:style>
  <w:style w:type="character" w:styleId="ae">
    <w:name w:val="Emphasis"/>
    <w:basedOn w:val="a0"/>
    <w:uiPriority w:val="20"/>
    <w:qFormat/>
    <w:rsid w:val="000A6856"/>
    <w:rPr>
      <w:i/>
      <w:iCs/>
    </w:rPr>
  </w:style>
  <w:style w:type="paragraph" w:styleId="af">
    <w:name w:val="Normal (Web)"/>
    <w:basedOn w:val="a"/>
    <w:uiPriority w:val="99"/>
    <w:unhideWhenUsed/>
    <w:rsid w:val="007933A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0">
    <w:name w:val="List Paragraph"/>
    <w:basedOn w:val="a"/>
    <w:uiPriority w:val="34"/>
    <w:qFormat/>
    <w:rsid w:val="00134783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character" w:customStyle="1" w:styleId="highlight">
    <w:name w:val="highlight"/>
    <w:basedOn w:val="a0"/>
    <w:rsid w:val="008A2B24"/>
  </w:style>
  <w:style w:type="character" w:customStyle="1" w:styleId="textarrayclass">
    <w:name w:val="text_array_class"/>
    <w:basedOn w:val="a0"/>
    <w:rsid w:val="003956A4"/>
  </w:style>
  <w:style w:type="character" w:styleId="af1">
    <w:name w:val="Strong"/>
    <w:basedOn w:val="a0"/>
    <w:uiPriority w:val="22"/>
    <w:qFormat/>
    <w:rsid w:val="00F312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71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86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11FF59-C567-4D6E-AB75-7136A060D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4470</TotalTime>
  <Pages>3</Pages>
  <Words>265</Words>
  <Characters>1514</Characters>
  <Application>Microsoft Office Word</Application>
  <DocSecurity>0</DocSecurity>
  <Lines>12</Lines>
  <Paragraphs>3</Paragraphs>
  <ScaleCrop>false</ScaleCrop>
  <Company>Microsoft</Company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yuanyuzhu</dc:creator>
  <cp:lastModifiedBy>Lyric</cp:lastModifiedBy>
  <cp:revision>96</cp:revision>
  <cp:lastPrinted>2024-07-15T03:11:00Z</cp:lastPrinted>
  <dcterms:created xsi:type="dcterms:W3CDTF">2022-04-09T08:03:00Z</dcterms:created>
  <dcterms:modified xsi:type="dcterms:W3CDTF">2025-02-15T07:46:00Z</dcterms:modified>
</cp:coreProperties>
</file>