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DAE9B" w14:textId="77777777" w:rsidR="00F35F82" w:rsidRDefault="005F6D26">
      <w:pPr>
        <w:jc w:val="center"/>
        <w:rPr>
          <w:rFonts w:ascii="宋体" w:hAnsi="宋体"/>
          <w:b/>
          <w:bCs/>
          <w:sz w:val="28"/>
          <w:szCs w:val="28"/>
        </w:rPr>
      </w:pPr>
      <w:r>
        <w:rPr>
          <w:rFonts w:ascii="宋体" w:hAnsi="宋体" w:hint="eastAsia"/>
          <w:b/>
          <w:bCs/>
          <w:sz w:val="28"/>
          <w:szCs w:val="28"/>
        </w:rPr>
        <w:t>烟台德邦科技股份有限公司</w:t>
      </w:r>
    </w:p>
    <w:p w14:paraId="2040462E" w14:textId="77777777" w:rsidR="00F35F82" w:rsidRDefault="005F6D26">
      <w:pPr>
        <w:jc w:val="center"/>
        <w:rPr>
          <w:rFonts w:ascii="宋体" w:hAnsi="宋体"/>
          <w:b/>
          <w:bCs/>
          <w:sz w:val="28"/>
          <w:szCs w:val="28"/>
        </w:rPr>
      </w:pPr>
      <w:r>
        <w:rPr>
          <w:rFonts w:ascii="宋体" w:hAnsi="宋体" w:hint="eastAsia"/>
          <w:b/>
          <w:bCs/>
          <w:sz w:val="28"/>
          <w:szCs w:val="28"/>
        </w:rPr>
        <w:t>投资者关系活动记录表</w:t>
      </w:r>
    </w:p>
    <w:p w14:paraId="5CD10C54" w14:textId="77777777" w:rsidR="00F35F82" w:rsidRDefault="00F35F82">
      <w:pPr>
        <w:jc w:val="center"/>
        <w:rPr>
          <w:rFonts w:ascii="宋体" w:hAnsi="宋体"/>
          <w:b/>
          <w:bCs/>
          <w:sz w:val="28"/>
          <w:szCs w:val="28"/>
        </w:rPr>
      </w:pPr>
    </w:p>
    <w:p w14:paraId="5AD2E681" w14:textId="77777777" w:rsidR="00F35F82" w:rsidRDefault="005F6D26">
      <w:pPr>
        <w:ind w:firstLineChars="100" w:firstLine="241"/>
        <w:rPr>
          <w:rFonts w:ascii="宋体" w:hAnsi="宋体"/>
          <w:b/>
          <w:bCs/>
          <w:szCs w:val="24"/>
        </w:rPr>
      </w:pPr>
      <w:r>
        <w:rPr>
          <w:rFonts w:ascii="宋体" w:hAnsi="宋体" w:hint="eastAsia"/>
          <w:b/>
          <w:bCs/>
          <w:szCs w:val="24"/>
        </w:rPr>
        <w:t xml:space="preserve">证券简称：德邦科技 </w:t>
      </w:r>
      <w:r>
        <w:rPr>
          <w:rFonts w:ascii="宋体" w:hAnsi="宋体"/>
          <w:b/>
          <w:bCs/>
          <w:szCs w:val="24"/>
        </w:rPr>
        <w:t xml:space="preserve">        </w:t>
      </w:r>
      <w:r>
        <w:rPr>
          <w:rFonts w:ascii="宋体" w:hAnsi="宋体" w:hint="eastAsia"/>
          <w:b/>
          <w:bCs/>
          <w:szCs w:val="24"/>
        </w:rPr>
        <w:t xml:space="preserve">证券代码：688035 </w:t>
      </w:r>
      <w:r>
        <w:rPr>
          <w:rFonts w:ascii="宋体" w:hAnsi="宋体"/>
          <w:b/>
          <w:bCs/>
          <w:szCs w:val="24"/>
        </w:rPr>
        <w:t xml:space="preserve">       </w:t>
      </w:r>
      <w:r>
        <w:rPr>
          <w:rFonts w:ascii="宋体" w:hAnsi="宋体" w:hint="eastAsia"/>
          <w:b/>
          <w:bCs/>
          <w:szCs w:val="24"/>
        </w:rPr>
        <w:t>编号：202</w:t>
      </w:r>
      <w:r>
        <w:rPr>
          <w:rFonts w:ascii="宋体" w:hAnsi="宋体"/>
          <w:b/>
          <w:bCs/>
          <w:szCs w:val="24"/>
        </w:rPr>
        <w:t>5-001</w:t>
      </w:r>
    </w:p>
    <w:tbl>
      <w:tblPr>
        <w:tblStyle w:val="a7"/>
        <w:tblW w:w="0" w:type="auto"/>
        <w:tblLook w:val="04A0" w:firstRow="1" w:lastRow="0" w:firstColumn="1" w:lastColumn="0" w:noHBand="0" w:noVBand="1"/>
      </w:tblPr>
      <w:tblGrid>
        <w:gridCol w:w="2405"/>
        <w:gridCol w:w="5891"/>
      </w:tblGrid>
      <w:tr w:rsidR="00F35F82" w14:paraId="305818D7" w14:textId="77777777">
        <w:tc>
          <w:tcPr>
            <w:tcW w:w="2405" w:type="dxa"/>
            <w:vAlign w:val="center"/>
          </w:tcPr>
          <w:p w14:paraId="67E1C398" w14:textId="77777777" w:rsidR="00F35F82" w:rsidRDefault="005F6D26">
            <w:pPr>
              <w:jc w:val="center"/>
              <w:rPr>
                <w:rFonts w:ascii="宋体" w:hAnsi="宋体"/>
                <w:b/>
                <w:bCs/>
                <w:szCs w:val="24"/>
              </w:rPr>
            </w:pPr>
            <w:r>
              <w:rPr>
                <w:rFonts w:ascii="宋体" w:hAnsi="宋体" w:hint="eastAsia"/>
                <w:b/>
                <w:bCs/>
                <w:szCs w:val="24"/>
              </w:rPr>
              <w:t>投资者关系活动</w:t>
            </w:r>
          </w:p>
          <w:p w14:paraId="5B198B2A" w14:textId="77777777" w:rsidR="00F35F82" w:rsidRDefault="005F6D26">
            <w:pPr>
              <w:jc w:val="center"/>
              <w:rPr>
                <w:rFonts w:ascii="宋体" w:hAnsi="宋体"/>
                <w:b/>
                <w:bCs/>
                <w:szCs w:val="24"/>
              </w:rPr>
            </w:pPr>
            <w:r>
              <w:rPr>
                <w:rFonts w:ascii="宋体" w:hAnsi="宋体" w:hint="eastAsia"/>
                <w:b/>
                <w:bCs/>
                <w:szCs w:val="24"/>
              </w:rPr>
              <w:t>类别</w:t>
            </w:r>
          </w:p>
        </w:tc>
        <w:tc>
          <w:tcPr>
            <w:tcW w:w="5891" w:type="dxa"/>
            <w:vAlign w:val="center"/>
          </w:tcPr>
          <w:p w14:paraId="7DFCA824" w14:textId="77777777" w:rsidR="00F35F82" w:rsidRDefault="005F6D26">
            <w:pPr>
              <w:spacing w:line="360" w:lineRule="auto"/>
              <w:rPr>
                <w:rFonts w:ascii="宋体" w:hAnsi="宋体"/>
                <w:szCs w:val="24"/>
              </w:rPr>
            </w:pPr>
            <w:r>
              <w:rPr>
                <w:rFonts w:ascii="宋体" w:hAnsi="宋体"/>
                <w:kern w:val="0"/>
                <w:szCs w:val="24"/>
              </w:rPr>
              <w:sym w:font="Wingdings 2" w:char="0052"/>
            </w:r>
            <w:r>
              <w:rPr>
                <w:rFonts w:ascii="宋体" w:hAnsi="宋体"/>
                <w:szCs w:val="24"/>
              </w:rPr>
              <w:t xml:space="preserve">特定对象调研       </w:t>
            </w:r>
            <w:r>
              <w:rPr>
                <w:rFonts w:ascii="宋体" w:hAnsi="宋体"/>
                <w:kern w:val="0"/>
                <w:szCs w:val="24"/>
              </w:rPr>
              <w:t>□</w:t>
            </w:r>
            <w:r>
              <w:rPr>
                <w:rFonts w:ascii="宋体" w:hAnsi="宋体"/>
                <w:szCs w:val="24"/>
              </w:rPr>
              <w:t>分析师会议</w:t>
            </w:r>
          </w:p>
          <w:p w14:paraId="60CB5DC5" w14:textId="77777777" w:rsidR="00F35F82" w:rsidRDefault="005F6D26">
            <w:pPr>
              <w:spacing w:line="360" w:lineRule="auto"/>
              <w:rPr>
                <w:rFonts w:ascii="宋体" w:hAnsi="宋体"/>
                <w:kern w:val="0"/>
                <w:szCs w:val="24"/>
              </w:rPr>
            </w:pPr>
            <w:r>
              <w:rPr>
                <w:rFonts w:ascii="宋体" w:hAnsi="宋体"/>
                <w:kern w:val="0"/>
                <w:szCs w:val="24"/>
              </w:rPr>
              <w:t>□媒体采访           □业绩说明会</w:t>
            </w:r>
          </w:p>
          <w:p w14:paraId="74D92F98" w14:textId="77777777" w:rsidR="00F35F82" w:rsidRDefault="005F6D26">
            <w:pPr>
              <w:spacing w:line="360" w:lineRule="auto"/>
              <w:rPr>
                <w:rFonts w:ascii="宋体" w:hAnsi="宋体"/>
                <w:kern w:val="0"/>
                <w:szCs w:val="24"/>
              </w:rPr>
            </w:pPr>
            <w:r>
              <w:rPr>
                <w:rFonts w:ascii="宋体" w:hAnsi="宋体"/>
                <w:kern w:val="0"/>
                <w:szCs w:val="24"/>
              </w:rPr>
              <w:t xml:space="preserve">□新闻发布会         </w:t>
            </w:r>
            <w:r>
              <w:rPr>
                <w:rFonts w:ascii="宋体" w:hAnsi="宋体" w:hint="eastAsia"/>
                <w:kern w:val="0"/>
                <w:szCs w:val="24"/>
              </w:rPr>
              <w:t>☑</w:t>
            </w:r>
            <w:r>
              <w:rPr>
                <w:rFonts w:ascii="宋体" w:hAnsi="宋体"/>
                <w:kern w:val="0"/>
                <w:szCs w:val="24"/>
              </w:rPr>
              <w:t>路演活动</w:t>
            </w:r>
          </w:p>
          <w:p w14:paraId="6F29C42E" w14:textId="77777777" w:rsidR="00F35F82" w:rsidRDefault="005F6D26">
            <w:pPr>
              <w:spacing w:line="360" w:lineRule="auto"/>
              <w:rPr>
                <w:rFonts w:ascii="宋体" w:hAnsi="宋体"/>
                <w:kern w:val="0"/>
                <w:szCs w:val="24"/>
              </w:rPr>
            </w:pPr>
            <w:r>
              <w:rPr>
                <w:rFonts w:ascii="宋体" w:hAnsi="宋体"/>
                <w:kern w:val="0"/>
                <w:szCs w:val="24"/>
              </w:rPr>
              <w:t>□现场参观           □其他(</w:t>
            </w:r>
            <w:r>
              <w:rPr>
                <w:rFonts w:ascii="宋体" w:hAnsi="宋体" w:hint="eastAsia"/>
                <w:kern w:val="0"/>
                <w:szCs w:val="24"/>
              </w:rPr>
              <w:t>电话</w:t>
            </w:r>
            <w:r>
              <w:rPr>
                <w:rFonts w:ascii="宋体" w:hAnsi="宋体"/>
                <w:kern w:val="0"/>
                <w:szCs w:val="24"/>
              </w:rPr>
              <w:t>会议)</w:t>
            </w:r>
          </w:p>
        </w:tc>
      </w:tr>
      <w:tr w:rsidR="00F35F82" w14:paraId="0C7E94C7" w14:textId="77777777">
        <w:trPr>
          <w:trHeight w:val="1527"/>
        </w:trPr>
        <w:tc>
          <w:tcPr>
            <w:tcW w:w="2405" w:type="dxa"/>
            <w:vAlign w:val="center"/>
          </w:tcPr>
          <w:p w14:paraId="3EBDBAF6" w14:textId="77777777" w:rsidR="00F35F82" w:rsidRDefault="005F6D26">
            <w:pPr>
              <w:jc w:val="center"/>
              <w:rPr>
                <w:rFonts w:ascii="宋体" w:hAnsi="宋体"/>
                <w:b/>
                <w:bCs/>
                <w:szCs w:val="24"/>
              </w:rPr>
            </w:pPr>
            <w:r>
              <w:rPr>
                <w:rFonts w:ascii="宋体" w:hAnsi="宋体" w:hint="eastAsia"/>
                <w:b/>
                <w:bCs/>
                <w:szCs w:val="24"/>
              </w:rPr>
              <w:t>参与单位名称</w:t>
            </w:r>
          </w:p>
          <w:p w14:paraId="0FBA3474" w14:textId="77777777" w:rsidR="00F35F82" w:rsidRDefault="005F6D26">
            <w:pPr>
              <w:jc w:val="center"/>
              <w:rPr>
                <w:rFonts w:ascii="宋体" w:hAnsi="宋体"/>
                <w:b/>
                <w:bCs/>
                <w:szCs w:val="24"/>
              </w:rPr>
            </w:pPr>
            <w:r>
              <w:rPr>
                <w:rFonts w:ascii="宋体" w:hAnsi="宋体" w:hint="eastAsia"/>
                <w:b/>
                <w:bCs/>
                <w:szCs w:val="24"/>
              </w:rPr>
              <w:t>及人员姓名</w:t>
            </w:r>
          </w:p>
        </w:tc>
        <w:tc>
          <w:tcPr>
            <w:tcW w:w="5891" w:type="dxa"/>
            <w:vAlign w:val="center"/>
          </w:tcPr>
          <w:p w14:paraId="757B0BBF" w14:textId="30E4D70D" w:rsidR="00F35F82" w:rsidRDefault="005F6D26">
            <w:pPr>
              <w:spacing w:line="360" w:lineRule="auto"/>
              <w:jc w:val="left"/>
              <w:rPr>
                <w:rFonts w:ascii="宋体" w:hAnsi="宋体"/>
                <w:szCs w:val="24"/>
              </w:rPr>
            </w:pPr>
            <w:r>
              <w:rPr>
                <w:rFonts w:ascii="宋体" w:hAnsi="宋体" w:hint="eastAsia"/>
                <w:szCs w:val="24"/>
              </w:rPr>
              <w:t>国海证券</w:t>
            </w:r>
            <w:r>
              <w:rPr>
                <w:rFonts w:ascii="宋体" w:hAnsi="宋体"/>
                <w:szCs w:val="24"/>
              </w:rPr>
              <w:t>、</w:t>
            </w:r>
            <w:r>
              <w:rPr>
                <w:rFonts w:ascii="宋体" w:hAnsi="宋体" w:hint="eastAsia"/>
                <w:szCs w:val="24"/>
              </w:rPr>
              <w:t>大家资产、驼铃资产、泓德基金、太和致远基金、海通证券、开源证券、东方证券、中银证券、中电科投资、工银瑞信、长城财富、博道基金、华夏基金、银叶投资、长盛基金、华商基金</w:t>
            </w:r>
            <w:r w:rsidR="00193BF3">
              <w:rPr>
                <w:rFonts w:ascii="宋体" w:hAnsi="宋体" w:hint="eastAsia"/>
                <w:szCs w:val="24"/>
              </w:rPr>
              <w:t>等</w:t>
            </w:r>
          </w:p>
        </w:tc>
      </w:tr>
      <w:tr w:rsidR="00F35F82" w14:paraId="1AF44224" w14:textId="77777777">
        <w:trPr>
          <w:trHeight w:val="497"/>
        </w:trPr>
        <w:tc>
          <w:tcPr>
            <w:tcW w:w="2405" w:type="dxa"/>
            <w:vAlign w:val="center"/>
          </w:tcPr>
          <w:p w14:paraId="6F1E4977" w14:textId="77777777" w:rsidR="00F35F82" w:rsidRDefault="005F6D26">
            <w:pPr>
              <w:jc w:val="center"/>
              <w:rPr>
                <w:rFonts w:ascii="宋体" w:hAnsi="宋体"/>
                <w:b/>
                <w:bCs/>
                <w:szCs w:val="24"/>
              </w:rPr>
            </w:pPr>
            <w:r>
              <w:rPr>
                <w:rFonts w:ascii="宋体" w:hAnsi="宋体" w:hint="eastAsia"/>
                <w:b/>
                <w:bCs/>
                <w:szCs w:val="24"/>
              </w:rPr>
              <w:t>时间</w:t>
            </w:r>
          </w:p>
        </w:tc>
        <w:tc>
          <w:tcPr>
            <w:tcW w:w="5891" w:type="dxa"/>
            <w:vAlign w:val="center"/>
          </w:tcPr>
          <w:p w14:paraId="77F55CC1" w14:textId="02434551" w:rsidR="00F35F82" w:rsidRDefault="005F6D26" w:rsidP="00780D8A">
            <w:pPr>
              <w:spacing w:line="360" w:lineRule="auto"/>
              <w:jc w:val="left"/>
              <w:rPr>
                <w:rFonts w:ascii="宋体" w:hAnsi="宋体"/>
                <w:szCs w:val="24"/>
              </w:rPr>
            </w:pPr>
            <w:r>
              <w:rPr>
                <w:rFonts w:ascii="宋体" w:hAnsi="宋体" w:hint="eastAsia"/>
                <w:szCs w:val="24"/>
              </w:rPr>
              <w:t>202</w:t>
            </w:r>
            <w:r>
              <w:rPr>
                <w:rFonts w:ascii="宋体" w:hAnsi="宋体"/>
                <w:szCs w:val="24"/>
              </w:rPr>
              <w:t>5</w:t>
            </w:r>
            <w:r>
              <w:rPr>
                <w:rFonts w:ascii="宋体" w:hAnsi="宋体" w:hint="eastAsia"/>
                <w:szCs w:val="24"/>
              </w:rPr>
              <w:t>年</w:t>
            </w:r>
            <w:r>
              <w:rPr>
                <w:rFonts w:ascii="宋体" w:hAnsi="宋体"/>
                <w:szCs w:val="24"/>
              </w:rPr>
              <w:t>2</w:t>
            </w:r>
            <w:r>
              <w:rPr>
                <w:rFonts w:ascii="宋体" w:hAnsi="宋体" w:hint="eastAsia"/>
                <w:szCs w:val="24"/>
              </w:rPr>
              <w:t>月</w:t>
            </w:r>
            <w:r>
              <w:rPr>
                <w:rFonts w:ascii="宋体" w:hAnsi="宋体"/>
                <w:szCs w:val="24"/>
              </w:rPr>
              <w:t>12-</w:t>
            </w:r>
            <w:r w:rsidR="00780D8A">
              <w:rPr>
                <w:rFonts w:ascii="宋体" w:hAnsi="宋体"/>
                <w:szCs w:val="24"/>
              </w:rPr>
              <w:t>20</w:t>
            </w:r>
            <w:r>
              <w:rPr>
                <w:rFonts w:ascii="宋体" w:hAnsi="宋体" w:hint="eastAsia"/>
                <w:szCs w:val="24"/>
              </w:rPr>
              <w:t>日</w:t>
            </w:r>
          </w:p>
        </w:tc>
      </w:tr>
      <w:tr w:rsidR="00F35F82" w14:paraId="76BEEB0D" w14:textId="77777777">
        <w:tc>
          <w:tcPr>
            <w:tcW w:w="2405" w:type="dxa"/>
            <w:vAlign w:val="center"/>
          </w:tcPr>
          <w:p w14:paraId="279A1374" w14:textId="77777777" w:rsidR="00F35F82" w:rsidRDefault="005F6D26">
            <w:pPr>
              <w:jc w:val="center"/>
              <w:rPr>
                <w:rFonts w:ascii="宋体" w:hAnsi="宋体"/>
                <w:b/>
                <w:bCs/>
                <w:szCs w:val="24"/>
              </w:rPr>
            </w:pPr>
            <w:r>
              <w:rPr>
                <w:rFonts w:ascii="宋体" w:hAnsi="宋体" w:hint="eastAsia"/>
                <w:b/>
                <w:bCs/>
                <w:szCs w:val="24"/>
              </w:rPr>
              <w:t>地点</w:t>
            </w:r>
          </w:p>
        </w:tc>
        <w:tc>
          <w:tcPr>
            <w:tcW w:w="5891" w:type="dxa"/>
            <w:vAlign w:val="center"/>
          </w:tcPr>
          <w:p w14:paraId="5CE921B4" w14:textId="1ADCA456" w:rsidR="00F35F82" w:rsidRDefault="005F6D26" w:rsidP="00825E3C">
            <w:pPr>
              <w:spacing w:line="360" w:lineRule="auto"/>
              <w:jc w:val="left"/>
              <w:rPr>
                <w:rFonts w:ascii="宋体" w:hAnsi="宋体"/>
                <w:szCs w:val="24"/>
              </w:rPr>
            </w:pPr>
            <w:r>
              <w:rPr>
                <w:rFonts w:ascii="宋体" w:hAnsi="宋体" w:hint="eastAsia"/>
                <w:szCs w:val="24"/>
              </w:rPr>
              <w:t>现场交流（</w:t>
            </w:r>
            <w:r w:rsidR="00825E3C">
              <w:rPr>
                <w:rFonts w:ascii="宋体" w:hAnsi="宋体" w:hint="eastAsia"/>
                <w:szCs w:val="24"/>
              </w:rPr>
              <w:t>烟台、</w:t>
            </w:r>
            <w:r>
              <w:rPr>
                <w:rFonts w:ascii="宋体" w:hAnsi="宋体" w:hint="eastAsia"/>
                <w:szCs w:val="24"/>
              </w:rPr>
              <w:t>上海、北京）</w:t>
            </w:r>
          </w:p>
        </w:tc>
      </w:tr>
      <w:tr w:rsidR="00F35F82" w14:paraId="1F51054E" w14:textId="77777777">
        <w:trPr>
          <w:trHeight w:val="1291"/>
        </w:trPr>
        <w:tc>
          <w:tcPr>
            <w:tcW w:w="2405" w:type="dxa"/>
            <w:vAlign w:val="center"/>
          </w:tcPr>
          <w:p w14:paraId="154C4ACF" w14:textId="77777777" w:rsidR="00F35F82" w:rsidRDefault="005F6D26">
            <w:pPr>
              <w:jc w:val="center"/>
              <w:rPr>
                <w:rFonts w:ascii="宋体" w:hAnsi="宋体"/>
                <w:b/>
                <w:bCs/>
                <w:szCs w:val="24"/>
              </w:rPr>
            </w:pPr>
            <w:r>
              <w:rPr>
                <w:rFonts w:ascii="宋体" w:hAnsi="宋体" w:hint="eastAsia"/>
                <w:b/>
                <w:bCs/>
                <w:szCs w:val="24"/>
              </w:rPr>
              <w:t>上市公司接待人员</w:t>
            </w:r>
          </w:p>
          <w:p w14:paraId="2ADEAF0F" w14:textId="77777777" w:rsidR="00F35F82" w:rsidRDefault="005F6D26">
            <w:pPr>
              <w:jc w:val="center"/>
              <w:rPr>
                <w:rFonts w:ascii="宋体" w:hAnsi="宋体"/>
                <w:b/>
                <w:bCs/>
                <w:szCs w:val="24"/>
              </w:rPr>
            </w:pPr>
            <w:r>
              <w:rPr>
                <w:rFonts w:ascii="宋体" w:hAnsi="宋体" w:hint="eastAsia"/>
                <w:b/>
                <w:bCs/>
                <w:szCs w:val="24"/>
              </w:rPr>
              <w:t>姓名</w:t>
            </w:r>
          </w:p>
        </w:tc>
        <w:tc>
          <w:tcPr>
            <w:tcW w:w="5891" w:type="dxa"/>
            <w:vAlign w:val="center"/>
          </w:tcPr>
          <w:p w14:paraId="5B0BC9B1" w14:textId="77777777" w:rsidR="00F35F82" w:rsidRDefault="005F6D26">
            <w:pPr>
              <w:spacing w:line="360" w:lineRule="auto"/>
              <w:jc w:val="left"/>
              <w:rPr>
                <w:rFonts w:ascii="宋体" w:hAnsi="宋体"/>
                <w:szCs w:val="24"/>
              </w:rPr>
            </w:pPr>
            <w:r>
              <w:rPr>
                <w:rFonts w:ascii="宋体" w:hAnsi="宋体" w:hint="eastAsia"/>
                <w:szCs w:val="24"/>
              </w:rPr>
              <w:t>副总经理、董事会秘书、财务总监：于杰</w:t>
            </w:r>
          </w:p>
          <w:p w14:paraId="2F09A022" w14:textId="77777777" w:rsidR="00F35F82" w:rsidRDefault="005F6D26">
            <w:pPr>
              <w:spacing w:line="360" w:lineRule="auto"/>
              <w:jc w:val="left"/>
              <w:rPr>
                <w:rFonts w:ascii="宋体" w:hAnsi="宋体"/>
                <w:szCs w:val="24"/>
              </w:rPr>
            </w:pPr>
            <w:r>
              <w:rPr>
                <w:rFonts w:ascii="宋体" w:hAnsi="宋体"/>
                <w:szCs w:val="24"/>
              </w:rPr>
              <w:t>公司证券总监：战世能</w:t>
            </w:r>
          </w:p>
        </w:tc>
      </w:tr>
      <w:tr w:rsidR="00F35F82" w14:paraId="64A1AAB0" w14:textId="77777777">
        <w:tc>
          <w:tcPr>
            <w:tcW w:w="2405" w:type="dxa"/>
            <w:vAlign w:val="center"/>
          </w:tcPr>
          <w:p w14:paraId="024549B9" w14:textId="77777777" w:rsidR="00F35F82" w:rsidRDefault="005F6D26">
            <w:pPr>
              <w:jc w:val="center"/>
              <w:rPr>
                <w:rFonts w:ascii="宋体" w:hAnsi="宋体"/>
                <w:b/>
                <w:bCs/>
                <w:szCs w:val="24"/>
              </w:rPr>
            </w:pPr>
            <w:r>
              <w:rPr>
                <w:rFonts w:ascii="宋体" w:hAnsi="宋体" w:hint="eastAsia"/>
                <w:b/>
                <w:bCs/>
                <w:szCs w:val="24"/>
              </w:rPr>
              <w:t>投资者关系活动主要内容介绍</w:t>
            </w:r>
          </w:p>
        </w:tc>
        <w:tc>
          <w:tcPr>
            <w:tcW w:w="5891" w:type="dxa"/>
            <w:vAlign w:val="center"/>
          </w:tcPr>
          <w:p w14:paraId="3729DD27" w14:textId="77777777" w:rsidR="00F35F82" w:rsidRDefault="005F6D26">
            <w:pPr>
              <w:spacing w:line="560" w:lineRule="exact"/>
              <w:ind w:firstLineChars="200" w:firstLine="482"/>
              <w:rPr>
                <w:rFonts w:ascii="宋体" w:hAnsi="宋体"/>
                <w:b/>
                <w:szCs w:val="24"/>
              </w:rPr>
            </w:pPr>
            <w:r>
              <w:rPr>
                <w:rFonts w:ascii="宋体" w:hAnsi="宋体" w:hint="eastAsia"/>
                <w:b/>
                <w:szCs w:val="24"/>
              </w:rPr>
              <w:t>1、公司2</w:t>
            </w:r>
            <w:r>
              <w:rPr>
                <w:rFonts w:ascii="宋体" w:hAnsi="宋体"/>
                <w:b/>
                <w:szCs w:val="24"/>
              </w:rPr>
              <w:t>024年</w:t>
            </w:r>
            <w:r>
              <w:rPr>
                <w:rFonts w:ascii="宋体" w:hAnsi="宋体" w:hint="eastAsia"/>
                <w:b/>
                <w:szCs w:val="24"/>
              </w:rPr>
              <w:t>经营情况？</w:t>
            </w:r>
          </w:p>
          <w:p w14:paraId="17291778" w14:textId="02F7E9C2" w:rsidR="00F35F82" w:rsidRDefault="005F6D26">
            <w:pPr>
              <w:spacing w:line="560" w:lineRule="exact"/>
              <w:ind w:firstLineChars="200" w:firstLine="480"/>
              <w:rPr>
                <w:rFonts w:ascii="宋体" w:hAnsi="宋体"/>
                <w:szCs w:val="24"/>
              </w:rPr>
            </w:pPr>
            <w:r>
              <w:rPr>
                <w:rFonts w:ascii="宋体" w:hAnsi="宋体"/>
                <w:szCs w:val="24"/>
              </w:rPr>
              <w:t>答：</w:t>
            </w:r>
            <w:r w:rsidR="00780D8A" w:rsidRPr="00780D8A">
              <w:rPr>
                <w:rFonts w:ascii="宋体" w:hAnsi="宋体" w:hint="eastAsia"/>
                <w:szCs w:val="24"/>
              </w:rPr>
              <w:t>2024年，公司集成电路、智能终端、新能源和高端装备四个板块业务都有积极的进展，各板块展现了增长韧劲，全年实现一定的增长。其中集成电路、智能终端板块增速明显，集成电路板块已形成了丰富多元的产品线，整体解决方案的能力不断增强，现有成熟产品均实现较好的增长，新产品方面几款芯片级封装材料，在客户端的导入上量进度也取得了不同程度的积极进展；智能终端板块随着终端客户新品发布带来增量，以</w:t>
            </w:r>
            <w:r w:rsidR="00780D8A" w:rsidRPr="00780D8A">
              <w:rPr>
                <w:rFonts w:ascii="宋体" w:hAnsi="宋体" w:hint="eastAsia"/>
                <w:szCs w:val="24"/>
              </w:rPr>
              <w:lastRenderedPageBreak/>
              <w:t>及公司产品在新应用点的持续突破、导入，形成多点开花的局面；新能源板块主要产品市场份额保持基本稳定，部分新客户导入也取得实质进展，在部分产品单价下行的状态下仍实现销量和销售额同向增长</w:t>
            </w:r>
            <w:r w:rsidR="00780D8A">
              <w:rPr>
                <w:rFonts w:ascii="宋体" w:hAnsi="宋体" w:hint="eastAsia"/>
                <w:szCs w:val="24"/>
              </w:rPr>
              <w:t>；</w:t>
            </w:r>
            <w:r w:rsidR="00780D8A" w:rsidRPr="00780D8A">
              <w:rPr>
                <w:rFonts w:ascii="宋体" w:hAnsi="宋体" w:hint="eastAsia"/>
                <w:szCs w:val="24"/>
              </w:rPr>
              <w:t>公司高端装备板块基数相对较小，也保持了大比例的增长。从收入结构来看，集成电路板块和智能终端板块营收占比均有所提升，新能源板块营收占比有所降低，公司营收结构收有所优化。</w:t>
            </w:r>
          </w:p>
          <w:p w14:paraId="1BB0038F" w14:textId="77777777" w:rsidR="00F35F82" w:rsidRDefault="00F35F82">
            <w:pPr>
              <w:spacing w:line="560" w:lineRule="exact"/>
              <w:rPr>
                <w:rFonts w:ascii="宋体" w:hAnsi="宋体"/>
                <w:szCs w:val="24"/>
              </w:rPr>
            </w:pPr>
          </w:p>
          <w:p w14:paraId="157F1E49" w14:textId="77777777" w:rsidR="00F35F82" w:rsidRDefault="005F6D26">
            <w:pPr>
              <w:spacing w:line="560" w:lineRule="exact"/>
              <w:ind w:firstLineChars="200" w:firstLine="482"/>
              <w:rPr>
                <w:rFonts w:ascii="宋体" w:hAnsi="宋体"/>
                <w:b/>
                <w:szCs w:val="24"/>
              </w:rPr>
            </w:pPr>
            <w:r>
              <w:rPr>
                <w:rFonts w:ascii="宋体" w:hAnsi="宋体"/>
                <w:b/>
                <w:szCs w:val="24"/>
              </w:rPr>
              <w:t>2</w:t>
            </w:r>
            <w:r>
              <w:rPr>
                <w:rFonts w:ascii="宋体" w:hAnsi="宋体" w:hint="eastAsia"/>
                <w:b/>
                <w:szCs w:val="24"/>
              </w:rPr>
              <w:t>、</w:t>
            </w:r>
            <w:r>
              <w:rPr>
                <w:rFonts w:ascii="宋体" w:hAnsi="宋体" w:hint="eastAsia"/>
                <w:b/>
              </w:rPr>
              <w:t>公司昆山工厂和眉山工厂产线建设情况</w:t>
            </w:r>
            <w:r>
              <w:rPr>
                <w:rFonts w:ascii="宋体" w:hAnsi="宋体" w:hint="eastAsia"/>
                <w:b/>
                <w:szCs w:val="24"/>
              </w:rPr>
              <w:t>？</w:t>
            </w:r>
          </w:p>
          <w:p w14:paraId="719FDF94" w14:textId="77777777" w:rsidR="00F35F82" w:rsidRDefault="005F6D26">
            <w:pPr>
              <w:spacing w:line="560" w:lineRule="exact"/>
              <w:ind w:firstLineChars="200" w:firstLine="480"/>
              <w:rPr>
                <w:rFonts w:ascii="宋体" w:hAnsi="宋体"/>
                <w:szCs w:val="24"/>
              </w:rPr>
            </w:pPr>
            <w:r>
              <w:rPr>
                <w:rFonts w:ascii="宋体" w:hAnsi="宋体"/>
                <w:szCs w:val="24"/>
              </w:rPr>
              <w:t>答：</w:t>
            </w:r>
            <w:r>
              <w:rPr>
                <w:rFonts w:ascii="宋体" w:hAnsi="宋体" w:hint="eastAsia"/>
                <w:szCs w:val="24"/>
              </w:rPr>
              <w:t>昆山工厂2</w:t>
            </w:r>
            <w:r>
              <w:rPr>
                <w:rFonts w:ascii="宋体" w:hAnsi="宋体"/>
                <w:szCs w:val="24"/>
              </w:rPr>
              <w:t>024</w:t>
            </w:r>
            <w:r>
              <w:rPr>
                <w:rFonts w:ascii="宋体" w:hAnsi="宋体" w:hint="eastAsia"/>
                <w:szCs w:val="24"/>
              </w:rPr>
              <w:t>全面投产，产能爬坡较快，除了新能源材料产线外，新建UV膜产线也开始投产，新增产能</w:t>
            </w:r>
            <w:r>
              <w:rPr>
                <w:rFonts w:ascii="宋体" w:hAnsi="宋体" w:cstheme="minorEastAsia" w:hint="eastAsia"/>
              </w:rPr>
              <w:t>支撑了2</w:t>
            </w:r>
            <w:r>
              <w:rPr>
                <w:rFonts w:ascii="宋体" w:hAnsi="宋体" w:cstheme="minorEastAsia"/>
              </w:rPr>
              <w:t>0</w:t>
            </w:r>
            <w:r>
              <w:rPr>
                <w:rFonts w:ascii="宋体" w:hAnsi="宋体" w:cstheme="minorEastAsia" w:hint="eastAsia"/>
              </w:rPr>
              <w:t>24年UV膜增长需求</w:t>
            </w:r>
            <w:r>
              <w:rPr>
                <w:rFonts w:ascii="宋体" w:hAnsi="宋体" w:hint="eastAsia"/>
                <w:szCs w:val="24"/>
              </w:rPr>
              <w:t>，新建DAF产线也建成开始打样试生产。</w:t>
            </w:r>
          </w:p>
          <w:p w14:paraId="4A855040" w14:textId="77777777" w:rsidR="00F35F82" w:rsidRDefault="005F6D26">
            <w:pPr>
              <w:spacing w:line="560" w:lineRule="exact"/>
              <w:ind w:firstLineChars="200" w:firstLine="480"/>
              <w:rPr>
                <w:rFonts w:ascii="宋体" w:hAnsi="宋体"/>
                <w:szCs w:val="24"/>
              </w:rPr>
            </w:pPr>
            <w:r>
              <w:rPr>
                <w:rFonts w:ascii="宋体" w:hAnsi="宋体" w:hint="eastAsia"/>
                <w:szCs w:val="24"/>
              </w:rPr>
              <w:t>眉山工厂一期产能预计2025年二季度可以投产，覆盖西南地区宁德和比亚迪等客户需求，缓解了原来从烟台和昆山向眉山运输产品距离远的问题，成本和交付效率得到进一步优化，公司在新能源的产能布局体系基本搭建成型。</w:t>
            </w:r>
          </w:p>
          <w:p w14:paraId="77649624" w14:textId="77777777" w:rsidR="00F35F82" w:rsidRDefault="00F35F82">
            <w:pPr>
              <w:spacing w:line="560" w:lineRule="exact"/>
              <w:ind w:firstLineChars="200" w:firstLine="480"/>
              <w:rPr>
                <w:rFonts w:ascii="宋体" w:hAnsi="宋体"/>
                <w:szCs w:val="24"/>
              </w:rPr>
            </w:pPr>
          </w:p>
          <w:p w14:paraId="4ECFDB64" w14:textId="77777777" w:rsidR="00F35F82" w:rsidRDefault="005F6D26">
            <w:pPr>
              <w:spacing w:line="560" w:lineRule="exact"/>
              <w:ind w:firstLineChars="200" w:firstLine="482"/>
              <w:rPr>
                <w:rFonts w:ascii="宋体" w:hAnsi="宋体"/>
                <w:b/>
                <w:szCs w:val="24"/>
              </w:rPr>
            </w:pPr>
            <w:r>
              <w:rPr>
                <w:rFonts w:ascii="宋体" w:hAnsi="宋体"/>
                <w:b/>
                <w:szCs w:val="24"/>
              </w:rPr>
              <w:t>3</w:t>
            </w:r>
            <w:r>
              <w:rPr>
                <w:rFonts w:ascii="宋体" w:hAnsi="宋体" w:hint="eastAsia"/>
                <w:b/>
                <w:szCs w:val="24"/>
              </w:rPr>
              <w:t>、</w:t>
            </w:r>
            <w:r>
              <w:rPr>
                <w:rFonts w:ascii="宋体" w:hAnsi="宋体" w:hint="eastAsia"/>
                <w:b/>
              </w:rPr>
              <w:t>公司半导体领域材料的进展</w:t>
            </w:r>
            <w:r>
              <w:rPr>
                <w:rFonts w:ascii="宋体" w:hAnsi="宋体" w:hint="eastAsia"/>
                <w:b/>
                <w:szCs w:val="24"/>
              </w:rPr>
              <w:t>？</w:t>
            </w:r>
          </w:p>
          <w:p w14:paraId="09E3DDE8" w14:textId="77777777" w:rsidR="00F35F82" w:rsidRDefault="005F6D26">
            <w:pPr>
              <w:spacing w:line="560" w:lineRule="exact"/>
              <w:ind w:firstLineChars="200" w:firstLine="480"/>
              <w:rPr>
                <w:rFonts w:ascii="宋体" w:hAnsi="宋体"/>
                <w:szCs w:val="24"/>
              </w:rPr>
            </w:pPr>
            <w:r>
              <w:rPr>
                <w:rFonts w:ascii="宋体" w:hAnsi="宋体" w:hint="eastAsia"/>
                <w:szCs w:val="24"/>
              </w:rPr>
              <w:t>答：在先进封装材料领域，公司具备一系列成熟技术并能实现批量供货，其中芯片固晶胶，可以适用于多种封装形式，覆盖MOS、QFN、QFP、BGA和存储器等，</w:t>
            </w:r>
            <w:r>
              <w:rPr>
                <w:rFonts w:ascii="宋体" w:hAnsi="宋体" w:hint="eastAsia"/>
                <w:szCs w:val="24"/>
              </w:rPr>
              <w:lastRenderedPageBreak/>
              <w:t>客户包括通富微电、华天科技、长电科技等国内集成电路封测企业。晶圆UV膜方面，目前在华天科技、长电科技、日月新等国内集成电路封测企业批量供货。导热界面材料，TIM1.5、TIM2广泛应用于手机、笔记本电脑、服务器、光通讯等领域，并已稳定批量出货。</w:t>
            </w:r>
          </w:p>
          <w:p w14:paraId="4F188423" w14:textId="46540FF8" w:rsidR="00F35F82" w:rsidRDefault="001C6F8A">
            <w:pPr>
              <w:spacing w:line="560" w:lineRule="exact"/>
              <w:ind w:firstLineChars="200" w:firstLine="480"/>
              <w:rPr>
                <w:rFonts w:ascii="宋体" w:hAnsi="宋体"/>
                <w:szCs w:val="24"/>
              </w:rPr>
            </w:pPr>
            <w:r>
              <w:rPr>
                <w:rFonts w:ascii="宋体" w:hAnsi="宋体" w:hint="eastAsia"/>
                <w:szCs w:val="24"/>
              </w:rPr>
              <w:t>公司还有多款芯片级封装材料在客户端持续的推进导入上量，在验证周期</w:t>
            </w:r>
            <w:r w:rsidR="005F6D26">
              <w:rPr>
                <w:rFonts w:ascii="宋体" w:hAnsi="宋体" w:hint="eastAsia"/>
                <w:szCs w:val="24"/>
              </w:rPr>
              <w:t>方面，由于先进封装材料领域技术含量高、工艺难度大、属于知识密集型产业，产品验证存在周期长、难度大、结果较难预测</w:t>
            </w:r>
            <w:r>
              <w:rPr>
                <w:rFonts w:ascii="宋体" w:hAnsi="宋体" w:hint="eastAsia"/>
                <w:szCs w:val="24"/>
              </w:rPr>
              <w:t>的情况</w:t>
            </w:r>
            <w:r w:rsidR="005F6D26">
              <w:rPr>
                <w:rFonts w:ascii="宋体" w:hAnsi="宋体" w:hint="eastAsia"/>
                <w:szCs w:val="24"/>
              </w:rPr>
              <w:t>，目前DAF膜已在部分客户实现量产出货，CDAF膜、AD胶、Underfill材料实现部分客户小批量交付，TIM1材料获得部分客户验证通过正在推进产品导入。</w:t>
            </w:r>
          </w:p>
          <w:p w14:paraId="3C9F2F79" w14:textId="21F56C12" w:rsidR="00F35F82" w:rsidRDefault="005F6D26" w:rsidP="001C6F8A">
            <w:pPr>
              <w:spacing w:line="560" w:lineRule="exact"/>
              <w:ind w:firstLineChars="200" w:firstLine="480"/>
              <w:rPr>
                <w:rFonts w:ascii="宋体" w:hAnsi="宋体"/>
                <w:szCs w:val="24"/>
              </w:rPr>
            </w:pPr>
            <w:r>
              <w:rPr>
                <w:rFonts w:ascii="宋体" w:hAnsi="宋体" w:hint="eastAsia"/>
                <w:szCs w:val="24"/>
              </w:rPr>
              <w:t>另外，公司还围绕现有主业，通过收并购等资本运作方式加快发展步伐。2</w:t>
            </w:r>
            <w:r>
              <w:rPr>
                <w:rFonts w:ascii="宋体" w:hAnsi="宋体"/>
                <w:szCs w:val="24"/>
              </w:rPr>
              <w:t>025年</w:t>
            </w:r>
            <w:r>
              <w:rPr>
                <w:rFonts w:ascii="宋体" w:hAnsi="宋体" w:hint="eastAsia"/>
                <w:szCs w:val="24"/>
              </w:rPr>
              <w:t>2月5日公司发布了《烟台德邦科技股份有限公司关于收购苏州泰吉诺新材料科技有限公司部分股权进展暨完成工商变更登记的公告》（公告编号：2</w:t>
            </w:r>
            <w:r>
              <w:rPr>
                <w:rFonts w:ascii="宋体" w:hAnsi="宋体"/>
                <w:szCs w:val="24"/>
              </w:rPr>
              <w:t>025-005</w:t>
            </w:r>
            <w:r>
              <w:rPr>
                <w:rFonts w:ascii="宋体" w:hAnsi="宋体" w:hint="eastAsia"/>
                <w:szCs w:val="24"/>
              </w:rPr>
              <w:t>），泰吉诺已成为公司控股子公司，纳入公司合并报表范围。泰吉诺主要产品包括导热垫片、相变化材料、液态金属等高端导热界面材料，产品主要应用于AI服务器、GPU、CPU主控芯片及智能消费电子领域，本次收购有助于扩充公司产品种类，完善产品方案，并拓展业务领域，加速公司在人工智能、先进封装领域的业务布局，促进公司半导体业务的快速、高质量发展，为公司开辟新的增长点。</w:t>
            </w:r>
          </w:p>
          <w:p w14:paraId="40378BA6" w14:textId="77777777" w:rsidR="00F35F82" w:rsidRDefault="005F6D26">
            <w:pPr>
              <w:spacing w:line="560" w:lineRule="exact"/>
              <w:ind w:firstLineChars="200" w:firstLine="482"/>
              <w:rPr>
                <w:rFonts w:ascii="宋体" w:hAnsi="宋体"/>
                <w:b/>
                <w:szCs w:val="24"/>
              </w:rPr>
            </w:pPr>
            <w:r>
              <w:rPr>
                <w:rFonts w:ascii="宋体" w:hAnsi="宋体"/>
                <w:b/>
                <w:szCs w:val="24"/>
              </w:rPr>
              <w:lastRenderedPageBreak/>
              <w:t>4</w:t>
            </w:r>
            <w:r>
              <w:rPr>
                <w:rFonts w:ascii="宋体" w:hAnsi="宋体" w:hint="eastAsia"/>
                <w:b/>
                <w:szCs w:val="24"/>
              </w:rPr>
              <w:t>、公司</w:t>
            </w:r>
            <w:r>
              <w:rPr>
                <w:rFonts w:ascii="宋体" w:hAnsi="宋体" w:hint="eastAsia"/>
                <w:b/>
              </w:rPr>
              <w:t>智能终端板块营收情况</w:t>
            </w:r>
            <w:r>
              <w:rPr>
                <w:rFonts w:ascii="宋体" w:hAnsi="宋体" w:hint="eastAsia"/>
                <w:b/>
                <w:szCs w:val="24"/>
              </w:rPr>
              <w:t>？</w:t>
            </w:r>
          </w:p>
          <w:p w14:paraId="02FEEABB" w14:textId="4E835B82" w:rsidR="00F35F82" w:rsidRDefault="005F6D26">
            <w:pPr>
              <w:spacing w:line="560" w:lineRule="exact"/>
              <w:ind w:firstLineChars="200" w:firstLine="480"/>
              <w:rPr>
                <w:rFonts w:ascii="宋体" w:hAnsi="宋体"/>
                <w:szCs w:val="24"/>
              </w:rPr>
            </w:pPr>
            <w:r>
              <w:rPr>
                <w:rFonts w:ascii="宋体" w:hAnsi="宋体" w:hint="eastAsia"/>
                <w:szCs w:val="24"/>
              </w:rPr>
              <w:t>答：从产品结构来看</w:t>
            </w:r>
            <w:r w:rsidR="001C6F8A">
              <w:rPr>
                <w:rFonts w:ascii="宋体" w:hAnsi="宋体" w:hint="eastAsia"/>
                <w:szCs w:val="24"/>
              </w:rPr>
              <w:t>,</w:t>
            </w:r>
            <w:r>
              <w:rPr>
                <w:rFonts w:ascii="宋体" w:hAnsi="宋体" w:hint="eastAsia"/>
                <w:szCs w:val="24"/>
              </w:rPr>
              <w:t>公司</w:t>
            </w:r>
            <w:r>
              <w:rPr>
                <w:rFonts w:ascii="宋体" w:hAnsi="宋体" w:hint="eastAsia"/>
              </w:rPr>
              <w:t>智能终端板块</w:t>
            </w:r>
            <w:r>
              <w:rPr>
                <w:rFonts w:ascii="宋体" w:hAnsi="宋体" w:hint="eastAsia"/>
                <w:szCs w:val="24"/>
              </w:rPr>
              <w:t>T</w:t>
            </w:r>
            <w:r w:rsidR="001C6F8A">
              <w:rPr>
                <w:rFonts w:ascii="宋体" w:hAnsi="宋体"/>
                <w:szCs w:val="24"/>
              </w:rPr>
              <w:t>WS</w:t>
            </w:r>
            <w:r>
              <w:rPr>
                <w:rFonts w:ascii="宋体" w:hAnsi="宋体" w:hint="eastAsia"/>
                <w:szCs w:val="24"/>
              </w:rPr>
              <w:t>耳机材料占比约40%~50%，其他的包括整机里面的屏显、声学系统、光学系统、充电解决方案等材料占比约50%</w:t>
            </w:r>
            <w:r>
              <w:rPr>
                <w:rFonts w:ascii="宋体" w:hAnsi="宋体"/>
                <w:szCs w:val="24"/>
              </w:rPr>
              <w:t>~</w:t>
            </w:r>
            <w:r>
              <w:rPr>
                <w:rFonts w:ascii="宋体" w:hAnsi="宋体" w:hint="eastAsia"/>
                <w:szCs w:val="24"/>
              </w:rPr>
              <w:t>60%。</w:t>
            </w:r>
            <w:r w:rsidR="00B32CC5" w:rsidRPr="00B32CC5">
              <w:rPr>
                <w:rFonts w:ascii="宋体" w:hAnsi="宋体" w:hint="eastAsia"/>
                <w:szCs w:val="24"/>
              </w:rPr>
              <w:t>公司智能终端板块2024年度实现快速增长，一方面是终端客户新品发布带来增量，另一方面是公司产品在新应用点的持续突破、导入带来份额提升，如新款TWS耳机、平板电脑等，在小米最新推出小米15手机中，公司为其“LIPO 立体屏幕封装技术”提供关键材料，另外公司切入的车载电子方面的应用带来了新增份额。</w:t>
            </w:r>
          </w:p>
          <w:p w14:paraId="50162F04" w14:textId="77777777" w:rsidR="00F35F82" w:rsidRDefault="00F35F82">
            <w:pPr>
              <w:spacing w:line="560" w:lineRule="exact"/>
              <w:ind w:firstLineChars="200" w:firstLine="482"/>
              <w:rPr>
                <w:rFonts w:ascii="宋体" w:hAnsi="宋体"/>
                <w:b/>
                <w:szCs w:val="24"/>
              </w:rPr>
            </w:pPr>
            <w:bookmarkStart w:id="0" w:name="_GoBack"/>
            <w:bookmarkEnd w:id="0"/>
          </w:p>
          <w:p w14:paraId="442348ED" w14:textId="77777777" w:rsidR="00F35F82" w:rsidRDefault="005F6D26">
            <w:pPr>
              <w:spacing w:line="560" w:lineRule="exact"/>
              <w:ind w:firstLineChars="200" w:firstLine="482"/>
              <w:rPr>
                <w:rFonts w:ascii="宋体" w:hAnsi="宋体"/>
                <w:b/>
                <w:szCs w:val="24"/>
              </w:rPr>
            </w:pPr>
            <w:r>
              <w:rPr>
                <w:rFonts w:ascii="宋体" w:hAnsi="宋体"/>
                <w:b/>
                <w:szCs w:val="24"/>
              </w:rPr>
              <w:t>5</w:t>
            </w:r>
            <w:r>
              <w:rPr>
                <w:rFonts w:ascii="宋体" w:hAnsi="宋体" w:hint="eastAsia"/>
                <w:b/>
                <w:szCs w:val="24"/>
              </w:rPr>
              <w:t>、公司</w:t>
            </w:r>
            <w:r>
              <w:rPr>
                <w:rFonts w:ascii="宋体" w:hAnsi="宋体" w:hint="eastAsia"/>
                <w:b/>
              </w:rPr>
              <w:t>各板块毛利率变化</w:t>
            </w:r>
            <w:r>
              <w:rPr>
                <w:rFonts w:ascii="宋体" w:hAnsi="宋体" w:hint="eastAsia"/>
                <w:b/>
                <w:szCs w:val="24"/>
              </w:rPr>
              <w:t>？</w:t>
            </w:r>
          </w:p>
          <w:p w14:paraId="66CDEC0D" w14:textId="77777777" w:rsidR="00F35F82" w:rsidRDefault="005F6D26">
            <w:pPr>
              <w:spacing w:line="560" w:lineRule="exact"/>
              <w:ind w:firstLineChars="200" w:firstLine="480"/>
              <w:rPr>
                <w:rFonts w:ascii="宋体" w:hAnsi="宋体"/>
              </w:rPr>
            </w:pPr>
            <w:r>
              <w:rPr>
                <w:rFonts w:ascii="宋体" w:hAnsi="宋体" w:hint="eastAsia"/>
                <w:szCs w:val="24"/>
              </w:rPr>
              <w:t>答：公司集成电路和智能终端板块的毛利率同比稳中有升</w:t>
            </w:r>
            <w:r>
              <w:rPr>
                <w:rFonts w:ascii="宋体" w:hAnsi="宋体"/>
                <w:szCs w:val="24"/>
              </w:rPr>
              <w:t>，新能源整体上和去年没有太大</w:t>
            </w:r>
            <w:r>
              <w:rPr>
                <w:rFonts w:ascii="宋体" w:hAnsi="宋体" w:hint="eastAsia"/>
                <w:szCs w:val="24"/>
              </w:rPr>
              <w:t>变化，</w:t>
            </w:r>
            <w:r>
              <w:rPr>
                <w:rFonts w:ascii="宋体" w:hAnsi="宋体"/>
                <w:szCs w:val="24"/>
              </w:rPr>
              <w:t>经过</w:t>
            </w:r>
            <w:r>
              <w:rPr>
                <w:rFonts w:ascii="宋体" w:hAnsi="宋体" w:hint="eastAsia"/>
                <w:szCs w:val="24"/>
              </w:rPr>
              <w:t>公司</w:t>
            </w:r>
            <w:r>
              <w:rPr>
                <w:rFonts w:ascii="宋体" w:hAnsi="宋体"/>
                <w:szCs w:val="24"/>
              </w:rPr>
              <w:t>内部的降本增效，</w:t>
            </w:r>
            <w:r>
              <w:rPr>
                <w:rFonts w:ascii="宋体" w:hAnsi="宋体" w:hint="eastAsia"/>
                <w:szCs w:val="24"/>
              </w:rPr>
              <w:t>如大宗采购议价、技术降本、自动化产线智能制造等</w:t>
            </w:r>
            <w:r>
              <w:rPr>
                <w:rFonts w:ascii="宋体" w:hAnsi="宋体"/>
                <w:szCs w:val="24"/>
              </w:rPr>
              <w:t>各种措施的落地，新能源板块毛利</w:t>
            </w:r>
            <w:r>
              <w:rPr>
                <w:rFonts w:ascii="宋体" w:hAnsi="宋体" w:hint="eastAsia"/>
                <w:szCs w:val="24"/>
              </w:rPr>
              <w:t>率逐步</w:t>
            </w:r>
            <w:r>
              <w:rPr>
                <w:rFonts w:ascii="宋体" w:hAnsi="宋体"/>
                <w:szCs w:val="24"/>
              </w:rPr>
              <w:t>恢复</w:t>
            </w:r>
            <w:r>
              <w:rPr>
                <w:rFonts w:ascii="宋体" w:hAnsi="宋体" w:hint="eastAsia"/>
                <w:szCs w:val="24"/>
              </w:rPr>
              <w:t>，整体上公司今年综合毛利率从年初的同比下降已恢复到与去年基本持平的水平。</w:t>
            </w:r>
          </w:p>
          <w:p w14:paraId="3BF32886" w14:textId="77777777" w:rsidR="00F35F82" w:rsidRDefault="00F35F82">
            <w:pPr>
              <w:spacing w:line="560" w:lineRule="exact"/>
              <w:ind w:firstLineChars="200" w:firstLine="482"/>
              <w:rPr>
                <w:rFonts w:ascii="宋体" w:hAnsi="宋体"/>
                <w:b/>
                <w:szCs w:val="24"/>
              </w:rPr>
            </w:pPr>
          </w:p>
          <w:p w14:paraId="0CB451B4" w14:textId="77777777" w:rsidR="00F35F82" w:rsidRDefault="005F6D26">
            <w:pPr>
              <w:spacing w:line="560" w:lineRule="exact"/>
              <w:ind w:firstLineChars="200" w:firstLine="482"/>
              <w:rPr>
                <w:rFonts w:ascii="宋体" w:hAnsi="宋体"/>
                <w:b/>
                <w:szCs w:val="24"/>
              </w:rPr>
            </w:pPr>
            <w:r>
              <w:rPr>
                <w:rFonts w:ascii="宋体" w:hAnsi="宋体"/>
                <w:b/>
                <w:szCs w:val="24"/>
              </w:rPr>
              <w:t>6</w:t>
            </w:r>
            <w:r>
              <w:rPr>
                <w:rFonts w:ascii="宋体" w:hAnsi="宋体" w:hint="eastAsia"/>
                <w:b/>
                <w:szCs w:val="24"/>
              </w:rPr>
              <w:t>、公司的半导体材料有哪些优势？</w:t>
            </w:r>
          </w:p>
          <w:p w14:paraId="1D9B6759" w14:textId="77777777" w:rsidR="00F35F82" w:rsidRDefault="005F6D26">
            <w:pPr>
              <w:spacing w:line="560" w:lineRule="exact"/>
              <w:ind w:firstLineChars="200" w:firstLine="480"/>
              <w:rPr>
                <w:rFonts w:ascii="宋体" w:hAnsi="宋体"/>
              </w:rPr>
            </w:pPr>
            <w:r>
              <w:rPr>
                <w:rFonts w:ascii="宋体" w:hAnsi="宋体" w:hint="eastAsia"/>
              </w:rPr>
              <w:t>答：一方面是</w:t>
            </w:r>
            <w:r>
              <w:rPr>
                <w:rFonts w:ascii="宋体" w:hAnsi="宋体"/>
              </w:rPr>
              <w:t>公司现在的产品体系、品类是国内半导体材料中相对较全的，产品从零级到三级封装材料全部覆盖</w:t>
            </w:r>
            <w:r>
              <w:rPr>
                <w:rFonts w:ascii="宋体" w:hAnsi="宋体" w:hint="eastAsia"/>
              </w:rPr>
              <w:t>，是国内比较稀缺的</w:t>
            </w:r>
            <w:r>
              <w:rPr>
                <w:rFonts w:ascii="宋体" w:hAnsi="宋体"/>
              </w:rPr>
              <w:t>能够拿</w:t>
            </w:r>
            <w:r>
              <w:rPr>
                <w:rFonts w:ascii="宋体" w:hAnsi="宋体" w:hint="eastAsia"/>
              </w:rPr>
              <w:t>出</w:t>
            </w:r>
            <w:r>
              <w:rPr>
                <w:rFonts w:ascii="宋体" w:hAnsi="宋体"/>
              </w:rPr>
              <w:t>全系列产品线</w:t>
            </w:r>
            <w:r>
              <w:rPr>
                <w:rFonts w:ascii="宋体" w:hAnsi="宋体" w:hint="eastAsia"/>
              </w:rPr>
              <w:t>的并</w:t>
            </w:r>
            <w:r>
              <w:rPr>
                <w:rFonts w:ascii="宋体" w:hAnsi="宋体" w:hint="eastAsia"/>
              </w:rPr>
              <w:lastRenderedPageBreak/>
              <w:t>且</w:t>
            </w:r>
            <w:r>
              <w:rPr>
                <w:rFonts w:ascii="宋体" w:hAnsi="宋体"/>
              </w:rPr>
              <w:t>能够产业化的</w:t>
            </w:r>
            <w:r>
              <w:rPr>
                <w:rFonts w:ascii="宋体" w:hAnsi="宋体" w:hint="eastAsia"/>
              </w:rPr>
              <w:t>半导体材料企业</w:t>
            </w:r>
            <w:r>
              <w:rPr>
                <w:rFonts w:ascii="宋体" w:hAnsi="宋体"/>
              </w:rPr>
              <w:t>。</w:t>
            </w:r>
            <w:r>
              <w:rPr>
                <w:rFonts w:ascii="宋体" w:hAnsi="宋体" w:hint="eastAsia"/>
              </w:rPr>
              <w:t>另一方面</w:t>
            </w:r>
            <w:r>
              <w:rPr>
                <w:rFonts w:ascii="宋体" w:hAnsi="宋体"/>
              </w:rPr>
              <w:t>是公司的产品在客户端积累了丰富的验证数据和应用经验，得到了客户的检验和认可，产品</w:t>
            </w:r>
            <w:r>
              <w:rPr>
                <w:rFonts w:ascii="宋体" w:hAnsi="宋体" w:hint="eastAsia"/>
              </w:rPr>
              <w:t>质量</w:t>
            </w:r>
            <w:r>
              <w:rPr>
                <w:rFonts w:ascii="宋体" w:hAnsi="宋体"/>
              </w:rPr>
              <w:t>具备了跟</w:t>
            </w:r>
            <w:r>
              <w:rPr>
                <w:rFonts w:ascii="宋体" w:hAnsi="宋体" w:hint="eastAsia"/>
              </w:rPr>
              <w:t>欧美</w:t>
            </w:r>
            <w:r>
              <w:rPr>
                <w:rFonts w:ascii="宋体" w:hAnsi="宋体"/>
              </w:rPr>
              <w:t>日韩等头部半导体材料</w:t>
            </w:r>
            <w:r>
              <w:rPr>
                <w:rFonts w:ascii="宋体" w:hAnsi="宋体" w:hint="eastAsia"/>
              </w:rPr>
              <w:t>的企业</w:t>
            </w:r>
            <w:r>
              <w:rPr>
                <w:rFonts w:ascii="宋体" w:hAnsi="宋体"/>
              </w:rPr>
              <w:t>竞争的能力。</w:t>
            </w:r>
          </w:p>
          <w:p w14:paraId="72C9F3F2" w14:textId="77777777" w:rsidR="00F35F82" w:rsidRDefault="00F35F82">
            <w:pPr>
              <w:spacing w:line="560" w:lineRule="exact"/>
              <w:rPr>
                <w:rFonts w:ascii="宋体" w:hAnsi="宋体"/>
                <w:szCs w:val="24"/>
              </w:rPr>
            </w:pPr>
          </w:p>
          <w:p w14:paraId="0A6BE76F" w14:textId="77777777" w:rsidR="00F35F82" w:rsidRDefault="005F6D26">
            <w:pPr>
              <w:spacing w:line="560" w:lineRule="exact"/>
              <w:ind w:firstLineChars="200" w:firstLine="482"/>
              <w:rPr>
                <w:b/>
                <w:bCs/>
              </w:rPr>
            </w:pPr>
            <w:r>
              <w:rPr>
                <w:rFonts w:hint="eastAsia"/>
                <w:b/>
                <w:bCs/>
              </w:rPr>
              <w:t>7</w:t>
            </w:r>
            <w:r>
              <w:rPr>
                <w:rFonts w:hint="eastAsia"/>
                <w:b/>
                <w:bCs/>
              </w:rPr>
              <w:t>、收购泰吉诺进展以及公司收购泰吉诺后热界面材料的整体业务结构？</w:t>
            </w:r>
          </w:p>
          <w:p w14:paraId="3FC56764" w14:textId="77777777" w:rsidR="00F35F82" w:rsidRDefault="005F6D26">
            <w:pPr>
              <w:spacing w:line="560" w:lineRule="exact"/>
              <w:ind w:firstLineChars="200" w:firstLine="480"/>
            </w:pPr>
            <w:r>
              <w:rPr>
                <w:rFonts w:hint="eastAsia"/>
              </w:rPr>
              <w:t>答：泰吉诺并表后，公司将拥有全资子公司深圳德邦界面和控股子公司泰吉诺两个以热界面材料为主营业务的经营主体，两个子公司在技术、客户、产能等方面协同效应明显，在终端应用领域方面存在一定的错位、互补。泰吉诺产品主要集中在</w:t>
            </w:r>
            <w:r>
              <w:rPr>
                <w:rFonts w:hint="eastAsia"/>
              </w:rPr>
              <w:t>AI</w:t>
            </w:r>
            <w:r>
              <w:rPr>
                <w:rFonts w:hint="eastAsia"/>
              </w:rPr>
              <w:t>领域，网络通讯、汽车电子、消费电子等领域也有批量出货；深圳德邦界面则是在汽车电子、网络通讯、消费电子领域具备明显优势，</w:t>
            </w:r>
            <w:r>
              <w:rPr>
                <w:rFonts w:hint="eastAsia"/>
              </w:rPr>
              <w:t>AI</w:t>
            </w:r>
            <w:r>
              <w:rPr>
                <w:rFonts w:hint="eastAsia"/>
              </w:rPr>
              <w:t>领域也有涉足。泰吉诺并表后，公司热界面材料业务更为全面的覆盖多个应用领域，完善了产品序列，能够满足客户更多的产品解决方案需求。后续两个业务主体将从研发、产品、市场等方面深度融合，持续巩固和强化在各业务领域的优势地位。</w:t>
            </w:r>
          </w:p>
          <w:p w14:paraId="5294FA42" w14:textId="77777777" w:rsidR="00F35F82" w:rsidRDefault="00F35F82">
            <w:pPr>
              <w:spacing w:line="560" w:lineRule="exact"/>
              <w:ind w:firstLineChars="200" w:firstLine="480"/>
            </w:pPr>
          </w:p>
          <w:p w14:paraId="70340DC3" w14:textId="77777777" w:rsidR="00F35F82" w:rsidRDefault="005F6D26">
            <w:pPr>
              <w:spacing w:line="560" w:lineRule="exact"/>
              <w:ind w:firstLineChars="200" w:firstLine="482"/>
              <w:rPr>
                <w:rFonts w:ascii="宋体" w:hAnsi="宋体"/>
                <w:b/>
                <w:bCs/>
                <w:szCs w:val="24"/>
              </w:rPr>
            </w:pPr>
            <w:r>
              <w:rPr>
                <w:rFonts w:ascii="宋体" w:hAnsi="宋体" w:hint="eastAsia"/>
                <w:b/>
                <w:bCs/>
                <w:szCs w:val="24"/>
              </w:rPr>
              <w:t>8、公司热界面材料在新能源汽车上的应用？</w:t>
            </w:r>
          </w:p>
          <w:p w14:paraId="0424F605" w14:textId="4BEB3BC6" w:rsidR="00F35F82" w:rsidRDefault="005F6D26">
            <w:pPr>
              <w:spacing w:line="560" w:lineRule="exact"/>
              <w:ind w:firstLineChars="200" w:firstLine="480"/>
              <w:rPr>
                <w:rFonts w:ascii="宋体" w:hAnsi="宋体"/>
                <w:szCs w:val="24"/>
              </w:rPr>
            </w:pPr>
            <w:r>
              <w:rPr>
                <w:rFonts w:ascii="宋体" w:hAnsi="宋体" w:hint="eastAsia"/>
                <w:szCs w:val="24"/>
              </w:rPr>
              <w:t>新能源汽车涵盖多个芯片、模组或控制单元，对热界面材料的需求量很大，根据发热程度不同对热界面材料均会有不同程度的需求。目前公司热界面材料已批量</w:t>
            </w:r>
            <w:r>
              <w:rPr>
                <w:rFonts w:ascii="宋体" w:hAnsi="宋体" w:hint="eastAsia"/>
                <w:szCs w:val="24"/>
              </w:rPr>
              <w:lastRenderedPageBreak/>
              <w:t>应</w:t>
            </w:r>
            <w:r w:rsidR="004057BF">
              <w:rPr>
                <w:rFonts w:ascii="宋体" w:hAnsi="宋体" w:hint="eastAsia"/>
                <w:szCs w:val="24"/>
              </w:rPr>
              <w:t>用</w:t>
            </w:r>
            <w:r>
              <w:rPr>
                <w:rFonts w:ascii="宋体" w:hAnsi="宋体" w:hint="eastAsia"/>
                <w:szCs w:val="24"/>
              </w:rPr>
              <w:t>于充电系统、电控系统、功率转换与控制系统、域控制系统、激光雷达、动力电池系统等，并在持续关注和开发新的应用点。</w:t>
            </w:r>
          </w:p>
          <w:p w14:paraId="491924B2" w14:textId="77777777" w:rsidR="00F35F82" w:rsidRDefault="00F35F82" w:rsidP="00501836">
            <w:pPr>
              <w:spacing w:line="560" w:lineRule="exact"/>
              <w:rPr>
                <w:rFonts w:ascii="宋体" w:hAnsi="宋体"/>
                <w:b/>
                <w:bCs/>
                <w:szCs w:val="24"/>
              </w:rPr>
            </w:pPr>
          </w:p>
        </w:tc>
      </w:tr>
      <w:tr w:rsidR="00F35F82" w14:paraId="3AC0B3EB" w14:textId="77777777">
        <w:trPr>
          <w:trHeight w:val="573"/>
        </w:trPr>
        <w:tc>
          <w:tcPr>
            <w:tcW w:w="2405" w:type="dxa"/>
            <w:vAlign w:val="center"/>
          </w:tcPr>
          <w:p w14:paraId="291DFC9A" w14:textId="77777777" w:rsidR="00F35F82" w:rsidRDefault="005F6D26">
            <w:pPr>
              <w:jc w:val="center"/>
              <w:rPr>
                <w:rFonts w:ascii="宋体" w:hAnsi="宋体"/>
                <w:b/>
                <w:bCs/>
                <w:szCs w:val="24"/>
              </w:rPr>
            </w:pPr>
            <w:r>
              <w:rPr>
                <w:rFonts w:ascii="宋体" w:hAnsi="宋体" w:hint="eastAsia"/>
                <w:b/>
                <w:bCs/>
                <w:szCs w:val="24"/>
              </w:rPr>
              <w:lastRenderedPageBreak/>
              <w:t>附件清单（如有）</w:t>
            </w:r>
          </w:p>
        </w:tc>
        <w:tc>
          <w:tcPr>
            <w:tcW w:w="5891" w:type="dxa"/>
            <w:vAlign w:val="center"/>
          </w:tcPr>
          <w:p w14:paraId="7E70718A" w14:textId="77777777" w:rsidR="00F35F82" w:rsidRDefault="005F6D26">
            <w:pPr>
              <w:jc w:val="left"/>
              <w:rPr>
                <w:rFonts w:ascii="宋体" w:hAnsi="宋体"/>
                <w:szCs w:val="24"/>
              </w:rPr>
            </w:pPr>
            <w:r>
              <w:rPr>
                <w:rFonts w:ascii="宋体" w:hAnsi="宋体"/>
                <w:szCs w:val="24"/>
              </w:rPr>
              <w:t>无</w:t>
            </w:r>
          </w:p>
        </w:tc>
      </w:tr>
    </w:tbl>
    <w:p w14:paraId="0DC310B8" w14:textId="77777777" w:rsidR="00F35F82" w:rsidRDefault="00F35F82">
      <w:pPr>
        <w:widowControl/>
        <w:spacing w:line="400" w:lineRule="exact"/>
        <w:jc w:val="left"/>
        <w:rPr>
          <w:rFonts w:ascii="宋体" w:hAnsi="宋体"/>
          <w:sz w:val="21"/>
          <w:szCs w:val="21"/>
        </w:rPr>
      </w:pPr>
    </w:p>
    <w:sectPr w:rsidR="00F35F82">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EF516" w14:textId="77777777" w:rsidR="008C6BDF" w:rsidRDefault="008C6BDF" w:rsidP="00193BF3">
      <w:r>
        <w:separator/>
      </w:r>
    </w:p>
  </w:endnote>
  <w:endnote w:type="continuationSeparator" w:id="0">
    <w:p w14:paraId="1FAA4FF8" w14:textId="77777777" w:rsidR="008C6BDF" w:rsidRDefault="008C6BDF" w:rsidP="00193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29FC3" w14:textId="77777777" w:rsidR="008C6BDF" w:rsidRDefault="008C6BDF" w:rsidP="00193BF3">
      <w:r>
        <w:separator/>
      </w:r>
    </w:p>
  </w:footnote>
  <w:footnote w:type="continuationSeparator" w:id="0">
    <w:p w14:paraId="0898B090" w14:textId="77777777" w:rsidR="008C6BDF" w:rsidRDefault="008C6BDF" w:rsidP="00193B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1NWFlMDEyZWY1YzZmMjQ5Njg3MTFmMTY5MDA4NjYifQ=="/>
    <w:docVar w:name="KSO_WPS_MARK_KEY" w:val="4bcddad4-8272-43c9-847c-4ef5bb2eeba4"/>
  </w:docVars>
  <w:rsids>
    <w:rsidRoot w:val="00DC5E46"/>
    <w:rsid w:val="0000245C"/>
    <w:rsid w:val="00003718"/>
    <w:rsid w:val="00004B20"/>
    <w:rsid w:val="00017DD1"/>
    <w:rsid w:val="0002014A"/>
    <w:rsid w:val="00030613"/>
    <w:rsid w:val="00030DE9"/>
    <w:rsid w:val="0003154F"/>
    <w:rsid w:val="00032633"/>
    <w:rsid w:val="000344FC"/>
    <w:rsid w:val="000415F4"/>
    <w:rsid w:val="00041C9D"/>
    <w:rsid w:val="00043E11"/>
    <w:rsid w:val="0004488A"/>
    <w:rsid w:val="000459A9"/>
    <w:rsid w:val="00045FED"/>
    <w:rsid w:val="00050C04"/>
    <w:rsid w:val="00056AB7"/>
    <w:rsid w:val="00061E98"/>
    <w:rsid w:val="00067427"/>
    <w:rsid w:val="000704AF"/>
    <w:rsid w:val="00070D2B"/>
    <w:rsid w:val="00080818"/>
    <w:rsid w:val="00084870"/>
    <w:rsid w:val="00092107"/>
    <w:rsid w:val="0009549F"/>
    <w:rsid w:val="000959D5"/>
    <w:rsid w:val="000A06AA"/>
    <w:rsid w:val="000A12C5"/>
    <w:rsid w:val="000A2DB5"/>
    <w:rsid w:val="000A5086"/>
    <w:rsid w:val="000A64A8"/>
    <w:rsid w:val="000A7269"/>
    <w:rsid w:val="000A7D63"/>
    <w:rsid w:val="000B1AEE"/>
    <w:rsid w:val="000B4324"/>
    <w:rsid w:val="000B59C8"/>
    <w:rsid w:val="000B61FC"/>
    <w:rsid w:val="000C53F3"/>
    <w:rsid w:val="000D2872"/>
    <w:rsid w:val="000E1009"/>
    <w:rsid w:val="000E4665"/>
    <w:rsid w:val="000E46ED"/>
    <w:rsid w:val="000E646E"/>
    <w:rsid w:val="000E7DED"/>
    <w:rsid w:val="000F3A30"/>
    <w:rsid w:val="000F4C75"/>
    <w:rsid w:val="00100005"/>
    <w:rsid w:val="0010080C"/>
    <w:rsid w:val="00104EC2"/>
    <w:rsid w:val="00111ED8"/>
    <w:rsid w:val="0011359B"/>
    <w:rsid w:val="00113D88"/>
    <w:rsid w:val="00115906"/>
    <w:rsid w:val="00122AAA"/>
    <w:rsid w:val="00122CA4"/>
    <w:rsid w:val="001259EE"/>
    <w:rsid w:val="001404DD"/>
    <w:rsid w:val="00140A1B"/>
    <w:rsid w:val="001445BF"/>
    <w:rsid w:val="00146FB8"/>
    <w:rsid w:val="00157C01"/>
    <w:rsid w:val="001600CB"/>
    <w:rsid w:val="001609E9"/>
    <w:rsid w:val="00163CA5"/>
    <w:rsid w:val="00167014"/>
    <w:rsid w:val="00171B17"/>
    <w:rsid w:val="001743F1"/>
    <w:rsid w:val="001800F7"/>
    <w:rsid w:val="00180D5D"/>
    <w:rsid w:val="00183228"/>
    <w:rsid w:val="001837A2"/>
    <w:rsid w:val="00184B9F"/>
    <w:rsid w:val="00185366"/>
    <w:rsid w:val="00193BF3"/>
    <w:rsid w:val="001956C4"/>
    <w:rsid w:val="0019725D"/>
    <w:rsid w:val="001A3E9F"/>
    <w:rsid w:val="001A6640"/>
    <w:rsid w:val="001A774A"/>
    <w:rsid w:val="001C3AD2"/>
    <w:rsid w:val="001C6F8A"/>
    <w:rsid w:val="001D04DD"/>
    <w:rsid w:val="001D2B9C"/>
    <w:rsid w:val="001D4053"/>
    <w:rsid w:val="001E1C23"/>
    <w:rsid w:val="001E1C6F"/>
    <w:rsid w:val="001E272A"/>
    <w:rsid w:val="001E3B67"/>
    <w:rsid w:val="001E42FC"/>
    <w:rsid w:val="001E50AD"/>
    <w:rsid w:val="001F00C9"/>
    <w:rsid w:val="001F0F88"/>
    <w:rsid w:val="001F4458"/>
    <w:rsid w:val="00200DAA"/>
    <w:rsid w:val="0020500F"/>
    <w:rsid w:val="0020687B"/>
    <w:rsid w:val="002075CC"/>
    <w:rsid w:val="00212C27"/>
    <w:rsid w:val="002143C9"/>
    <w:rsid w:val="00220308"/>
    <w:rsid w:val="00220B2F"/>
    <w:rsid w:val="00221449"/>
    <w:rsid w:val="00221631"/>
    <w:rsid w:val="00231D14"/>
    <w:rsid w:val="00236E2E"/>
    <w:rsid w:val="00237C2F"/>
    <w:rsid w:val="00246207"/>
    <w:rsid w:val="00247FB5"/>
    <w:rsid w:val="0025376E"/>
    <w:rsid w:val="00253A35"/>
    <w:rsid w:val="00254DA5"/>
    <w:rsid w:val="00260053"/>
    <w:rsid w:val="00264304"/>
    <w:rsid w:val="0026439C"/>
    <w:rsid w:val="00277AD7"/>
    <w:rsid w:val="00280FC0"/>
    <w:rsid w:val="0028324C"/>
    <w:rsid w:val="00283447"/>
    <w:rsid w:val="002A021D"/>
    <w:rsid w:val="002A3326"/>
    <w:rsid w:val="002B0BDB"/>
    <w:rsid w:val="002B3841"/>
    <w:rsid w:val="002B42E0"/>
    <w:rsid w:val="002B4498"/>
    <w:rsid w:val="002B7611"/>
    <w:rsid w:val="002B79CA"/>
    <w:rsid w:val="002C388F"/>
    <w:rsid w:val="002D3603"/>
    <w:rsid w:val="002D72FA"/>
    <w:rsid w:val="002E158E"/>
    <w:rsid w:val="002E5264"/>
    <w:rsid w:val="002E5293"/>
    <w:rsid w:val="002F32A8"/>
    <w:rsid w:val="002F5525"/>
    <w:rsid w:val="002F7163"/>
    <w:rsid w:val="003017AE"/>
    <w:rsid w:val="00303440"/>
    <w:rsid w:val="003040DB"/>
    <w:rsid w:val="00314871"/>
    <w:rsid w:val="00317F36"/>
    <w:rsid w:val="003206FD"/>
    <w:rsid w:val="00324C44"/>
    <w:rsid w:val="00326C79"/>
    <w:rsid w:val="00327BCE"/>
    <w:rsid w:val="00334055"/>
    <w:rsid w:val="0033761C"/>
    <w:rsid w:val="00337A19"/>
    <w:rsid w:val="003423B7"/>
    <w:rsid w:val="00362F55"/>
    <w:rsid w:val="0036572D"/>
    <w:rsid w:val="00370426"/>
    <w:rsid w:val="00372B09"/>
    <w:rsid w:val="003817FE"/>
    <w:rsid w:val="003837B4"/>
    <w:rsid w:val="00393F39"/>
    <w:rsid w:val="0039540B"/>
    <w:rsid w:val="003A09C2"/>
    <w:rsid w:val="003A3A46"/>
    <w:rsid w:val="003A6113"/>
    <w:rsid w:val="003A74F2"/>
    <w:rsid w:val="003B5598"/>
    <w:rsid w:val="003B7978"/>
    <w:rsid w:val="003C3B4D"/>
    <w:rsid w:val="003C3F99"/>
    <w:rsid w:val="003C53DB"/>
    <w:rsid w:val="003D1463"/>
    <w:rsid w:val="003E53CF"/>
    <w:rsid w:val="003E5D9C"/>
    <w:rsid w:val="003E610A"/>
    <w:rsid w:val="003E7569"/>
    <w:rsid w:val="003F11AD"/>
    <w:rsid w:val="003F12C8"/>
    <w:rsid w:val="003F1E65"/>
    <w:rsid w:val="003F3C92"/>
    <w:rsid w:val="003F489C"/>
    <w:rsid w:val="003F6FC4"/>
    <w:rsid w:val="00403E58"/>
    <w:rsid w:val="004046D1"/>
    <w:rsid w:val="004057BF"/>
    <w:rsid w:val="0040596A"/>
    <w:rsid w:val="00407C94"/>
    <w:rsid w:val="00412655"/>
    <w:rsid w:val="00427D88"/>
    <w:rsid w:val="00430DCC"/>
    <w:rsid w:val="00431E4C"/>
    <w:rsid w:val="00440078"/>
    <w:rsid w:val="00442451"/>
    <w:rsid w:val="0044314E"/>
    <w:rsid w:val="00451E2F"/>
    <w:rsid w:val="004538F4"/>
    <w:rsid w:val="00457653"/>
    <w:rsid w:val="0045786E"/>
    <w:rsid w:val="00461288"/>
    <w:rsid w:val="00461323"/>
    <w:rsid w:val="004638AF"/>
    <w:rsid w:val="00466861"/>
    <w:rsid w:val="00472EEE"/>
    <w:rsid w:val="004732F9"/>
    <w:rsid w:val="004754E9"/>
    <w:rsid w:val="00483884"/>
    <w:rsid w:val="00495DFF"/>
    <w:rsid w:val="004978E4"/>
    <w:rsid w:val="004A29B3"/>
    <w:rsid w:val="004B2265"/>
    <w:rsid w:val="004B2A3F"/>
    <w:rsid w:val="004B4383"/>
    <w:rsid w:val="004C2778"/>
    <w:rsid w:val="004C634C"/>
    <w:rsid w:val="004C6851"/>
    <w:rsid w:val="004C6F80"/>
    <w:rsid w:val="004C7238"/>
    <w:rsid w:val="004D665E"/>
    <w:rsid w:val="004E3F7E"/>
    <w:rsid w:val="004E408D"/>
    <w:rsid w:val="004E40CA"/>
    <w:rsid w:val="004E5866"/>
    <w:rsid w:val="004E72D6"/>
    <w:rsid w:val="004E7C20"/>
    <w:rsid w:val="0050092E"/>
    <w:rsid w:val="00500F5E"/>
    <w:rsid w:val="00501836"/>
    <w:rsid w:val="00501FA7"/>
    <w:rsid w:val="00510BB1"/>
    <w:rsid w:val="00511935"/>
    <w:rsid w:val="00513BB5"/>
    <w:rsid w:val="005146E3"/>
    <w:rsid w:val="00524BE4"/>
    <w:rsid w:val="00530A8D"/>
    <w:rsid w:val="00536442"/>
    <w:rsid w:val="005400CA"/>
    <w:rsid w:val="00541D8C"/>
    <w:rsid w:val="00543700"/>
    <w:rsid w:val="00544A15"/>
    <w:rsid w:val="005470B2"/>
    <w:rsid w:val="00552E06"/>
    <w:rsid w:val="00555A3F"/>
    <w:rsid w:val="00557D76"/>
    <w:rsid w:val="005673FA"/>
    <w:rsid w:val="005719B2"/>
    <w:rsid w:val="0057267D"/>
    <w:rsid w:val="00572766"/>
    <w:rsid w:val="00590BA6"/>
    <w:rsid w:val="005A2448"/>
    <w:rsid w:val="005A4140"/>
    <w:rsid w:val="005A6293"/>
    <w:rsid w:val="005A6B74"/>
    <w:rsid w:val="005B065D"/>
    <w:rsid w:val="005D05C3"/>
    <w:rsid w:val="005D117F"/>
    <w:rsid w:val="005D4012"/>
    <w:rsid w:val="005E2365"/>
    <w:rsid w:val="005F54BB"/>
    <w:rsid w:val="005F6B7E"/>
    <w:rsid w:val="005F6D26"/>
    <w:rsid w:val="006002AD"/>
    <w:rsid w:val="006043C4"/>
    <w:rsid w:val="0060633C"/>
    <w:rsid w:val="00606FF7"/>
    <w:rsid w:val="006076A7"/>
    <w:rsid w:val="00607EB3"/>
    <w:rsid w:val="00610BC3"/>
    <w:rsid w:val="0061702B"/>
    <w:rsid w:val="006237F6"/>
    <w:rsid w:val="006330C2"/>
    <w:rsid w:val="00650074"/>
    <w:rsid w:val="006507E7"/>
    <w:rsid w:val="0065282C"/>
    <w:rsid w:val="0065311E"/>
    <w:rsid w:val="0065397E"/>
    <w:rsid w:val="0066055E"/>
    <w:rsid w:val="00666080"/>
    <w:rsid w:val="00672825"/>
    <w:rsid w:val="00675A43"/>
    <w:rsid w:val="00680153"/>
    <w:rsid w:val="006806DF"/>
    <w:rsid w:val="00694B4A"/>
    <w:rsid w:val="006B1ED8"/>
    <w:rsid w:val="006B6D59"/>
    <w:rsid w:val="006D1F99"/>
    <w:rsid w:val="006D3624"/>
    <w:rsid w:val="006E5D09"/>
    <w:rsid w:val="006E62D9"/>
    <w:rsid w:val="006E72D5"/>
    <w:rsid w:val="006E7FC6"/>
    <w:rsid w:val="006F07B6"/>
    <w:rsid w:val="006F2DDF"/>
    <w:rsid w:val="00700618"/>
    <w:rsid w:val="007050EB"/>
    <w:rsid w:val="00705FFC"/>
    <w:rsid w:val="00707CA5"/>
    <w:rsid w:val="0071704A"/>
    <w:rsid w:val="00720173"/>
    <w:rsid w:val="00723D9F"/>
    <w:rsid w:val="007272CA"/>
    <w:rsid w:val="007338F3"/>
    <w:rsid w:val="00746099"/>
    <w:rsid w:val="00747DA6"/>
    <w:rsid w:val="00755204"/>
    <w:rsid w:val="00762A69"/>
    <w:rsid w:val="00765ABD"/>
    <w:rsid w:val="00773E29"/>
    <w:rsid w:val="007804CA"/>
    <w:rsid w:val="00780D8A"/>
    <w:rsid w:val="0078434B"/>
    <w:rsid w:val="007846B6"/>
    <w:rsid w:val="007856B2"/>
    <w:rsid w:val="00792AB7"/>
    <w:rsid w:val="007A05A2"/>
    <w:rsid w:val="007A151B"/>
    <w:rsid w:val="007A50F1"/>
    <w:rsid w:val="007A5737"/>
    <w:rsid w:val="007B1298"/>
    <w:rsid w:val="007B369A"/>
    <w:rsid w:val="007B3D2A"/>
    <w:rsid w:val="007C067E"/>
    <w:rsid w:val="007C4D3C"/>
    <w:rsid w:val="007C7562"/>
    <w:rsid w:val="007D04EE"/>
    <w:rsid w:val="007D2BC0"/>
    <w:rsid w:val="007D6811"/>
    <w:rsid w:val="007D69ED"/>
    <w:rsid w:val="007F03D8"/>
    <w:rsid w:val="007F0F7C"/>
    <w:rsid w:val="007F2945"/>
    <w:rsid w:val="007F3B4C"/>
    <w:rsid w:val="007F6A1C"/>
    <w:rsid w:val="00804E05"/>
    <w:rsid w:val="00807C02"/>
    <w:rsid w:val="00810BF8"/>
    <w:rsid w:val="00815C24"/>
    <w:rsid w:val="00816335"/>
    <w:rsid w:val="00816AF5"/>
    <w:rsid w:val="00821BFA"/>
    <w:rsid w:val="00821EB6"/>
    <w:rsid w:val="008245AC"/>
    <w:rsid w:val="00825E3C"/>
    <w:rsid w:val="00833E29"/>
    <w:rsid w:val="00836733"/>
    <w:rsid w:val="00840D62"/>
    <w:rsid w:val="008429FC"/>
    <w:rsid w:val="0084424D"/>
    <w:rsid w:val="008461E8"/>
    <w:rsid w:val="008479DD"/>
    <w:rsid w:val="00853EBC"/>
    <w:rsid w:val="0085572C"/>
    <w:rsid w:val="00864DF3"/>
    <w:rsid w:val="0087625E"/>
    <w:rsid w:val="008764D9"/>
    <w:rsid w:val="00880942"/>
    <w:rsid w:val="0088594A"/>
    <w:rsid w:val="00885F37"/>
    <w:rsid w:val="00887109"/>
    <w:rsid w:val="00887B93"/>
    <w:rsid w:val="00890DE9"/>
    <w:rsid w:val="00893D52"/>
    <w:rsid w:val="0089783D"/>
    <w:rsid w:val="008A4E65"/>
    <w:rsid w:val="008B754C"/>
    <w:rsid w:val="008C3DFE"/>
    <w:rsid w:val="008C4831"/>
    <w:rsid w:val="008C6BDF"/>
    <w:rsid w:val="008C76CF"/>
    <w:rsid w:val="008D0588"/>
    <w:rsid w:val="008D1E97"/>
    <w:rsid w:val="008D2530"/>
    <w:rsid w:val="008E3D93"/>
    <w:rsid w:val="008E50D5"/>
    <w:rsid w:val="008E6760"/>
    <w:rsid w:val="008F0737"/>
    <w:rsid w:val="008F3119"/>
    <w:rsid w:val="008F3E89"/>
    <w:rsid w:val="008F5F0B"/>
    <w:rsid w:val="0090553B"/>
    <w:rsid w:val="00905A85"/>
    <w:rsid w:val="009121C4"/>
    <w:rsid w:val="00915D33"/>
    <w:rsid w:val="0091640A"/>
    <w:rsid w:val="009178B8"/>
    <w:rsid w:val="00920B5D"/>
    <w:rsid w:val="00922283"/>
    <w:rsid w:val="009232D8"/>
    <w:rsid w:val="00924C3F"/>
    <w:rsid w:val="0094154D"/>
    <w:rsid w:val="00943F9D"/>
    <w:rsid w:val="00951801"/>
    <w:rsid w:val="00951DDE"/>
    <w:rsid w:val="009565A2"/>
    <w:rsid w:val="00956BE1"/>
    <w:rsid w:val="00961F4F"/>
    <w:rsid w:val="00970B27"/>
    <w:rsid w:val="00972096"/>
    <w:rsid w:val="00976FA4"/>
    <w:rsid w:val="00980FB2"/>
    <w:rsid w:val="0098123D"/>
    <w:rsid w:val="00993B7E"/>
    <w:rsid w:val="009A041B"/>
    <w:rsid w:val="009A5352"/>
    <w:rsid w:val="009B4447"/>
    <w:rsid w:val="009B51C4"/>
    <w:rsid w:val="009B7399"/>
    <w:rsid w:val="009D458C"/>
    <w:rsid w:val="009D4652"/>
    <w:rsid w:val="009D6930"/>
    <w:rsid w:val="009D7279"/>
    <w:rsid w:val="009E1E52"/>
    <w:rsid w:val="009E68FD"/>
    <w:rsid w:val="009E6B11"/>
    <w:rsid w:val="009F2D89"/>
    <w:rsid w:val="009F4679"/>
    <w:rsid w:val="009F59D8"/>
    <w:rsid w:val="009F6092"/>
    <w:rsid w:val="00A019D7"/>
    <w:rsid w:val="00A030B7"/>
    <w:rsid w:val="00A05635"/>
    <w:rsid w:val="00A13A60"/>
    <w:rsid w:val="00A25D3E"/>
    <w:rsid w:val="00A300B7"/>
    <w:rsid w:val="00A310DC"/>
    <w:rsid w:val="00A341BA"/>
    <w:rsid w:val="00A3617D"/>
    <w:rsid w:val="00A37212"/>
    <w:rsid w:val="00A40315"/>
    <w:rsid w:val="00A47E1A"/>
    <w:rsid w:val="00A54A9D"/>
    <w:rsid w:val="00A57011"/>
    <w:rsid w:val="00A57F89"/>
    <w:rsid w:val="00A61967"/>
    <w:rsid w:val="00A61C4B"/>
    <w:rsid w:val="00A650D4"/>
    <w:rsid w:val="00A6696C"/>
    <w:rsid w:val="00A75D00"/>
    <w:rsid w:val="00A77C57"/>
    <w:rsid w:val="00A967D7"/>
    <w:rsid w:val="00A96FBF"/>
    <w:rsid w:val="00A97470"/>
    <w:rsid w:val="00AA397C"/>
    <w:rsid w:val="00AB2F1C"/>
    <w:rsid w:val="00AB7F58"/>
    <w:rsid w:val="00AC0650"/>
    <w:rsid w:val="00AC30A9"/>
    <w:rsid w:val="00AC7BCF"/>
    <w:rsid w:val="00AD0A02"/>
    <w:rsid w:val="00AD1C44"/>
    <w:rsid w:val="00AD2DA6"/>
    <w:rsid w:val="00AD5AE6"/>
    <w:rsid w:val="00AE1F47"/>
    <w:rsid w:val="00AE55B7"/>
    <w:rsid w:val="00AF6290"/>
    <w:rsid w:val="00B048C0"/>
    <w:rsid w:val="00B06539"/>
    <w:rsid w:val="00B06729"/>
    <w:rsid w:val="00B0759F"/>
    <w:rsid w:val="00B1056C"/>
    <w:rsid w:val="00B11CAB"/>
    <w:rsid w:val="00B17112"/>
    <w:rsid w:val="00B26C72"/>
    <w:rsid w:val="00B32CC5"/>
    <w:rsid w:val="00B37FBC"/>
    <w:rsid w:val="00B448AC"/>
    <w:rsid w:val="00B525B3"/>
    <w:rsid w:val="00B52BCB"/>
    <w:rsid w:val="00B538BF"/>
    <w:rsid w:val="00B53939"/>
    <w:rsid w:val="00B57F52"/>
    <w:rsid w:val="00B67695"/>
    <w:rsid w:val="00B71EE6"/>
    <w:rsid w:val="00B726B4"/>
    <w:rsid w:val="00B7490A"/>
    <w:rsid w:val="00B85999"/>
    <w:rsid w:val="00B91897"/>
    <w:rsid w:val="00B92BAA"/>
    <w:rsid w:val="00B948CE"/>
    <w:rsid w:val="00B961B2"/>
    <w:rsid w:val="00BA17B7"/>
    <w:rsid w:val="00BA203C"/>
    <w:rsid w:val="00BA2215"/>
    <w:rsid w:val="00BA392A"/>
    <w:rsid w:val="00BA50A3"/>
    <w:rsid w:val="00BB0FFA"/>
    <w:rsid w:val="00BB30D9"/>
    <w:rsid w:val="00BB5044"/>
    <w:rsid w:val="00BB6B73"/>
    <w:rsid w:val="00BC0C3C"/>
    <w:rsid w:val="00BC2A97"/>
    <w:rsid w:val="00BD218F"/>
    <w:rsid w:val="00BD225E"/>
    <w:rsid w:val="00BD7448"/>
    <w:rsid w:val="00BE7616"/>
    <w:rsid w:val="00C00D3C"/>
    <w:rsid w:val="00C023C4"/>
    <w:rsid w:val="00C04CCE"/>
    <w:rsid w:val="00C069A8"/>
    <w:rsid w:val="00C11531"/>
    <w:rsid w:val="00C20410"/>
    <w:rsid w:val="00C23E7D"/>
    <w:rsid w:val="00C32016"/>
    <w:rsid w:val="00C36365"/>
    <w:rsid w:val="00C365F3"/>
    <w:rsid w:val="00C44FD4"/>
    <w:rsid w:val="00C4557F"/>
    <w:rsid w:val="00C47246"/>
    <w:rsid w:val="00C56B9B"/>
    <w:rsid w:val="00C70612"/>
    <w:rsid w:val="00C74459"/>
    <w:rsid w:val="00C776DB"/>
    <w:rsid w:val="00C77D1C"/>
    <w:rsid w:val="00C836BA"/>
    <w:rsid w:val="00C84E57"/>
    <w:rsid w:val="00C86907"/>
    <w:rsid w:val="00C939B5"/>
    <w:rsid w:val="00C93A84"/>
    <w:rsid w:val="00C949BC"/>
    <w:rsid w:val="00CA5473"/>
    <w:rsid w:val="00CB0968"/>
    <w:rsid w:val="00CB3593"/>
    <w:rsid w:val="00CB77BD"/>
    <w:rsid w:val="00CD45D6"/>
    <w:rsid w:val="00CD520E"/>
    <w:rsid w:val="00CE3A4A"/>
    <w:rsid w:val="00CE7464"/>
    <w:rsid w:val="00CF1FC3"/>
    <w:rsid w:val="00CF34C2"/>
    <w:rsid w:val="00CF36F6"/>
    <w:rsid w:val="00CF52F5"/>
    <w:rsid w:val="00CF630C"/>
    <w:rsid w:val="00D06D92"/>
    <w:rsid w:val="00D0795C"/>
    <w:rsid w:val="00D1166B"/>
    <w:rsid w:val="00D37301"/>
    <w:rsid w:val="00D45316"/>
    <w:rsid w:val="00D46D99"/>
    <w:rsid w:val="00D47C2C"/>
    <w:rsid w:val="00D550AF"/>
    <w:rsid w:val="00D5719E"/>
    <w:rsid w:val="00D60FAC"/>
    <w:rsid w:val="00D62C6C"/>
    <w:rsid w:val="00D7236D"/>
    <w:rsid w:val="00D735A7"/>
    <w:rsid w:val="00D85ACF"/>
    <w:rsid w:val="00D86718"/>
    <w:rsid w:val="00D92D8C"/>
    <w:rsid w:val="00D94276"/>
    <w:rsid w:val="00D94377"/>
    <w:rsid w:val="00DA105B"/>
    <w:rsid w:val="00DA4BC3"/>
    <w:rsid w:val="00DB1118"/>
    <w:rsid w:val="00DB18E5"/>
    <w:rsid w:val="00DB1E4C"/>
    <w:rsid w:val="00DB61B8"/>
    <w:rsid w:val="00DB722B"/>
    <w:rsid w:val="00DB75D6"/>
    <w:rsid w:val="00DC0644"/>
    <w:rsid w:val="00DC2492"/>
    <w:rsid w:val="00DC3D6F"/>
    <w:rsid w:val="00DC4DE2"/>
    <w:rsid w:val="00DC4F83"/>
    <w:rsid w:val="00DC5E46"/>
    <w:rsid w:val="00DC7554"/>
    <w:rsid w:val="00DD341F"/>
    <w:rsid w:val="00DD40ED"/>
    <w:rsid w:val="00DD6319"/>
    <w:rsid w:val="00DD6CF1"/>
    <w:rsid w:val="00DE03D2"/>
    <w:rsid w:val="00DE0C5C"/>
    <w:rsid w:val="00DE661B"/>
    <w:rsid w:val="00DE6D51"/>
    <w:rsid w:val="00DF1A4A"/>
    <w:rsid w:val="00E02B40"/>
    <w:rsid w:val="00E11069"/>
    <w:rsid w:val="00E2026D"/>
    <w:rsid w:val="00E21205"/>
    <w:rsid w:val="00E24839"/>
    <w:rsid w:val="00E4612B"/>
    <w:rsid w:val="00E50D30"/>
    <w:rsid w:val="00E52781"/>
    <w:rsid w:val="00E60EDC"/>
    <w:rsid w:val="00E64F59"/>
    <w:rsid w:val="00E6658D"/>
    <w:rsid w:val="00E74D0A"/>
    <w:rsid w:val="00E87EFF"/>
    <w:rsid w:val="00E9000F"/>
    <w:rsid w:val="00E9322E"/>
    <w:rsid w:val="00E974BA"/>
    <w:rsid w:val="00E97BE6"/>
    <w:rsid w:val="00EA1995"/>
    <w:rsid w:val="00EB4E5E"/>
    <w:rsid w:val="00EC4054"/>
    <w:rsid w:val="00ED398C"/>
    <w:rsid w:val="00EE580C"/>
    <w:rsid w:val="00EE77FC"/>
    <w:rsid w:val="00EF05D2"/>
    <w:rsid w:val="00EF1FB2"/>
    <w:rsid w:val="00F05EA7"/>
    <w:rsid w:val="00F065A0"/>
    <w:rsid w:val="00F069D4"/>
    <w:rsid w:val="00F12EE3"/>
    <w:rsid w:val="00F1602C"/>
    <w:rsid w:val="00F175D5"/>
    <w:rsid w:val="00F21084"/>
    <w:rsid w:val="00F21DD1"/>
    <w:rsid w:val="00F35F82"/>
    <w:rsid w:val="00F44795"/>
    <w:rsid w:val="00F50D2D"/>
    <w:rsid w:val="00F52347"/>
    <w:rsid w:val="00F55F1C"/>
    <w:rsid w:val="00F56FC4"/>
    <w:rsid w:val="00F70319"/>
    <w:rsid w:val="00F70DF1"/>
    <w:rsid w:val="00F70F30"/>
    <w:rsid w:val="00F72D1C"/>
    <w:rsid w:val="00F77606"/>
    <w:rsid w:val="00F9128E"/>
    <w:rsid w:val="00F94FC4"/>
    <w:rsid w:val="00F97D3A"/>
    <w:rsid w:val="00FA3B83"/>
    <w:rsid w:val="00FA5CD0"/>
    <w:rsid w:val="00FB383B"/>
    <w:rsid w:val="00FC1F32"/>
    <w:rsid w:val="00FC7A5F"/>
    <w:rsid w:val="00FD0551"/>
    <w:rsid w:val="00FD107F"/>
    <w:rsid w:val="00FD6D21"/>
    <w:rsid w:val="00FE55E5"/>
    <w:rsid w:val="00FE6929"/>
    <w:rsid w:val="00FF13E7"/>
    <w:rsid w:val="00FF2283"/>
    <w:rsid w:val="06671992"/>
    <w:rsid w:val="0CE8796D"/>
    <w:rsid w:val="1DD7559C"/>
    <w:rsid w:val="24B823FD"/>
    <w:rsid w:val="2EC97183"/>
    <w:rsid w:val="31CD2FAD"/>
    <w:rsid w:val="4EAE39E9"/>
    <w:rsid w:val="5274616E"/>
    <w:rsid w:val="68CA77A4"/>
    <w:rsid w:val="69FD356C"/>
    <w:rsid w:val="6DA46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CC2494-A6C8-41A5-94D8-E4C9A25F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Cs w:val="24"/>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
    <w:name w:val="批注框文本 Char"/>
    <w:basedOn w:val="a0"/>
    <w:link w:val="a3"/>
    <w:uiPriority w:val="99"/>
    <w:semiHidden/>
    <w:qFormat/>
    <w:rPr>
      <w:rFonts w:ascii="Times New Roman" w:eastAsia="宋体" w:hAnsi="Times New Roman"/>
      <w:sz w:val="18"/>
      <w:szCs w:val="18"/>
    </w:rPr>
  </w:style>
  <w:style w:type="character" w:customStyle="1" w:styleId="Char1">
    <w:name w:val="页眉 Char"/>
    <w:basedOn w:val="a0"/>
    <w:link w:val="a5"/>
    <w:uiPriority w:val="99"/>
    <w:qFormat/>
    <w:rPr>
      <w:rFonts w:ascii="Times New Roman" w:eastAsia="宋体" w:hAnsi="Times New Roman"/>
      <w:sz w:val="18"/>
      <w:szCs w:val="18"/>
    </w:rPr>
  </w:style>
  <w:style w:type="character" w:customStyle="1" w:styleId="Char0">
    <w:name w:val="页脚 Char"/>
    <w:basedOn w:val="a0"/>
    <w:link w:val="a4"/>
    <w:uiPriority w:val="99"/>
    <w:qFormat/>
    <w:rPr>
      <w:rFonts w:ascii="Times New Roman" w:eastAsia="宋体" w:hAnsi="Times New Roman"/>
      <w:sz w:val="18"/>
      <w:szCs w:val="18"/>
    </w:rPr>
  </w:style>
  <w:style w:type="paragraph" w:styleId="a9">
    <w:name w:val="List Paragraph"/>
    <w:basedOn w:val="a"/>
    <w:uiPriority w:val="34"/>
    <w:qFormat/>
    <w:pPr>
      <w:ind w:firstLineChars="200" w:firstLine="420"/>
    </w:pPr>
    <w:rPr>
      <w:rFonts w:asciiTheme="minorHAnsi" w:eastAsiaTheme="minorEastAsia" w:hAnsiTheme="minorHAnsi"/>
      <w:sz w:val="21"/>
    </w:rPr>
  </w:style>
  <w:style w:type="character" w:customStyle="1" w:styleId="insert-data">
    <w:name w:val="insert-data"/>
    <w:basedOn w:val="a0"/>
    <w:qFormat/>
  </w:style>
  <w:style w:type="paragraph" w:styleId="aa">
    <w:name w:val="No Spacing"/>
    <w:uiPriority w:val="1"/>
    <w:qFormat/>
    <w:pPr>
      <w:widowControl w:val="0"/>
      <w:jc w:val="both"/>
    </w:pPr>
    <w:rPr>
      <w:kern w:val="2"/>
      <w:sz w:val="21"/>
      <w:szCs w:val="22"/>
    </w:rPr>
  </w:style>
  <w:style w:type="paragraph" w:customStyle="1" w:styleId="1">
    <w:name w:val="修订1"/>
    <w:hidden/>
    <w:uiPriority w:val="99"/>
    <w:semiHidden/>
    <w:qFormat/>
    <w:rPr>
      <w:rFonts w:ascii="Times New Roman" w:eastAsia="宋体" w:hAnsi="Times New Roman"/>
      <w:kern w:val="2"/>
      <w:sz w:val="24"/>
      <w:szCs w:val="22"/>
    </w:rPr>
  </w:style>
  <w:style w:type="paragraph" w:customStyle="1" w:styleId="2">
    <w:name w:val="修订2"/>
    <w:hidden/>
    <w:uiPriority w:val="99"/>
    <w:semiHidden/>
    <w:qFormat/>
    <w:rPr>
      <w:rFonts w:ascii="Times New Roman" w:eastAsia="宋体" w:hAnsi="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1D9FF-045F-4818-8204-E09F5A7D3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400</Words>
  <Characters>2282</Characters>
  <Application>Microsoft Office Word</Application>
  <DocSecurity>0</DocSecurity>
  <Lines>19</Lines>
  <Paragraphs>5</Paragraphs>
  <ScaleCrop>false</ScaleCrop>
  <Company>P R C</Company>
  <LinksUpToDate>false</LinksUpToDate>
  <CharactersWithSpaces>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孙红美</cp:lastModifiedBy>
  <cp:revision>74</cp:revision>
  <dcterms:created xsi:type="dcterms:W3CDTF">2024-05-11T08:56:00Z</dcterms:created>
  <dcterms:modified xsi:type="dcterms:W3CDTF">2025-02-25T05:10:00Z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963EE434D45A490388E826F19BD41714_13</vt:lpwstr>
  </property>
  <property fmtid="{D5CDD505-2E9C-101B-9397-08002B2CF9AE}" pid="4" name="KSOTemplateDocerSaveRecord">
    <vt:lpwstr>eyJoZGlkIjoiMDU1NWFlMDEyZWY1YzZmMjQ5Njg3MTFmMTY5MDA4NjYiLCJ1c2VySWQiOiI0MjY0MTI2MDgifQ==</vt:lpwstr>
  </property>
</Properties>
</file>