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lang w:val="en-US" w:eastAsia="zh-CN"/>
              </w:rPr>
              <w:t>路演活动</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sym w:font="Wingdings 2" w:char="0052"/>
            </w:r>
            <w:r>
              <w:rPr>
                <w:rFonts w:hint="eastAsia" w:ascii="Times New Roman" w:hAnsi="Times New Roman" w:eastAsia="宋体"/>
                <w:sz w:val="24"/>
                <w:szCs w:val="24"/>
                <w:lang w:val="en-US" w:eastAsia="zh-CN"/>
              </w:rPr>
              <w:t>其他</w:t>
            </w:r>
            <w:r>
              <w:rPr>
                <w:rFonts w:hint="eastAsia"/>
                <w:sz w:val="24"/>
                <w:szCs w:val="24"/>
                <w:lang w:val="en-US" w:eastAsia="zh-CN"/>
              </w:rPr>
              <w:t xml:space="preserve"> 电话会议</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color w:val="000000"/>
                <w:sz w:val="24"/>
                <w:szCs w:val="24"/>
                <w:lang w:val="en-US" w:eastAsia="zh-CN"/>
              </w:rPr>
              <w:t>194</w:t>
            </w:r>
            <w:r>
              <w:rPr>
                <w:rFonts w:hint="eastAsia" w:ascii="Times New Roman" w:hAnsi="Times New Roman" w:eastAsia="宋体"/>
                <w:color w:val="000000"/>
                <w:sz w:val="24"/>
                <w:szCs w:val="24"/>
              </w:rPr>
              <w:t>家机构</w:t>
            </w:r>
            <w:r>
              <w:rPr>
                <w:rFonts w:hint="eastAsia"/>
                <w:color w:val="000000"/>
                <w:sz w:val="24"/>
                <w:szCs w:val="24"/>
                <w:lang w:val="en-US" w:eastAsia="zh-CN"/>
              </w:rPr>
              <w:t>272</w:t>
            </w:r>
            <w:r>
              <w:rPr>
                <w:rFonts w:hint="eastAsia" w:ascii="Times New Roman" w:hAnsi="Times New Roman" w:eastAsia="宋体"/>
                <w:color w:val="000000"/>
                <w:sz w:val="24"/>
                <w:szCs w:val="24"/>
              </w:rPr>
              <w:t>人次</w:t>
            </w:r>
            <w:r>
              <w:rPr>
                <w:rFonts w:hint="eastAsia" w:ascii="Times New Roman" w:hAnsi="Times New Roman" w:eastAsia="宋体"/>
                <w:sz w:val="24"/>
                <w:szCs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ascii="Times New Roman" w:hAnsi="Times New Roman" w:eastAsia="宋体"/>
                <w:sz w:val="24"/>
                <w:szCs w:val="24"/>
              </w:rPr>
            </w:pPr>
            <w:r>
              <w:rPr>
                <w:rFonts w:hint="eastAsia" w:ascii="Times New Roman" w:hAnsi="Times New Roman" w:eastAsia="宋体"/>
                <w:sz w:val="24"/>
                <w:szCs w:val="24"/>
              </w:rPr>
              <w:t>202</w:t>
            </w:r>
            <w:r>
              <w:rPr>
                <w:rFonts w:hint="eastAsia"/>
                <w:sz w:val="24"/>
                <w:szCs w:val="24"/>
                <w:lang w:val="en-US" w:eastAsia="zh-CN"/>
              </w:rPr>
              <w:t>5</w:t>
            </w:r>
            <w:r>
              <w:rPr>
                <w:rFonts w:hint="eastAsia" w:ascii="Times New Roman" w:hAnsi="Times New Roman" w:eastAsia="宋体"/>
                <w:sz w:val="24"/>
                <w:szCs w:val="24"/>
              </w:rPr>
              <w:t>年</w:t>
            </w:r>
            <w:r>
              <w:rPr>
                <w:rFonts w:hint="eastAsia"/>
                <w:sz w:val="24"/>
                <w:szCs w:val="24"/>
                <w:lang w:val="en-US" w:eastAsia="zh-CN"/>
              </w:rPr>
              <w:t>2</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sz w:val="24"/>
                <w:szCs w:val="24"/>
                <w:lang w:val="en-US" w:eastAsia="zh-CN"/>
              </w:rPr>
              <w:t>6</w:t>
            </w:r>
            <w:r>
              <w:rPr>
                <w:rFonts w:ascii="Times New Roman" w:hAnsi="Times New Roman"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传音控股  董事会秘书        </w:t>
            </w:r>
            <w:r>
              <w:rPr>
                <w:rFonts w:hint="eastAsia"/>
                <w:sz w:val="24"/>
                <w:szCs w:val="24"/>
                <w:lang w:val="en-US" w:eastAsia="zh-CN"/>
              </w:rPr>
              <w:t xml:space="preserve"> </w:t>
            </w:r>
            <w:r>
              <w:rPr>
                <w:rFonts w:hint="eastAsia" w:ascii="Times New Roman" w:hAnsi="Times New Roman" w:eastAsia="宋体"/>
                <w:sz w:val="24"/>
                <w:szCs w:val="24"/>
                <w:lang w:val="en-US" w:eastAsia="zh-CN"/>
              </w:rPr>
              <w:t>曾春</w:t>
            </w:r>
          </w:p>
          <w:p>
            <w:pPr>
              <w:adjustRightInd w:val="0"/>
              <w:spacing w:line="360" w:lineRule="auto"/>
              <w:contextualSpacing/>
              <w:rPr>
                <w:rFonts w:hint="default"/>
                <w:sz w:val="24"/>
                <w:szCs w:val="24"/>
                <w:lang w:val="en-US" w:eastAsia="zh-CN"/>
              </w:rPr>
            </w:pPr>
            <w:r>
              <w:rPr>
                <w:rFonts w:hint="eastAsia" w:ascii="Times New Roman" w:hAnsi="Times New Roman" w:eastAsia="宋体"/>
                <w:sz w:val="24"/>
                <w:szCs w:val="24"/>
              </w:rPr>
              <w:t xml:space="preserve">传音控股  投资者关系总监    </w:t>
            </w:r>
            <w:r>
              <w:rPr>
                <w:rFonts w:hint="eastAsia"/>
                <w:sz w:val="24"/>
                <w:szCs w:val="24"/>
                <w:lang w:val="en-US" w:eastAsia="zh-CN"/>
              </w:rPr>
              <w:t xml:space="preserve"> </w:t>
            </w:r>
            <w:r>
              <w:rPr>
                <w:rFonts w:hint="eastAsia" w:ascii="Times New Roman" w:hAnsi="Times New Roman" w:eastAsia="宋体"/>
                <w:sz w:val="24"/>
                <w:szCs w:val="24"/>
              </w:rPr>
              <w:t>梓轩</w:t>
            </w:r>
          </w:p>
          <w:p>
            <w:pPr>
              <w:adjustRightInd w:val="0"/>
              <w:spacing w:line="360" w:lineRule="auto"/>
              <w:contextualSpacing/>
              <w:rPr>
                <w:rFonts w:hint="eastAsia" w:ascii="Times New Roman" w:hAnsi="Times New Roman" w:eastAsia="宋体"/>
                <w:sz w:val="24"/>
                <w:szCs w:val="24"/>
              </w:rPr>
            </w:pPr>
            <w:r>
              <w:rPr>
                <w:rFonts w:hint="eastAsia" w:ascii="Times New Roman" w:hAnsi="Times New Roman" w:eastAsia="宋体"/>
                <w:sz w:val="24"/>
                <w:szCs w:val="24"/>
              </w:rPr>
              <w:t xml:space="preserve">传音控股  投资者关系经理   </w:t>
            </w:r>
            <w:r>
              <w:rPr>
                <w:rFonts w:hint="eastAsia"/>
                <w:sz w:val="24"/>
                <w:szCs w:val="24"/>
                <w:lang w:val="en-US" w:eastAsia="zh-CN"/>
              </w:rPr>
              <w:t xml:space="preserve"> </w:t>
            </w:r>
            <w:r>
              <w:rPr>
                <w:rFonts w:hint="eastAsia" w:ascii="Times New Roman" w:hAnsi="Times New Roman" w:eastAsia="宋体"/>
                <w:sz w:val="24"/>
                <w:szCs w:val="24"/>
              </w:rPr>
              <w:t xml:space="preserve"> 江凤玲</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lang w:val="en-US" w:eastAsia="zh-CN"/>
              </w:rPr>
              <w:t>传音控股  投资者关系</w:t>
            </w:r>
            <w:r>
              <w:rPr>
                <w:rFonts w:hint="eastAsia"/>
                <w:sz w:val="24"/>
                <w:szCs w:val="24"/>
                <w:lang w:val="en-US" w:eastAsia="zh-CN"/>
              </w:rPr>
              <w:t>主管</w:t>
            </w:r>
            <w:r>
              <w:rPr>
                <w:rFonts w:hint="eastAsia" w:ascii="Times New Roman" w:hAnsi="Times New Roman" w:eastAsia="宋体"/>
                <w:sz w:val="24"/>
                <w:szCs w:val="24"/>
                <w:lang w:val="en-US" w:eastAsia="zh-CN"/>
              </w:rPr>
              <w:t xml:space="preserve">   </w:t>
            </w:r>
            <w:r>
              <w:rPr>
                <w:rFonts w:hint="eastAsia"/>
                <w:sz w:val="24"/>
                <w:szCs w:val="24"/>
                <w:lang w:val="en-US" w:eastAsia="zh-CN"/>
              </w:rPr>
              <w:t xml:space="preserve">  吕天赐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numPr>
                <w:ilvl w:val="0"/>
                <w:numId w:val="1"/>
              </w:numPr>
              <w:spacing w:line="360" w:lineRule="auto"/>
              <w:ind w:firstLine="482" w:firstLineChars="200"/>
              <w:rPr>
                <w:rFonts w:hint="eastAsia" w:ascii="Times New Roman" w:hAnsi="Times New Roman" w:eastAsia="宋体"/>
                <w:b/>
                <w:bCs/>
                <w:sz w:val="24"/>
                <w:szCs w:val="24"/>
              </w:rPr>
            </w:pPr>
            <w:r>
              <w:rPr>
                <w:rFonts w:hint="eastAsia"/>
                <w:b/>
                <w:bCs/>
                <w:sz w:val="24"/>
                <w:szCs w:val="24"/>
                <w:lang w:val="en-US" w:eastAsia="zh-CN"/>
              </w:rPr>
              <w:t>请简要介绍公司2024年业绩情况？</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回答：根据业绩快报，2024年公司实现营收约687.43亿元，同比增加约10.35%。归母净利润约55.90亿元，同比增加约0.96%。扣非归母净利润约46.09亿元，同比下降约10.21%。</w:t>
            </w:r>
          </w:p>
          <w:p>
            <w:pPr>
              <w:rPr>
                <w:rFonts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rPr>
              <w:t>如何展望原材料成本</w:t>
            </w:r>
            <w:r>
              <w:rPr>
                <w:rFonts w:hint="eastAsia"/>
                <w:b/>
                <w:bCs/>
                <w:sz w:val="24"/>
                <w:szCs w:val="24"/>
                <w:lang w:val="en-US" w:eastAsia="zh-CN"/>
              </w:rPr>
              <w:t>变动</w:t>
            </w:r>
            <w:r>
              <w:rPr>
                <w:rFonts w:hint="eastAsia" w:ascii="Times New Roman" w:hAnsi="Times New Roman" w:eastAsia="宋体"/>
                <w:b/>
                <w:bCs/>
                <w:sz w:val="24"/>
                <w:szCs w:val="24"/>
              </w:rPr>
              <w:t>对</w:t>
            </w:r>
            <w:r>
              <w:rPr>
                <w:rFonts w:hint="eastAsia"/>
                <w:b/>
                <w:bCs/>
                <w:sz w:val="24"/>
                <w:szCs w:val="24"/>
                <w:lang w:val="en-US" w:eastAsia="zh-CN"/>
              </w:rPr>
              <w:t>公司</w:t>
            </w:r>
            <w:r>
              <w:rPr>
                <w:rFonts w:hint="eastAsia" w:ascii="Times New Roman" w:hAnsi="Times New Roman" w:eastAsia="宋体"/>
                <w:b/>
                <w:bCs/>
                <w:sz w:val="24"/>
                <w:szCs w:val="24"/>
              </w:rPr>
              <w:t>后续毛利率的影响？</w:t>
            </w:r>
          </w:p>
          <w:p>
            <w:pPr>
              <w:spacing w:line="360" w:lineRule="auto"/>
              <w:ind w:firstLine="480" w:firstLineChars="200"/>
              <w:rPr>
                <w:rFonts w:hint="default"/>
                <w:sz w:val="24"/>
                <w:szCs w:val="24"/>
                <w:lang w:val="en-US" w:eastAsia="zh-CN"/>
              </w:rPr>
            </w:pPr>
            <w:r>
              <w:rPr>
                <w:rFonts w:hint="eastAsia" w:ascii="Times New Roman" w:hAnsi="Times New Roman" w:eastAsia="宋体"/>
                <w:sz w:val="24"/>
                <w:szCs w:val="24"/>
                <w:lang w:val="en-US" w:eastAsia="zh-CN"/>
              </w:rPr>
              <w:t>回答：</w:t>
            </w:r>
            <w:r>
              <w:rPr>
                <w:rFonts w:hint="default" w:ascii="Times New Roman" w:hAnsi="Times New Roman"/>
                <w:sz w:val="24"/>
                <w:szCs w:val="24"/>
              </w:rPr>
              <w:t>公司</w:t>
            </w:r>
            <w:r>
              <w:rPr>
                <w:rFonts w:hint="eastAsia"/>
                <w:sz w:val="24"/>
                <w:szCs w:val="24"/>
                <w:lang w:val="en-US" w:eastAsia="zh-CN"/>
              </w:rPr>
              <w:t>会</w:t>
            </w:r>
            <w:r>
              <w:rPr>
                <w:rFonts w:hint="default" w:ascii="Times New Roman" w:hAnsi="Times New Roman"/>
                <w:sz w:val="24"/>
                <w:szCs w:val="24"/>
              </w:rPr>
              <w:t>根据上游成本变化努力经营、积极采取相应措施</w:t>
            </w:r>
            <w:r>
              <w:rPr>
                <w:rFonts w:hint="eastAsia"/>
                <w:sz w:val="24"/>
                <w:szCs w:val="24"/>
                <w:lang w:val="en-US" w:eastAsia="zh-CN"/>
              </w:rPr>
              <w:t>。</w:t>
            </w:r>
            <w:r>
              <w:rPr>
                <w:rFonts w:hint="eastAsia" w:ascii="Times New Roman" w:hAnsi="Times New Roman" w:eastAsia="宋体"/>
                <w:sz w:val="24"/>
                <w:szCs w:val="24"/>
              </w:rPr>
              <w:t>毛利率受竞争格局、成本变化、公司价格策略等因素综合影响，未来我们</w:t>
            </w:r>
            <w:r>
              <w:rPr>
                <w:rFonts w:hint="eastAsia"/>
                <w:sz w:val="24"/>
                <w:szCs w:val="24"/>
                <w:lang w:val="en-US" w:eastAsia="zh-CN"/>
              </w:rPr>
              <w:t>也</w:t>
            </w:r>
            <w:r>
              <w:rPr>
                <w:rFonts w:hint="eastAsia" w:ascii="Times New Roman" w:hAnsi="Times New Roman" w:eastAsia="宋体"/>
                <w:sz w:val="24"/>
                <w:szCs w:val="24"/>
              </w:rPr>
              <w:t>会根据成本变化和市场竞争等动态做调整，保持合理的毛利率水平。</w:t>
            </w:r>
          </w:p>
          <w:p>
            <w:pPr>
              <w:rPr>
                <w:rFonts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rPr>
              <w:t>2024年传音位列全球智能手机出货量第四，公司如何展望今明年在非洲及其他新兴市场</w:t>
            </w:r>
            <w:r>
              <w:rPr>
                <w:rFonts w:hint="eastAsia" w:ascii="Times New Roman" w:hAnsi="Times New Roman" w:eastAsia="宋体"/>
                <w:b/>
                <w:bCs/>
                <w:sz w:val="24"/>
                <w:szCs w:val="24"/>
                <w:lang w:val="en-US" w:eastAsia="zh-CN"/>
              </w:rPr>
              <w:t>的</w:t>
            </w:r>
            <w:r>
              <w:rPr>
                <w:rFonts w:hint="eastAsia" w:ascii="Times New Roman" w:hAnsi="Times New Roman" w:eastAsia="宋体"/>
                <w:b/>
                <w:bCs/>
                <w:sz w:val="24"/>
                <w:szCs w:val="24"/>
              </w:rPr>
              <w:t>增长空间？</w:t>
            </w:r>
          </w:p>
          <w:p>
            <w:pPr>
              <w:spacing w:line="360" w:lineRule="auto"/>
              <w:ind w:firstLine="480" w:firstLineChars="200"/>
              <w:rPr>
                <w:rFonts w:hint="eastAsia"/>
                <w:sz w:val="24"/>
                <w:szCs w:val="24"/>
                <w:lang w:val="en-US" w:eastAsia="zh-CN"/>
              </w:rPr>
            </w:pPr>
            <w:r>
              <w:rPr>
                <w:rFonts w:hint="eastAsia" w:ascii="Times New Roman" w:hAnsi="Times New Roman" w:eastAsia="宋体"/>
                <w:sz w:val="24"/>
                <w:szCs w:val="24"/>
                <w:lang w:val="en-US" w:eastAsia="zh-CN"/>
              </w:rPr>
              <w:t>回答：</w:t>
            </w:r>
            <w:r>
              <w:rPr>
                <w:rFonts w:hint="eastAsia" w:ascii="Times New Roman" w:hAnsi="Times New Roman" w:eastAsia="宋体"/>
                <w:sz w:val="24"/>
                <w:szCs w:val="24"/>
              </w:rPr>
              <w:t>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w:t>
            </w:r>
          </w:p>
          <w:p>
            <w:bookmarkStart w:id="0" w:name="Cr6h-1740561933237"/>
            <w:bookmarkEnd w:id="0"/>
            <w:bookmarkStart w:id="1" w:name="vZMr-1740561905311"/>
            <w:bookmarkEnd w:id="1"/>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bookmarkStart w:id="2" w:name="tK29-1740561918318"/>
            <w:bookmarkEnd w:id="2"/>
            <w:r>
              <w:rPr>
                <w:rFonts w:hint="eastAsia" w:ascii="Times New Roman" w:hAnsi="Times New Roman" w:eastAsia="宋体"/>
                <w:b/>
                <w:bCs/>
                <w:sz w:val="24"/>
                <w:szCs w:val="24"/>
                <w:lang w:val="en-US" w:eastAsia="zh-CN"/>
              </w:rPr>
              <w:t>公司扩品类业务的进展如何？</w:t>
            </w:r>
          </w:p>
          <w:p>
            <w:pPr>
              <w:spacing w:line="360" w:lineRule="auto"/>
              <w:ind w:firstLine="480" w:firstLineChars="200"/>
              <w:rPr>
                <w:rFonts w:hint="eastAsia" w:ascii="Times New Roman" w:hAnsi="Times New Roman"/>
                <w:sz w:val="24"/>
              </w:rPr>
            </w:pPr>
            <w:r>
              <w:rPr>
                <w:rFonts w:hint="eastAsia" w:ascii="Times New Roman" w:hAnsi="Times New Roman" w:eastAsia="宋体"/>
                <w:sz w:val="24"/>
                <w:szCs w:val="24"/>
                <w:lang w:val="en-US" w:eastAsia="zh-CN"/>
              </w:rPr>
              <w:t>回答：公司数码配件、家用电器继续多品牌发展策略，通过智能硬件品类生态模式的本地化探索，积极实施多元化战略布局，扩展满足新兴市场消费者需求的智能硬件新品类。</w:t>
            </w:r>
            <w:r>
              <w:rPr>
                <w:rFonts w:hint="eastAsia" w:ascii="Times New Roman" w:hAnsi="Times New Roman"/>
                <w:sz w:val="24"/>
                <w:szCs w:val="24"/>
                <w:lang w:val="en-US" w:eastAsia="zh-CN"/>
              </w:rPr>
              <w:t>公司</w:t>
            </w:r>
            <w:r>
              <w:rPr>
                <w:rFonts w:hint="eastAsia" w:ascii="Times New Roman" w:hAnsi="Times New Roman"/>
                <w:sz w:val="24"/>
              </w:rPr>
              <w:t>持续提升产品力，重视用户体验，满足用户对优质产品的需求。基于本地用户的深度洞察定制产品，加大本地化产品研发力度；深耕渠道，扩大零售布局，加强数字化能力，实现线下各品牌专卖店、专区店、专业店、新业态店面的渠道建设和覆盖；通过运营体系的进一步完善，降本增效，逐步形成扩品类业务可持续发展。</w:t>
            </w:r>
          </w:p>
          <w:p>
            <w:pPr>
              <w:spacing w:line="360" w:lineRule="auto"/>
              <w:ind w:firstLine="480" w:firstLineChars="200"/>
              <w:rPr>
                <w:rFonts w:hint="eastAsia" w:ascii="Times New Roman" w:hAnsi="Times New Roman"/>
                <w:sz w:val="24"/>
              </w:rPr>
            </w:pPr>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公司如何看待和其他手机厂商相比的竞争优势？</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回答：</w:t>
            </w:r>
            <w:r>
              <w:rPr>
                <w:rFonts w:hint="eastAsia" w:ascii="Times New Roman" w:hAnsi="Times New Roman" w:eastAsia="宋体"/>
                <w:sz w:val="24"/>
                <w:szCs w:val="24"/>
              </w:rPr>
              <w:t>在各个市场中，各手机厂商一直都存在，公司一直都面临竞争的问题。经过多年的发展，公司形成了自己的经营特色，主要</w:t>
            </w:r>
            <w:r>
              <w:rPr>
                <w:rFonts w:hint="eastAsia"/>
                <w:sz w:val="24"/>
                <w:szCs w:val="24"/>
                <w:lang w:val="en-US" w:eastAsia="zh-CN"/>
              </w:rPr>
              <w:t>包括但不限于</w:t>
            </w:r>
            <w:r>
              <w:rPr>
                <w:rFonts w:hint="eastAsia" w:ascii="Times New Roman" w:hAnsi="Times New Roman" w:eastAsia="宋体"/>
                <w:sz w:val="24"/>
                <w:szCs w:val="24"/>
              </w:rPr>
              <w:t>以下</w:t>
            </w:r>
            <w:r>
              <w:rPr>
                <w:rFonts w:hint="eastAsia"/>
                <w:sz w:val="24"/>
                <w:szCs w:val="24"/>
                <w:lang w:val="en-US" w:eastAsia="zh-CN"/>
              </w:rPr>
              <w:t>几</w:t>
            </w:r>
            <w:r>
              <w:rPr>
                <w:rFonts w:hint="eastAsia" w:ascii="Times New Roman" w:hAnsi="Times New Roman" w:eastAsia="宋体"/>
                <w:sz w:val="24"/>
                <w:szCs w:val="24"/>
              </w:rPr>
              <w:t>点：</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第一，自创立以来，公司一直坚定在海外市场做品牌，</w:t>
            </w:r>
            <w:r>
              <w:rPr>
                <w:rFonts w:hint="eastAsia"/>
                <w:sz w:val="24"/>
                <w:szCs w:val="24"/>
                <w:lang w:val="en-US" w:eastAsia="zh-CN"/>
              </w:rPr>
              <w:t>主要</w:t>
            </w:r>
            <w:r>
              <w:rPr>
                <w:rFonts w:hint="eastAsia" w:ascii="Times New Roman" w:hAnsi="Times New Roman" w:eastAsia="宋体"/>
                <w:sz w:val="24"/>
                <w:szCs w:val="24"/>
              </w:rPr>
              <w:t>的资源、策略、团队都聚焦在海外市场品牌建设和投入。</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第二，公司始终坚持业务和团队的本地化，渠道、运营、团队都比较贴近本地市场的特性和需求，不同市场运营模式差别很大，公司业务、研发、管理人员、运营模式都贴近市场一线。</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第三，在产品的差异化方面，我们会根据核心市场区域做产品规划。</w:t>
            </w:r>
          </w:p>
          <w:p>
            <w:pPr>
              <w:spacing w:line="360" w:lineRule="auto"/>
              <w:ind w:firstLine="480" w:firstLineChars="200"/>
              <w:rPr>
                <w:rFonts w:hint="eastAsia" w:ascii="Times New Roman" w:hAnsi="Times New Roman"/>
                <w:sz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bookmarkStart w:id="3" w:name="ysTG-1740562131763"/>
            <w:bookmarkEnd w:id="3"/>
            <w:bookmarkStart w:id="4" w:name="6Ivn-1740562131629"/>
            <w:bookmarkEnd w:id="4"/>
            <w:r>
              <w:rPr>
                <w:rFonts w:hint="default" w:ascii="Times New Roman" w:hAnsi="Times New Roman" w:eastAsia="宋体"/>
                <w:b/>
                <w:bCs/>
                <w:sz w:val="24"/>
                <w:szCs w:val="24"/>
                <w:lang w:val="en-US" w:eastAsia="zh-CN"/>
              </w:rPr>
              <w:t>在OS系统及移动互联产品服务领域</w:t>
            </w:r>
            <w:r>
              <w:rPr>
                <w:rFonts w:hint="eastAsia" w:ascii="Times New Roman" w:hAnsi="Times New Roman" w:eastAsia="宋体"/>
                <w:b/>
                <w:bCs/>
                <w:sz w:val="24"/>
                <w:szCs w:val="24"/>
                <w:lang w:val="en-US" w:eastAsia="zh-CN"/>
              </w:rPr>
              <w:t>进展</w:t>
            </w:r>
            <w:r>
              <w:rPr>
                <w:rFonts w:hint="default" w:ascii="Times New Roman" w:hAnsi="Times New Roman" w:eastAsia="宋体"/>
                <w:b/>
                <w:bCs/>
                <w:sz w:val="24"/>
                <w:szCs w:val="24"/>
                <w:lang w:val="en-US" w:eastAsia="zh-CN"/>
              </w:rPr>
              <w:t>？</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公司通过洞察市场本地化需求，深耕建设本地化服务和内容合作，并依托于公司市场占有率，形成高流量的应用产品矩阵。公司针对新兴市场存在流量成本高、网络不稳定、带宽低、内存配置低等特点，自主研发了流量节省、弱网网络连接、内存融合、本地化小语种语音识别、语音降噪等技术。同时，公司手机均搭载了基于Android系统平台二次开发、深度定制的手机智能终端操作系统（传音OS），深度洞察新兴市场用户在社交、效率办公、影音等场景体验构建，围绕传音OS，开发了应用商店、广告分发平台、手机管家等应用程序。</w:t>
            </w:r>
          </w:p>
          <w:p>
            <w:pPr>
              <w:spacing w:line="360" w:lineRule="auto"/>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附件一《与会清单》</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r>
        <w:rPr>
          <w:rFonts w:hint="eastAsia" w:ascii="Times New Roman" w:hAnsi="Times New Roman" w:eastAsia="宋体"/>
          <w:sz w:val="24"/>
          <w:szCs w:val="24"/>
        </w:rPr>
        <w:t>附件一《与会清单》</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2"/>
        <w:gridCol w:w="4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single" w:color="000000" w:sz="8" w:space="0"/>
              <w:left w:val="single" w:color="000000" w:sz="8" w:space="0"/>
              <w:bottom w:val="single" w:color="000000" w:sz="8" w:space="0"/>
              <w:right w:val="single" w:color="000000" w:sz="8" w:space="0"/>
            </w:tcBorders>
            <w:shd w:val="clear" w:color="auto" w:fill="8DB4E2"/>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公司名称</w:t>
            </w:r>
          </w:p>
        </w:tc>
        <w:tc>
          <w:tcPr>
            <w:tcW w:w="2500" w:type="pct"/>
            <w:tcBorders>
              <w:top w:val="single" w:color="000000" w:sz="8" w:space="0"/>
              <w:left w:val="nil"/>
              <w:bottom w:val="single" w:color="000000" w:sz="8" w:space="0"/>
              <w:right w:val="single" w:color="000000" w:sz="8" w:space="0"/>
            </w:tcBorders>
            <w:shd w:val="clear" w:color="auto" w:fill="8DB4E2"/>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资衡(上海)商业管理有限公司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摩根士丹利基金管理(中国)有限公司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中银国际证券股份有限公司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明世伙伴基金管理(珠海)有限公司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中信证券资产管理有限公司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明山资本有限公司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中信建投证券股份有限公司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美林(亚太)有限公司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中信建投基金管理有限公司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兰馨亚洲投资中国有限公司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中投国际(香港)有限公司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昆仑健康保险股份有限公司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中天国富证券有限公司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开源证券股份有限公司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中荷人寿保险有限公司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九泰基金管理有限公司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中航基金管理有限公司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静瑞私募基金管理(上海)有限公司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中国人寿资产管理有限公司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交银施罗德基金管理有限公司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中国对外经济贸易信托有限公司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江西省杜兹投资管理有限公司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招商信诺资产管理有限公司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建信金融资产投资有限公司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长城财富保险资产管理股份有限公司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建信基金管理有限责任公司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长安基金管理有限公司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嘉实基金管理有限公司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云栖资本有限公司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汇华理财有限公司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粤佛私募基金管理(武汉)有限公司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汇丰前海证券有限责任公司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远信资本投资管理有限公司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汇丰晋信基金管理有限公司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友邦保险有限公司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华源证券股份有限公司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盈峰资本管理有限公司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华泰证券股份有限公司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彞川资本管理有限公司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华泰证券(上海)资产管理有限公司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循远资产管理(上海)有限公司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华福证券有限责任公司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兴业证券股份有限公司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华宝信托有限责任公司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信达澳亚基金管理有限公司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华安证券股份有限公司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新加坡政府投资咨询(北京)有限公司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华安基金管理有限公司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新华基金管理股份有限公司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华安财保资产管理有限责任公司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西藏中睿合银投资管理有限公司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花旗環球金融亞洲有限公司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无锡道明资产管理咨询有限公司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花旗国际有限公司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天风证券股份有限公司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湖南源乘私募基金管理有限公司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太平资产管理有限公司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鸿商资本股权投资有限公司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苏州众行远私募基金管理有限公司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泓铭资本金融控股有限公司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首创证券股份有限公司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泓德基金管理有限公司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施罗德基金管理(中国)有限公司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红杉资本股权投资管理(天津)有限公司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深圳中天汇富基金管理有限公司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荷荷(北京)私募基金管理有限公司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深圳赢利基金管理有限公司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杭州星泰投资管理有限公司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深圳市长青藤资产管理有限公司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杭州城投资本集团有限公司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深圳市裕晋私募证券投资基金管理有限公司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海南君阳私募基金管理有限公司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深圳市榕树投资管理有限公司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国元证券股份有限公司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深圳市江波龙电子股份有限公司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国投创业投资管理有限公司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深圳市吉富瑞泰资产管理有限公司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国泰君安国际控股有限公司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深圳市红石榴投资管理有限公司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国泰基金管理有限公司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深圳市东方马拉松投资管理有限公司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国盛证券有限责任公司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深圳前海旭鑫资产管理有限公司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广州云禧私募证券投资基金管理有限公司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深圳前海道谊投资控股有限公司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广州市航长投资管理有限公司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深圳慧利资产管理有限公司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广州瑞民私募证券投资基金管理有限公司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深圳红年资产管理有限公司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广发证券资产管理(广东)有限公司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深圳大道至诚投资管理合伙企业(有限合伙)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广东正圆私募基金管理有限公司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深圳创富兆业金融管理有限公司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广东光帆私募基金管理合伙企业(有限合伙)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申万菱信基金管理有限公司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广东冠达泰泽私募基金管理有限公司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申万宏源证券有限公司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广东关键点私募基金管理合伙企业(有限合伙)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上海证券有限责任公司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广东博众智能科技投资有限公司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上海云门投资管理有限公司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光大证券股份有限公司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上海煜德投资管理中心(有限合伙)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光大永明资产管理股份有限公司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上海益和源资产管理有限公司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共青城鼎睿资产管理有限公司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上海行知创业投资有限公司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高盛资产管理(香港)有限公司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上海湘禾投资有限公司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高盛(亞洲)有限责任公司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上海万纳私募基金管理有限公司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高盛(亚洲)有限责任公司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上海途灵资产管理有限公司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富瑞金融集团香港有限公司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上海拓聚投资管理有限公司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富蘭克林華美证券投资信托股份有限公司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上海世诚投资管理有限公司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富兰克林邓普顿投资管理(上海)有限公司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上海石溪投资管理有限公司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富国基金管理有限公司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上海睿胜投资管理有限公司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东兴基金管理有限公司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上海钦沐资产管理合伙企业(有限合伙)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东方基金管理股份有限公司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上海谦心投资管理有限公司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东方财富证券股份有限公司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上海聆泽私募基金管理有限公司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东方阿尔法基金管理有限公司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上海利檀投资管理有限公司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东北证券股份有限公司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上海蓝墨投资管理有限公司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淡水泉(北京)投资管理有限公司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上海坤阳私募基金管理有限公司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大成基金管理有限公司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上海宽远资产管理有限公司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博时基金管理有限公司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上海君翼博星创业投资管理有限公司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贝莱德基金管理有限公司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上海君和立成投资管理中心(有限合伙)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北京指南创业投资管理有限公司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上海景林资产管理有限公司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北京颐和久富投资管理有限公司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上海泾溪投资管理合伙企业(有限合伙)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北京橡果资产管理有限公司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上海金锝私募基金管理有限公司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北京同德磐石资产管理有限公司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上海嘉世私募基金管理有限公司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北京珺则投资管理有限公司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上海海通证券资产管理有限公司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北京厚特投资有限公司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上海国赞私募基金管理合伙企业(有限合伙)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北京泓澄投资管理有限公司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上海高毅资产管理合伙企业(有限合伙)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鲍尔赛嘉(上海)投资管理有限公司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上海方物私募基金管理有限公司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保德信证券投资信托股份有限公司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上海乘是资产管理有限公司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柏基投资管理(上海)有限公司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上海呈瑞投资管理有限公司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百川财富(北京)投资管理有限公司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上海辰翔私募基金管理有限公司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Polen Capital HK Limited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上海冰河资产管理有限公司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Nordic &amp; Asia Advisory Group 1987 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上海彬元资产管理有限公司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MARCO POLO PURE ASSET MANAGEMENT LIMITED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上海标朴投资管理有限公司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JK Capital Management Limited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上海榜样投资管理有限公司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Informa</w:t>
            </w:r>
            <w:r>
              <w:rPr>
                <w:rFonts w:hint="eastAsia" w:ascii="Times New Roman" w:hAnsi="Times New Roman" w:cs="宋体"/>
                <w:i w:val="0"/>
                <w:iCs w:val="0"/>
                <w:color w:val="000000"/>
                <w:kern w:val="0"/>
                <w:sz w:val="24"/>
                <w:szCs w:val="24"/>
                <w:u w:val="none"/>
                <w:lang w:val="en-US" w:eastAsia="zh-CN" w:bidi="ar"/>
              </w:rPr>
              <w:t xml:space="preserve"> </w:t>
            </w:r>
            <w:r>
              <w:rPr>
                <w:rFonts w:hint="eastAsia" w:ascii="Times New Roman" w:hAnsi="Times New Roman" w:eastAsia="宋体" w:cs="宋体"/>
                <w:i w:val="0"/>
                <w:iCs w:val="0"/>
                <w:color w:val="000000"/>
                <w:kern w:val="0"/>
                <w:sz w:val="24"/>
                <w:szCs w:val="24"/>
                <w:u w:val="none"/>
                <w:lang w:val="en-US" w:eastAsia="zh-CN" w:bidi="ar"/>
              </w:rPr>
              <w:t>Pharma</w:t>
            </w:r>
            <w:r>
              <w:rPr>
                <w:rFonts w:hint="eastAsia" w:ascii="Times New Roman" w:hAnsi="Times New Roman" w:cs="宋体"/>
                <w:i w:val="0"/>
                <w:iCs w:val="0"/>
                <w:color w:val="000000"/>
                <w:kern w:val="0"/>
                <w:sz w:val="24"/>
                <w:szCs w:val="24"/>
                <w:u w:val="none"/>
                <w:lang w:val="en-US" w:eastAsia="zh-CN" w:bidi="ar"/>
              </w:rPr>
              <w:t xml:space="preserve"> </w:t>
            </w:r>
            <w:r>
              <w:rPr>
                <w:rFonts w:hint="eastAsia" w:ascii="Times New Roman" w:hAnsi="Times New Roman" w:eastAsia="宋体" w:cs="宋体"/>
                <w:i w:val="0"/>
                <w:iCs w:val="0"/>
                <w:color w:val="000000"/>
                <w:kern w:val="0"/>
                <w:sz w:val="24"/>
                <w:szCs w:val="24"/>
                <w:u w:val="none"/>
                <w:lang w:val="en-US" w:eastAsia="zh-CN" w:bidi="ar"/>
              </w:rPr>
              <w:t>Intelligence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山证(上海)资产管理有限公司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IGWT Investment 投资公司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瑞银集团</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BofA Securities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瑞银(香港)股份有限公司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宁波启夏私募基金管理有限公司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瑞信证券(中国)有限公司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宁波彩霞湾投资管理合伙企业(有限合伙)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瑞万通博资产管理亚太有限公司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南山人寿保险股份有限公司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瑞士银行(中国)有限公司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南京双安资产管理有限公司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前海人寿保险股份有限公司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南京睿澜私募基金管理有限公司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前海开源基金管理有限公司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南京璟恒投资管理有限公司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磐厚动量(上海)资本管理有限公司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纳弗斯信息科技(上海)有限公司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宁银理财有限责任公司</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UPAMC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FMR</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Teng Yue Partners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Invesco</w:t>
            </w:r>
          </w:p>
        </w:tc>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Nomura Asset Management Taiwan</w:t>
            </w:r>
          </w:p>
        </w:tc>
      </w:tr>
    </w:tbl>
    <w:p>
      <w:pPr>
        <w:widowControl/>
        <w:textAlignment w:val="center"/>
        <w:rPr>
          <w:rFonts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13D68"/>
    <w:multiLevelType w:val="singleLevel"/>
    <w:tmpl w:val="68913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4799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0BCA"/>
    <w:rsid w:val="0020157B"/>
    <w:rsid w:val="002028C9"/>
    <w:rsid w:val="00202D87"/>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454F"/>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74365"/>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4F9"/>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B43"/>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74"/>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8F389E"/>
    <w:rsid w:val="12980BD0"/>
    <w:rsid w:val="12BD5C5A"/>
    <w:rsid w:val="12C70E0E"/>
    <w:rsid w:val="12C7439F"/>
    <w:rsid w:val="12C746C0"/>
    <w:rsid w:val="12FF22F4"/>
    <w:rsid w:val="132F268B"/>
    <w:rsid w:val="13350F33"/>
    <w:rsid w:val="13611518"/>
    <w:rsid w:val="137A29AA"/>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0841"/>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364149"/>
    <w:rsid w:val="1F4D5F3F"/>
    <w:rsid w:val="1F8C5304"/>
    <w:rsid w:val="1FAA503E"/>
    <w:rsid w:val="1FCD20DB"/>
    <w:rsid w:val="1FDA3DD1"/>
    <w:rsid w:val="201255EF"/>
    <w:rsid w:val="2030732B"/>
    <w:rsid w:val="20A27E4D"/>
    <w:rsid w:val="20BD77E2"/>
    <w:rsid w:val="20F3560A"/>
    <w:rsid w:val="2115718C"/>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E5637D"/>
    <w:rsid w:val="25F5752D"/>
    <w:rsid w:val="260074C0"/>
    <w:rsid w:val="26051A2A"/>
    <w:rsid w:val="26071023"/>
    <w:rsid w:val="264B1F24"/>
    <w:rsid w:val="2686348E"/>
    <w:rsid w:val="26A755DA"/>
    <w:rsid w:val="26FD771C"/>
    <w:rsid w:val="270330EF"/>
    <w:rsid w:val="27084542"/>
    <w:rsid w:val="27310BFD"/>
    <w:rsid w:val="27726401"/>
    <w:rsid w:val="27CA7B63"/>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55314"/>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2D4722"/>
    <w:rsid w:val="38531C34"/>
    <w:rsid w:val="386D18AB"/>
    <w:rsid w:val="38894CCC"/>
    <w:rsid w:val="38C23901"/>
    <w:rsid w:val="38CC5B1C"/>
    <w:rsid w:val="38D85479"/>
    <w:rsid w:val="390A7799"/>
    <w:rsid w:val="393743AF"/>
    <w:rsid w:val="395F573C"/>
    <w:rsid w:val="39676337"/>
    <w:rsid w:val="396B3F13"/>
    <w:rsid w:val="397B3AED"/>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CF257A4"/>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D656E8"/>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AB27CD"/>
    <w:rsid w:val="43D16E80"/>
    <w:rsid w:val="43D40585"/>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DE201A"/>
    <w:rsid w:val="45FC3CEC"/>
    <w:rsid w:val="45FE485A"/>
    <w:rsid w:val="461D5BD9"/>
    <w:rsid w:val="468912F2"/>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8F07F9B"/>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5C331D"/>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B300BC"/>
    <w:rsid w:val="63DB50B0"/>
    <w:rsid w:val="63E9155E"/>
    <w:rsid w:val="643D25A6"/>
    <w:rsid w:val="6464313E"/>
    <w:rsid w:val="64A33B31"/>
    <w:rsid w:val="64B01D9F"/>
    <w:rsid w:val="64D975F8"/>
    <w:rsid w:val="64FB1227"/>
    <w:rsid w:val="655F0DB7"/>
    <w:rsid w:val="65654D13"/>
    <w:rsid w:val="65AD6381"/>
    <w:rsid w:val="65B56FAF"/>
    <w:rsid w:val="663B7BB7"/>
    <w:rsid w:val="663F16E6"/>
    <w:rsid w:val="664C5E68"/>
    <w:rsid w:val="668C22BF"/>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8A75D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6107A"/>
    <w:rsid w:val="71B41E9B"/>
    <w:rsid w:val="71D8596D"/>
    <w:rsid w:val="71FE7486"/>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923767"/>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B97E60"/>
    <w:rsid w:val="7BCF07E3"/>
    <w:rsid w:val="7C60541F"/>
    <w:rsid w:val="7C6A37B2"/>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7FFB-AF57-446D-8B2B-DDC54C4C8AB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272</Words>
  <Characters>1551</Characters>
  <Lines>12</Lines>
  <Paragraphs>3</Paragraphs>
  <TotalTime>0</TotalTime>
  <ScaleCrop>false</ScaleCrop>
  <LinksUpToDate>false</LinksUpToDate>
  <CharactersWithSpaces>1820</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2024-08-09T10:08:00Z</dcterms:created>
  <dc:creator>user</dc:creator>
  <cp:lastModifiedBy>Tianci</cp:lastModifiedBy>
  <cp:lastPrinted>2012-11-19T01:56:00Z</cp:lastPrinted>
  <dcterms:modified xsi:type="dcterms:W3CDTF">2025-02-27T07:30:15Z</dcterms:modified>
  <dc:title>上海证券交易所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FA8D8630A2A942AF9999B77452143D02</vt:lpwstr>
  </property>
</Properties>
</file>