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3E8" w14:textId="77777777" w:rsidR="004175EF" w:rsidRPr="00E65DEB" w:rsidRDefault="00000000">
      <w:pPr>
        <w:spacing w:beforeLines="50" w:before="156" w:afterLines="50" w:after="156" w:line="400" w:lineRule="exact"/>
        <w:jc w:val="left"/>
        <w:rPr>
          <w:bCs/>
          <w:iCs/>
          <w:color w:val="000000"/>
          <w:sz w:val="24"/>
        </w:rPr>
      </w:pPr>
      <w:r w:rsidRPr="00E65DEB">
        <w:rPr>
          <w:bCs/>
          <w:iCs/>
          <w:color w:val="000000"/>
          <w:sz w:val="24"/>
        </w:rPr>
        <w:t>证券代码：</w:t>
      </w:r>
      <w:r w:rsidRPr="00E65DEB">
        <w:rPr>
          <w:bCs/>
          <w:iCs/>
          <w:color w:val="000000"/>
          <w:sz w:val="24"/>
        </w:rPr>
        <w:t xml:space="preserve">688793                                     </w:t>
      </w:r>
      <w:r w:rsidRPr="00E65DEB">
        <w:rPr>
          <w:bCs/>
          <w:iCs/>
          <w:color w:val="000000"/>
          <w:sz w:val="24"/>
        </w:rPr>
        <w:t>证券简称：倍轻松</w:t>
      </w:r>
    </w:p>
    <w:p w14:paraId="4A494469" w14:textId="77777777" w:rsidR="004175EF" w:rsidRPr="00E65DEB" w:rsidRDefault="004175EF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7D254C5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深圳市</w:t>
      </w:r>
      <w:proofErr w:type="gramStart"/>
      <w:r w:rsidRPr="00E65DEB">
        <w:rPr>
          <w:b/>
          <w:bCs/>
          <w:iCs/>
          <w:color w:val="000000"/>
          <w:sz w:val="32"/>
          <w:szCs w:val="32"/>
        </w:rPr>
        <w:t>倍轻松科技</w:t>
      </w:r>
      <w:proofErr w:type="gramEnd"/>
      <w:r w:rsidRPr="00E65DEB">
        <w:rPr>
          <w:b/>
          <w:bCs/>
          <w:iCs/>
          <w:color w:val="000000"/>
          <w:sz w:val="32"/>
          <w:szCs w:val="32"/>
        </w:rPr>
        <w:t>股份有限公司</w:t>
      </w:r>
    </w:p>
    <w:p w14:paraId="5B0B0798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12F4023" w14:textId="4AEA6746" w:rsidR="004175EF" w:rsidRPr="00E65DEB" w:rsidRDefault="00000000">
      <w:pPr>
        <w:spacing w:line="400" w:lineRule="exact"/>
        <w:jc w:val="right"/>
        <w:rPr>
          <w:bCs/>
          <w:iCs/>
          <w:color w:val="000000"/>
          <w:sz w:val="24"/>
          <w:szCs w:val="24"/>
        </w:rPr>
      </w:pPr>
      <w:r w:rsidRPr="00E65DEB">
        <w:rPr>
          <w:bCs/>
          <w:iCs/>
          <w:color w:val="000000"/>
          <w:sz w:val="24"/>
        </w:rPr>
        <w:t xml:space="preserve">                                                     </w:t>
      </w:r>
      <w:r w:rsidRPr="00E65DEB">
        <w:rPr>
          <w:bCs/>
          <w:iCs/>
          <w:color w:val="000000"/>
          <w:sz w:val="24"/>
          <w:szCs w:val="24"/>
        </w:rPr>
        <w:t>编号：</w:t>
      </w:r>
      <w:r w:rsidRPr="00E65DEB">
        <w:rPr>
          <w:bCs/>
          <w:iCs/>
          <w:color w:val="000000"/>
          <w:sz w:val="24"/>
          <w:szCs w:val="24"/>
        </w:rPr>
        <w:t>202</w:t>
      </w:r>
      <w:r w:rsidR="00705C0F" w:rsidRPr="00E65DEB">
        <w:rPr>
          <w:rFonts w:hint="eastAsia"/>
          <w:bCs/>
          <w:iCs/>
          <w:color w:val="000000"/>
          <w:sz w:val="24"/>
          <w:szCs w:val="24"/>
        </w:rPr>
        <w:t>5</w:t>
      </w:r>
      <w:r w:rsidRPr="00E65DEB">
        <w:rPr>
          <w:bCs/>
          <w:iCs/>
          <w:color w:val="000000"/>
          <w:sz w:val="24"/>
          <w:szCs w:val="24"/>
        </w:rPr>
        <w:t>-00</w:t>
      </w:r>
      <w:r w:rsidR="00D659AB">
        <w:rPr>
          <w:rFonts w:hint="eastAsia"/>
          <w:bCs/>
          <w:iCs/>
          <w:color w:val="000000"/>
          <w:sz w:val="24"/>
          <w:szCs w:val="24"/>
        </w:rPr>
        <w:t>3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E65DEB" w14:paraId="52C16F76" w14:textId="77777777">
        <w:tc>
          <w:tcPr>
            <w:tcW w:w="1526" w:type="dxa"/>
            <w:vAlign w:val="center"/>
          </w:tcPr>
          <w:p w14:paraId="1CBC6A77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12D190D6" w:rsidR="004175EF" w:rsidRPr="00E65DEB" w:rsidRDefault="00D659A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D659A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☑分析师会议</w:t>
            </w:r>
          </w:p>
          <w:p w14:paraId="3EC5C63C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5F7B56CA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427C59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0B4A8278" w:rsidR="004175EF" w:rsidRPr="00E65DEB" w:rsidRDefault="00427C5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175EF" w:rsidRPr="00E65DEB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6CF38CBE" w:rsidR="004175EF" w:rsidRPr="00E65DEB" w:rsidRDefault="00547D6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信达证券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永赢基金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西南证券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、广发基金</w:t>
            </w:r>
          </w:p>
        </w:tc>
      </w:tr>
      <w:tr w:rsidR="004175EF" w:rsidRPr="00E65DEB" w14:paraId="45C3D9BE" w14:textId="77777777">
        <w:tc>
          <w:tcPr>
            <w:tcW w:w="1526" w:type="dxa"/>
            <w:vAlign w:val="center"/>
          </w:tcPr>
          <w:p w14:paraId="39205418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6EA009F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659A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547D6F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547D6F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547D6F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47D6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547D6F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4175EF" w:rsidRPr="00E65DEB" w14:paraId="57B05F83" w14:textId="77777777">
        <w:tc>
          <w:tcPr>
            <w:tcW w:w="1526" w:type="dxa"/>
            <w:vAlign w:val="center"/>
          </w:tcPr>
          <w:p w14:paraId="05851EE0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2E5311CD" w:rsidR="004175EF" w:rsidRPr="00E65DEB" w:rsidRDefault="00547D6F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线上交流、线下交流</w:t>
            </w:r>
          </w:p>
        </w:tc>
      </w:tr>
      <w:tr w:rsidR="004175EF" w:rsidRPr="00E65DEB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196BC483" w14:textId="77777777" w:rsidR="004175EF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董事会秘书、财务总监：邓玲玲</w:t>
            </w:r>
          </w:p>
          <w:p w14:paraId="095096C4" w14:textId="4697BA55" w:rsidR="00AC2F08" w:rsidRPr="00E65DEB" w:rsidRDefault="00AC2F08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证券事务代表：李花</w:t>
            </w:r>
          </w:p>
        </w:tc>
      </w:tr>
      <w:tr w:rsidR="004175EF" w:rsidRPr="00E65DEB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71C23ECB" w14:textId="5BC6A099" w:rsidR="004175EF" w:rsidRPr="00E65DEB" w:rsidRDefault="00061D8A" w:rsidP="00061D8A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问1</w:t>
            </w:r>
            <w:r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B717A9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海外主要覆盖了哪些</w:t>
            </w:r>
            <w:r w:rsidR="006B5B35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区域</w:t>
            </w:r>
            <w:r w:rsidR="00AC2F08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114A81" w:rsidRPr="00E65DEB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14:paraId="30DB9F69" w14:textId="22F50B08" w:rsidR="004B3EF4" w:rsidRDefault="00061D8A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AC2F08" w:rsidRPr="00E65DEB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="006B5B35">
              <w:rPr>
                <w:rFonts w:ascii="宋体" w:hAnsi="宋体" w:cs="宋体" w:hint="eastAsia"/>
                <w:bCs/>
                <w:sz w:val="24"/>
                <w:szCs w:val="24"/>
              </w:rPr>
              <w:t>公司海外市场目前主要覆盖东南亚及欧美地区。</w:t>
            </w:r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公司设立了海外销售部以拓展海外业务，通过线上与线下</w:t>
            </w:r>
            <w:proofErr w:type="gramStart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双</w:t>
            </w:r>
            <w:r w:rsidR="000E1B7B">
              <w:rPr>
                <w:rFonts w:ascii="宋体" w:hAnsi="宋体" w:cs="宋体" w:hint="eastAsia"/>
                <w:bCs/>
                <w:sz w:val="24"/>
                <w:szCs w:val="24"/>
              </w:rPr>
              <w:t>渠道</w:t>
            </w:r>
            <w:proofErr w:type="gramEnd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销售模式共同推进海外业务发展。线下渠道方面，公司在主要业务区域设立子公司以辅助海外线下渠道的开拓与发展；线</w:t>
            </w:r>
            <w:proofErr w:type="gramStart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上渠道</w:t>
            </w:r>
            <w:proofErr w:type="gramEnd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方面，公司成功布局了亚马逊、美国独立站、东南亚的虾皮和LAZADA等高速增长的</w:t>
            </w:r>
            <w:proofErr w:type="gramStart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海外电</w:t>
            </w:r>
            <w:proofErr w:type="gramEnd"/>
            <w:r w:rsidR="006B5B35" w:rsidRPr="006B5B35">
              <w:rPr>
                <w:rFonts w:ascii="宋体" w:hAnsi="宋体" w:cs="宋体" w:hint="eastAsia"/>
                <w:bCs/>
                <w:sz w:val="24"/>
                <w:szCs w:val="24"/>
              </w:rPr>
              <w:t>商平台，充分利用了电子商务的便捷性和覆盖面，以更好、更全面地服务海外客户。</w:t>
            </w:r>
          </w:p>
          <w:p w14:paraId="5DE3EACC" w14:textId="2EB61978" w:rsidR="003C7A04" w:rsidRPr="003C7A04" w:rsidRDefault="003C7A04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问</w:t>
            </w:r>
            <w:r w:rsidR="001F2869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B717A9">
              <w:rPr>
                <w:rFonts w:ascii="宋体" w:hAnsi="宋体" w:hint="eastAsia"/>
                <w:b/>
                <w:sz w:val="24"/>
                <w:szCs w:val="24"/>
              </w:rPr>
              <w:t>公司产品新的应用场景有哪些</w:t>
            </w: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7376E990" w14:textId="286B7899" w:rsidR="00D659AB" w:rsidRPr="00315E1C" w:rsidRDefault="003C7A04" w:rsidP="00D659AB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答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1C6D8A" w:rsidRPr="001C6D8A">
              <w:rPr>
                <w:rFonts w:ascii="宋体" w:hAnsi="宋体" w:hint="eastAsia"/>
                <w:bCs/>
                <w:sz w:val="24"/>
                <w:szCs w:val="24"/>
              </w:rPr>
              <w:t>随着市场环境以及需求的变化，公司正逐步开发新的应用场景，包括</w:t>
            </w:r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健康礼品（</w:t>
            </w:r>
            <w:proofErr w:type="gramStart"/>
            <w:r w:rsidR="001C6D8A" w:rsidRPr="001C6D8A">
              <w:rPr>
                <w:rFonts w:ascii="宋体" w:hAnsi="宋体" w:hint="eastAsia"/>
                <w:bCs/>
                <w:sz w:val="24"/>
                <w:szCs w:val="24"/>
              </w:rPr>
              <w:t>微信小店</w:t>
            </w:r>
            <w:proofErr w:type="gramEnd"/>
            <w:r w:rsidR="001C6D8A" w:rsidRPr="001C6D8A">
              <w:rPr>
                <w:rFonts w:ascii="宋体" w:hAnsi="宋体" w:hint="eastAsia"/>
                <w:bCs/>
                <w:sz w:val="24"/>
                <w:szCs w:val="24"/>
              </w:rPr>
              <w:t>送礼</w:t>
            </w:r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等）</w:t>
            </w:r>
            <w:r w:rsidR="001C6D8A" w:rsidRPr="001C6D8A">
              <w:rPr>
                <w:rFonts w:ascii="宋体" w:hAnsi="宋体" w:hint="eastAsia"/>
                <w:bCs/>
                <w:sz w:val="24"/>
                <w:szCs w:val="24"/>
              </w:rPr>
              <w:t>、新能源汽车座椅腰背按摩</w:t>
            </w:r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proofErr w:type="gramStart"/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一</w:t>
            </w:r>
            <w:proofErr w:type="gramEnd"/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体式健康</w:t>
            </w:r>
            <w:r w:rsidR="000E1B7B">
              <w:rPr>
                <w:rFonts w:ascii="宋体" w:hAnsi="宋体" w:hint="eastAsia"/>
                <w:bCs/>
                <w:sz w:val="24"/>
                <w:szCs w:val="24"/>
              </w:rPr>
              <w:t>监测</w:t>
            </w:r>
            <w:r w:rsidR="00074DEF">
              <w:rPr>
                <w:rFonts w:ascii="宋体" w:hAnsi="宋体" w:hint="eastAsia"/>
                <w:bCs/>
                <w:sz w:val="24"/>
                <w:szCs w:val="24"/>
              </w:rPr>
              <w:t>与解决方案、美容养生与护眼照明</w:t>
            </w:r>
            <w:r w:rsidR="001C6D8A" w:rsidRPr="001C6D8A">
              <w:rPr>
                <w:rFonts w:ascii="宋体" w:hAnsi="宋体" w:hint="eastAsia"/>
                <w:bCs/>
                <w:sz w:val="24"/>
                <w:szCs w:val="24"/>
              </w:rPr>
              <w:t>等。未来，公司将结合市场环境实时开发更多新的应用场景。</w:t>
            </w:r>
          </w:p>
          <w:p w14:paraId="31BB22BF" w14:textId="48C8AAC3" w:rsidR="003C7A04" w:rsidRDefault="00B717A9" w:rsidP="00315E1C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问</w:t>
            </w:r>
            <w:r w:rsidR="001F2869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Pr="00B717A9">
              <w:rPr>
                <w:rFonts w:ascii="宋体" w:hAnsi="宋体" w:hint="eastAsia"/>
                <w:b/>
                <w:sz w:val="24"/>
                <w:szCs w:val="24"/>
              </w:rPr>
              <w:t>目前AI方面的产品研发</w:t>
            </w:r>
            <w:r w:rsidR="001C6D8A">
              <w:rPr>
                <w:rFonts w:ascii="宋体" w:hAnsi="宋体" w:hint="eastAsia"/>
                <w:b/>
                <w:sz w:val="24"/>
                <w:szCs w:val="24"/>
              </w:rPr>
              <w:t>成果</w:t>
            </w:r>
            <w:r w:rsidRPr="00B717A9">
              <w:rPr>
                <w:rFonts w:ascii="宋体" w:hAnsi="宋体" w:hint="eastAsia"/>
                <w:b/>
                <w:sz w:val="24"/>
                <w:szCs w:val="24"/>
              </w:rPr>
              <w:t>与</w:t>
            </w:r>
            <w:r w:rsidR="001C6D8A">
              <w:rPr>
                <w:rFonts w:ascii="宋体" w:hAnsi="宋体" w:hint="eastAsia"/>
                <w:b/>
                <w:sz w:val="24"/>
                <w:szCs w:val="24"/>
              </w:rPr>
              <w:t>未来规划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3B8CCE9" w14:textId="5660894F" w:rsidR="003E5930" w:rsidRPr="00CA7FE8" w:rsidRDefault="00B717A9" w:rsidP="003E5930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公司一直坚定以中医为核心，</w:t>
            </w:r>
            <w:proofErr w:type="gramStart"/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做对</w:t>
            </w:r>
            <w:proofErr w:type="gramEnd"/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人类健康有影响力的事。</w:t>
            </w:r>
            <w:r w:rsidR="003E5930" w:rsidRPr="003E5930">
              <w:rPr>
                <w:rFonts w:ascii="宋体" w:hAnsi="宋体"/>
                <w:bCs/>
                <w:sz w:val="24"/>
                <w:szCs w:val="24"/>
              </w:rPr>
              <w:t>自2000年品牌成立以来，</w:t>
            </w:r>
            <w:proofErr w:type="gramStart"/>
            <w:r w:rsidR="003E5930" w:rsidRPr="003E5930">
              <w:rPr>
                <w:rFonts w:ascii="宋体" w:hAnsi="宋体"/>
                <w:bCs/>
                <w:sz w:val="24"/>
                <w:szCs w:val="24"/>
              </w:rPr>
              <w:t>倍</w:t>
            </w:r>
            <w:proofErr w:type="gramEnd"/>
            <w:r w:rsidR="003E5930" w:rsidRPr="003E5930">
              <w:rPr>
                <w:rFonts w:ascii="宋体" w:hAnsi="宋体"/>
                <w:bCs/>
                <w:sz w:val="24"/>
                <w:szCs w:val="24"/>
              </w:rPr>
              <w:t>轻松便坚定了“中医×科技”的发展道路，开启了以现代科技还原“真揉捏”按摩手法的漫长探索</w:t>
            </w:r>
            <w:r w:rsidR="003E5930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公司历经这些年的发展，逐步形成了自己的中医AI小模型，未来也将逐步探索中医AI大模型。相关产品也基于此有所突破</w:t>
            </w:r>
            <w:r w:rsidR="003E5930">
              <w:rPr>
                <w:rFonts w:ascii="宋体" w:hAnsi="宋体" w:hint="eastAsia"/>
                <w:bCs/>
                <w:sz w:val="24"/>
                <w:szCs w:val="24"/>
              </w:rPr>
              <w:t>，部分产品已经接入AI大模型。</w:t>
            </w:r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例如</w:t>
            </w:r>
            <w:r w:rsidR="009624C3">
              <w:rPr>
                <w:rFonts w:ascii="宋体" w:hAnsi="宋体" w:hint="eastAsia"/>
                <w:bCs/>
                <w:sz w:val="24"/>
                <w:szCs w:val="24"/>
              </w:rPr>
              <w:t>公司于2024年发布的see5 k等产品、目前正在</w:t>
            </w:r>
            <w:r w:rsidR="003E5930" w:rsidRPr="003E5930">
              <w:rPr>
                <w:rFonts w:ascii="宋体" w:hAnsi="宋体" w:hint="eastAsia"/>
                <w:bCs/>
                <w:sz w:val="24"/>
                <w:szCs w:val="24"/>
              </w:rPr>
              <w:t>与相关科研院所联合开发的带有脑电波检测仪的头部按摩器等产</w:t>
            </w:r>
            <w:r w:rsidR="003E5930" w:rsidRPr="00CA7FE8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品</w:t>
            </w:r>
            <w:r w:rsidR="009624C3" w:rsidRPr="00CA7FE8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，以及其他正在研究开发中的相关产品等</w:t>
            </w:r>
            <w:r w:rsidR="003E5930" w:rsidRPr="00CA7FE8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E3BA75B" w14:textId="3DCC0D55" w:rsidR="00B717A9" w:rsidRPr="003E5930" w:rsidRDefault="003E5930" w:rsidP="003E5930">
            <w:pPr>
              <w:snapToGrid w:val="0"/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3E5930">
              <w:rPr>
                <w:rFonts w:ascii="宋体" w:hAnsi="宋体" w:hint="eastAsia"/>
                <w:bCs/>
                <w:sz w:val="24"/>
                <w:szCs w:val="24"/>
              </w:rPr>
              <w:t>未来，公司将继续往智能便携按摩器的个性化与智能化方向、多功能融合方向、舒适性与便携性、集成化模块设计、互联互通等方向，紧密结合 AI智能做进一步研究开发。</w:t>
            </w:r>
          </w:p>
        </w:tc>
      </w:tr>
      <w:tr w:rsidR="004175EF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4E39A2E2" w14:textId="77777777" w:rsidR="004175EF" w:rsidRDefault="004175EF">
      <w:pPr>
        <w:spacing w:line="480" w:lineRule="atLeast"/>
        <w:rPr>
          <w:sz w:val="24"/>
          <w:szCs w:val="24"/>
        </w:rPr>
      </w:pPr>
    </w:p>
    <w:p w14:paraId="0D9C7EC9" w14:textId="77777777" w:rsidR="004175EF" w:rsidRDefault="004175EF">
      <w:pPr>
        <w:spacing w:line="480" w:lineRule="atLeast"/>
      </w:pPr>
    </w:p>
    <w:sectPr w:rsidR="004175EF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D703" w14:textId="77777777" w:rsidR="00BA3500" w:rsidRDefault="00BA3500">
      <w:r>
        <w:separator/>
      </w:r>
    </w:p>
  </w:endnote>
  <w:endnote w:type="continuationSeparator" w:id="0">
    <w:p w14:paraId="54CEA9FA" w14:textId="77777777" w:rsidR="00BA3500" w:rsidRDefault="00B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8654" w14:textId="77777777" w:rsidR="00BA3500" w:rsidRDefault="00BA3500">
      <w:r>
        <w:separator/>
      </w:r>
    </w:p>
  </w:footnote>
  <w:footnote w:type="continuationSeparator" w:id="0">
    <w:p w14:paraId="4E5ACCF8" w14:textId="77777777" w:rsidR="00BA3500" w:rsidRDefault="00BA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E56"/>
    <w:rsid w:val="00033280"/>
    <w:rsid w:val="000339D2"/>
    <w:rsid w:val="00042FB0"/>
    <w:rsid w:val="00055846"/>
    <w:rsid w:val="00060930"/>
    <w:rsid w:val="00061D8A"/>
    <w:rsid w:val="00067FF8"/>
    <w:rsid w:val="00074DEF"/>
    <w:rsid w:val="00075C98"/>
    <w:rsid w:val="00080951"/>
    <w:rsid w:val="000843E5"/>
    <w:rsid w:val="000954D0"/>
    <w:rsid w:val="000B64CF"/>
    <w:rsid w:val="000B7A4F"/>
    <w:rsid w:val="000C1394"/>
    <w:rsid w:val="000C40C7"/>
    <w:rsid w:val="000C76FE"/>
    <w:rsid w:val="000D1104"/>
    <w:rsid w:val="000D580D"/>
    <w:rsid w:val="000E1B7B"/>
    <w:rsid w:val="000E221F"/>
    <w:rsid w:val="000E3E2A"/>
    <w:rsid w:val="000E4652"/>
    <w:rsid w:val="000E6695"/>
    <w:rsid w:val="000E7713"/>
    <w:rsid w:val="000F0BB0"/>
    <w:rsid w:val="000F5CC1"/>
    <w:rsid w:val="000F6467"/>
    <w:rsid w:val="0010717F"/>
    <w:rsid w:val="001145CE"/>
    <w:rsid w:val="00114A81"/>
    <w:rsid w:val="00114FBE"/>
    <w:rsid w:val="00115106"/>
    <w:rsid w:val="00117012"/>
    <w:rsid w:val="00117201"/>
    <w:rsid w:val="00123582"/>
    <w:rsid w:val="001263CA"/>
    <w:rsid w:val="00130FF4"/>
    <w:rsid w:val="001401CD"/>
    <w:rsid w:val="00140CED"/>
    <w:rsid w:val="00141AEC"/>
    <w:rsid w:val="00147E51"/>
    <w:rsid w:val="0015471A"/>
    <w:rsid w:val="00165B75"/>
    <w:rsid w:val="00166D29"/>
    <w:rsid w:val="0017142F"/>
    <w:rsid w:val="00172A27"/>
    <w:rsid w:val="00174E61"/>
    <w:rsid w:val="00184288"/>
    <w:rsid w:val="001A6653"/>
    <w:rsid w:val="001A67A1"/>
    <w:rsid w:val="001A7271"/>
    <w:rsid w:val="001C22FF"/>
    <w:rsid w:val="001C3188"/>
    <w:rsid w:val="001C413B"/>
    <w:rsid w:val="001C6D8A"/>
    <w:rsid w:val="001D1FF5"/>
    <w:rsid w:val="001D5C41"/>
    <w:rsid w:val="001D5D67"/>
    <w:rsid w:val="001D7F4B"/>
    <w:rsid w:val="001E1699"/>
    <w:rsid w:val="001E31A9"/>
    <w:rsid w:val="001E53C9"/>
    <w:rsid w:val="001E7A8C"/>
    <w:rsid w:val="001F2869"/>
    <w:rsid w:val="00200B92"/>
    <w:rsid w:val="00207B5E"/>
    <w:rsid w:val="00211802"/>
    <w:rsid w:val="00212EA1"/>
    <w:rsid w:val="00215698"/>
    <w:rsid w:val="0024044D"/>
    <w:rsid w:val="002422BE"/>
    <w:rsid w:val="00254E9F"/>
    <w:rsid w:val="002569CE"/>
    <w:rsid w:val="0026070F"/>
    <w:rsid w:val="00264E86"/>
    <w:rsid w:val="0026687D"/>
    <w:rsid w:val="00280434"/>
    <w:rsid w:val="0028190D"/>
    <w:rsid w:val="0028462D"/>
    <w:rsid w:val="00294C5E"/>
    <w:rsid w:val="002B1903"/>
    <w:rsid w:val="002C6D2F"/>
    <w:rsid w:val="00302D08"/>
    <w:rsid w:val="00314FD5"/>
    <w:rsid w:val="00315E1C"/>
    <w:rsid w:val="003374A3"/>
    <w:rsid w:val="00346B85"/>
    <w:rsid w:val="00350EC7"/>
    <w:rsid w:val="00362EAF"/>
    <w:rsid w:val="00380604"/>
    <w:rsid w:val="003A4F18"/>
    <w:rsid w:val="003B3132"/>
    <w:rsid w:val="003B3382"/>
    <w:rsid w:val="003B445F"/>
    <w:rsid w:val="003C6540"/>
    <w:rsid w:val="003C716E"/>
    <w:rsid w:val="003C7A04"/>
    <w:rsid w:val="003D0A03"/>
    <w:rsid w:val="003D1EE8"/>
    <w:rsid w:val="003D3185"/>
    <w:rsid w:val="003E4369"/>
    <w:rsid w:val="003E549B"/>
    <w:rsid w:val="003E5930"/>
    <w:rsid w:val="003E6FB7"/>
    <w:rsid w:val="003F3FDE"/>
    <w:rsid w:val="004175EF"/>
    <w:rsid w:val="00420A4D"/>
    <w:rsid w:val="00420B0D"/>
    <w:rsid w:val="00427C59"/>
    <w:rsid w:val="00427F5E"/>
    <w:rsid w:val="00435066"/>
    <w:rsid w:val="00453A1E"/>
    <w:rsid w:val="00461808"/>
    <w:rsid w:val="00463243"/>
    <w:rsid w:val="0047657D"/>
    <w:rsid w:val="00477D03"/>
    <w:rsid w:val="00482287"/>
    <w:rsid w:val="0048457A"/>
    <w:rsid w:val="004909F6"/>
    <w:rsid w:val="004A51DD"/>
    <w:rsid w:val="004A524B"/>
    <w:rsid w:val="004A6053"/>
    <w:rsid w:val="004B3B44"/>
    <w:rsid w:val="004B3EF4"/>
    <w:rsid w:val="004B4F1A"/>
    <w:rsid w:val="004B50CB"/>
    <w:rsid w:val="004C3B09"/>
    <w:rsid w:val="004C556B"/>
    <w:rsid w:val="004D4D3D"/>
    <w:rsid w:val="004D645E"/>
    <w:rsid w:val="004E1A29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47D6F"/>
    <w:rsid w:val="005518C3"/>
    <w:rsid w:val="0055347E"/>
    <w:rsid w:val="00561859"/>
    <w:rsid w:val="0057116D"/>
    <w:rsid w:val="00576D5C"/>
    <w:rsid w:val="00580F88"/>
    <w:rsid w:val="005A237F"/>
    <w:rsid w:val="005A267D"/>
    <w:rsid w:val="005D3C70"/>
    <w:rsid w:val="005E30DB"/>
    <w:rsid w:val="005F0A02"/>
    <w:rsid w:val="005F5730"/>
    <w:rsid w:val="00622216"/>
    <w:rsid w:val="00623433"/>
    <w:rsid w:val="00631122"/>
    <w:rsid w:val="006344CA"/>
    <w:rsid w:val="0063609A"/>
    <w:rsid w:val="006379AD"/>
    <w:rsid w:val="00640EDB"/>
    <w:rsid w:val="00646261"/>
    <w:rsid w:val="0064652D"/>
    <w:rsid w:val="0064743B"/>
    <w:rsid w:val="00655AA3"/>
    <w:rsid w:val="0066189B"/>
    <w:rsid w:val="00661F08"/>
    <w:rsid w:val="006728DB"/>
    <w:rsid w:val="00677E71"/>
    <w:rsid w:val="00683FED"/>
    <w:rsid w:val="00684C71"/>
    <w:rsid w:val="006A0B47"/>
    <w:rsid w:val="006A4182"/>
    <w:rsid w:val="006A42BB"/>
    <w:rsid w:val="006B164F"/>
    <w:rsid w:val="006B5B35"/>
    <w:rsid w:val="006B71C8"/>
    <w:rsid w:val="006C1C46"/>
    <w:rsid w:val="006F4816"/>
    <w:rsid w:val="0070443A"/>
    <w:rsid w:val="00705C0F"/>
    <w:rsid w:val="007063C7"/>
    <w:rsid w:val="00706C3C"/>
    <w:rsid w:val="00715708"/>
    <w:rsid w:val="0071758B"/>
    <w:rsid w:val="0071783D"/>
    <w:rsid w:val="007211F2"/>
    <w:rsid w:val="007238C1"/>
    <w:rsid w:val="00724126"/>
    <w:rsid w:val="00732D62"/>
    <w:rsid w:val="00744EE7"/>
    <w:rsid w:val="0075005A"/>
    <w:rsid w:val="0076265E"/>
    <w:rsid w:val="00762C4B"/>
    <w:rsid w:val="007755AC"/>
    <w:rsid w:val="0079116B"/>
    <w:rsid w:val="00792F7E"/>
    <w:rsid w:val="00796585"/>
    <w:rsid w:val="007A225C"/>
    <w:rsid w:val="007A7BE0"/>
    <w:rsid w:val="007B26FB"/>
    <w:rsid w:val="007B5F3C"/>
    <w:rsid w:val="007C338F"/>
    <w:rsid w:val="007C352D"/>
    <w:rsid w:val="007C3F6C"/>
    <w:rsid w:val="007C6A5E"/>
    <w:rsid w:val="007E2CD7"/>
    <w:rsid w:val="007F2B76"/>
    <w:rsid w:val="00800036"/>
    <w:rsid w:val="008003CA"/>
    <w:rsid w:val="00800873"/>
    <w:rsid w:val="00800DE3"/>
    <w:rsid w:val="00803640"/>
    <w:rsid w:val="008154BB"/>
    <w:rsid w:val="00816656"/>
    <w:rsid w:val="00820223"/>
    <w:rsid w:val="008361A9"/>
    <w:rsid w:val="00857538"/>
    <w:rsid w:val="00862E86"/>
    <w:rsid w:val="008701C4"/>
    <w:rsid w:val="00887153"/>
    <w:rsid w:val="008C5679"/>
    <w:rsid w:val="008D1938"/>
    <w:rsid w:val="008D7A2D"/>
    <w:rsid w:val="008E3052"/>
    <w:rsid w:val="00914631"/>
    <w:rsid w:val="009322A1"/>
    <w:rsid w:val="0093647E"/>
    <w:rsid w:val="00936881"/>
    <w:rsid w:val="009416D5"/>
    <w:rsid w:val="00942B29"/>
    <w:rsid w:val="00950CC8"/>
    <w:rsid w:val="00961FA8"/>
    <w:rsid w:val="009624C3"/>
    <w:rsid w:val="0096334D"/>
    <w:rsid w:val="0096448C"/>
    <w:rsid w:val="00975582"/>
    <w:rsid w:val="009800B7"/>
    <w:rsid w:val="00981084"/>
    <w:rsid w:val="009A3F4B"/>
    <w:rsid w:val="009A677E"/>
    <w:rsid w:val="009A6A0C"/>
    <w:rsid w:val="009C2F99"/>
    <w:rsid w:val="009D1FC1"/>
    <w:rsid w:val="009E3575"/>
    <w:rsid w:val="009F0C4B"/>
    <w:rsid w:val="009F473E"/>
    <w:rsid w:val="00A05FE5"/>
    <w:rsid w:val="00A072BB"/>
    <w:rsid w:val="00A10CB5"/>
    <w:rsid w:val="00A2717A"/>
    <w:rsid w:val="00A309CA"/>
    <w:rsid w:val="00A315DE"/>
    <w:rsid w:val="00A34796"/>
    <w:rsid w:val="00A40947"/>
    <w:rsid w:val="00A41593"/>
    <w:rsid w:val="00A6238D"/>
    <w:rsid w:val="00A633BF"/>
    <w:rsid w:val="00A642EA"/>
    <w:rsid w:val="00A657F9"/>
    <w:rsid w:val="00A8623C"/>
    <w:rsid w:val="00A902B1"/>
    <w:rsid w:val="00A95EE9"/>
    <w:rsid w:val="00A96687"/>
    <w:rsid w:val="00AB083F"/>
    <w:rsid w:val="00AB1467"/>
    <w:rsid w:val="00AB3700"/>
    <w:rsid w:val="00AC203D"/>
    <w:rsid w:val="00AC2F08"/>
    <w:rsid w:val="00AE13D6"/>
    <w:rsid w:val="00AF0660"/>
    <w:rsid w:val="00AF1B44"/>
    <w:rsid w:val="00AF274D"/>
    <w:rsid w:val="00AF6F79"/>
    <w:rsid w:val="00B009C0"/>
    <w:rsid w:val="00B009C4"/>
    <w:rsid w:val="00B0315B"/>
    <w:rsid w:val="00B0444A"/>
    <w:rsid w:val="00B049EC"/>
    <w:rsid w:val="00B1408E"/>
    <w:rsid w:val="00B15282"/>
    <w:rsid w:val="00B203F7"/>
    <w:rsid w:val="00B33532"/>
    <w:rsid w:val="00B40122"/>
    <w:rsid w:val="00B41E3A"/>
    <w:rsid w:val="00B47BD3"/>
    <w:rsid w:val="00B5371A"/>
    <w:rsid w:val="00B54F3B"/>
    <w:rsid w:val="00B60B10"/>
    <w:rsid w:val="00B717A9"/>
    <w:rsid w:val="00B8046E"/>
    <w:rsid w:val="00B81FB7"/>
    <w:rsid w:val="00B90BFE"/>
    <w:rsid w:val="00BA0715"/>
    <w:rsid w:val="00BA2F69"/>
    <w:rsid w:val="00BA3500"/>
    <w:rsid w:val="00BA7F0A"/>
    <w:rsid w:val="00BB2890"/>
    <w:rsid w:val="00BB62D7"/>
    <w:rsid w:val="00BC0FCD"/>
    <w:rsid w:val="00BD4FCC"/>
    <w:rsid w:val="00BE00B5"/>
    <w:rsid w:val="00BE28A0"/>
    <w:rsid w:val="00BE61DE"/>
    <w:rsid w:val="00BF3CF1"/>
    <w:rsid w:val="00C133CD"/>
    <w:rsid w:val="00C14413"/>
    <w:rsid w:val="00C20449"/>
    <w:rsid w:val="00C2138E"/>
    <w:rsid w:val="00C31E1F"/>
    <w:rsid w:val="00C3326B"/>
    <w:rsid w:val="00C542E8"/>
    <w:rsid w:val="00C60143"/>
    <w:rsid w:val="00C64EB0"/>
    <w:rsid w:val="00C65821"/>
    <w:rsid w:val="00C706FD"/>
    <w:rsid w:val="00C943A0"/>
    <w:rsid w:val="00CA7FE8"/>
    <w:rsid w:val="00CB11EA"/>
    <w:rsid w:val="00CB67C8"/>
    <w:rsid w:val="00CC3CFC"/>
    <w:rsid w:val="00CD3CE5"/>
    <w:rsid w:val="00CE1329"/>
    <w:rsid w:val="00CE56ED"/>
    <w:rsid w:val="00CE65E1"/>
    <w:rsid w:val="00CF7CB0"/>
    <w:rsid w:val="00D06B3A"/>
    <w:rsid w:val="00D33FBB"/>
    <w:rsid w:val="00D3497C"/>
    <w:rsid w:val="00D35303"/>
    <w:rsid w:val="00D44D06"/>
    <w:rsid w:val="00D5448B"/>
    <w:rsid w:val="00D5472F"/>
    <w:rsid w:val="00D659AB"/>
    <w:rsid w:val="00D66E89"/>
    <w:rsid w:val="00D75546"/>
    <w:rsid w:val="00D76F32"/>
    <w:rsid w:val="00D7737C"/>
    <w:rsid w:val="00D77B70"/>
    <w:rsid w:val="00D80A29"/>
    <w:rsid w:val="00D80C8F"/>
    <w:rsid w:val="00D81D93"/>
    <w:rsid w:val="00D87672"/>
    <w:rsid w:val="00D92CF7"/>
    <w:rsid w:val="00DA6054"/>
    <w:rsid w:val="00DA6617"/>
    <w:rsid w:val="00DB14BC"/>
    <w:rsid w:val="00DB78A0"/>
    <w:rsid w:val="00DC6684"/>
    <w:rsid w:val="00DD1369"/>
    <w:rsid w:val="00DD19C5"/>
    <w:rsid w:val="00DD3DC1"/>
    <w:rsid w:val="00DD78B9"/>
    <w:rsid w:val="00DE12DB"/>
    <w:rsid w:val="00DE434D"/>
    <w:rsid w:val="00DE55FF"/>
    <w:rsid w:val="00DF1F95"/>
    <w:rsid w:val="00DF2F52"/>
    <w:rsid w:val="00DF7AE3"/>
    <w:rsid w:val="00E004A1"/>
    <w:rsid w:val="00E04163"/>
    <w:rsid w:val="00E10734"/>
    <w:rsid w:val="00E13D55"/>
    <w:rsid w:val="00E268FD"/>
    <w:rsid w:val="00E378D6"/>
    <w:rsid w:val="00E41BCC"/>
    <w:rsid w:val="00E4651A"/>
    <w:rsid w:val="00E65DEB"/>
    <w:rsid w:val="00E66795"/>
    <w:rsid w:val="00E80249"/>
    <w:rsid w:val="00E931E5"/>
    <w:rsid w:val="00EB11CD"/>
    <w:rsid w:val="00EB2225"/>
    <w:rsid w:val="00EB2FC2"/>
    <w:rsid w:val="00EB2FCD"/>
    <w:rsid w:val="00EB4131"/>
    <w:rsid w:val="00EB5703"/>
    <w:rsid w:val="00EB6AF2"/>
    <w:rsid w:val="00EB6B07"/>
    <w:rsid w:val="00ED0D47"/>
    <w:rsid w:val="00ED2420"/>
    <w:rsid w:val="00ED5FE1"/>
    <w:rsid w:val="00ED6D34"/>
    <w:rsid w:val="00EE28DF"/>
    <w:rsid w:val="00EF13AC"/>
    <w:rsid w:val="00EF2697"/>
    <w:rsid w:val="00EF476F"/>
    <w:rsid w:val="00F03B9C"/>
    <w:rsid w:val="00F119FC"/>
    <w:rsid w:val="00F37271"/>
    <w:rsid w:val="00F50DDE"/>
    <w:rsid w:val="00F51B5E"/>
    <w:rsid w:val="00F61F58"/>
    <w:rsid w:val="00F625B7"/>
    <w:rsid w:val="00F62C86"/>
    <w:rsid w:val="00F67CEF"/>
    <w:rsid w:val="00F75CE2"/>
    <w:rsid w:val="00FB49FA"/>
    <w:rsid w:val="00FC4510"/>
    <w:rsid w:val="00FD0D7C"/>
    <w:rsid w:val="00FD12FB"/>
    <w:rsid w:val="00FD290F"/>
    <w:rsid w:val="00FD5518"/>
    <w:rsid w:val="00FD5B56"/>
    <w:rsid w:val="00FD5FD0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156</Words>
  <Characters>891</Characters>
  <Application>Microsoft Office Word</Application>
  <DocSecurity>0</DocSecurity>
  <Lines>7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53</cp:revision>
  <cp:lastPrinted>2017-11-28T08:20:00Z</cp:lastPrinted>
  <dcterms:created xsi:type="dcterms:W3CDTF">2025-01-17T03:07:00Z</dcterms:created>
  <dcterms:modified xsi:type="dcterms:W3CDTF">2025-02-21T06:08:00Z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