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260" w:after="260" w:line="360" w:lineRule="auto"/>
        <w:jc w:val="center"/>
        <w:outlineLvl w:val="1"/>
        <w:rPr>
          <w:rFonts w:ascii="宋体" w:hAnsi="宋体" w:eastAsia="宋体" w:cs="Times New Roman"/>
          <w:b/>
          <w:bCs/>
          <w:i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iCs/>
          <w:sz w:val="24"/>
          <w:szCs w:val="24"/>
        </w:rPr>
        <w:t>证券代码：688573                        证券简称：信宇人</w:t>
      </w:r>
      <w:r>
        <w:rPr>
          <w:rFonts w:ascii="宋体" w:hAnsi="宋体" w:eastAsia="宋体" w:cs="Times New Roman"/>
          <w:b/>
          <w:bCs/>
          <w:iCs/>
          <w:sz w:val="24"/>
          <w:szCs w:val="24"/>
        </w:rPr>
        <w:t xml:space="preserve"> </w:t>
      </w:r>
    </w:p>
    <w:p>
      <w:pPr>
        <w:keepNext/>
        <w:keepLines/>
        <w:spacing w:before="156" w:beforeLines="50" w:line="360" w:lineRule="auto"/>
        <w:jc w:val="center"/>
        <w:outlineLvl w:val="1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深圳市信宇人科技股份有限公司</w:t>
      </w:r>
    </w:p>
    <w:p>
      <w:pPr>
        <w:keepNext/>
        <w:keepLines/>
        <w:spacing w:before="156" w:beforeLines="50" w:line="360" w:lineRule="auto"/>
        <w:jc w:val="center"/>
        <w:outlineLvl w:val="1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投资者关系活动记录表</w:t>
      </w:r>
    </w:p>
    <w:p>
      <w:pPr>
        <w:keepNext/>
        <w:keepLines/>
        <w:spacing w:before="260" w:after="260" w:line="360" w:lineRule="auto"/>
        <w:jc w:val="left"/>
        <w:outlineLvl w:val="1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编号：2025-00</w:t>
      </w:r>
      <w:r>
        <w:rPr>
          <w:rFonts w:ascii="宋体" w:hAnsi="宋体" w:eastAsia="宋体" w:cs="Times New Roman"/>
          <w:b/>
          <w:bCs/>
          <w:sz w:val="24"/>
          <w:szCs w:val="24"/>
        </w:rPr>
        <w:t>1</w:t>
      </w:r>
    </w:p>
    <w:tbl>
      <w:tblPr>
        <w:tblStyle w:val="7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7"/>
        <w:gridCol w:w="5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7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分析师会议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业绩说明会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路演活动</w:t>
            </w:r>
          </w:p>
          <w:p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现场参观            ☑电话会议</w:t>
            </w:r>
          </w:p>
          <w:p>
            <w:pPr>
              <w:tabs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 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7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5704" w:type="dxa"/>
            <w:shd w:val="clear" w:color="auto" w:fill="auto"/>
          </w:tcPr>
          <w:p>
            <w:pPr>
              <w:tabs>
                <w:tab w:val="center" w:pos="2798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西南证券、财通证券、山西证券、华福证券、海通证券、永赢基金、中海基金、中信建投基金、兴业基金、格林基金、远信投资、长信基金、长城基金、望正资产、中金公司、瀚伦投资、中泰证券、红土创新基金、国泰君安、国信证券、香港盈泰、惠通基金、诚林资产、东证资管、红杉资本、信达资管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7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5704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年3月3日  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7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5704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线上会议+公司会议室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7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704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董事、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董事会秘书：</w:t>
            </w:r>
            <w:r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余德山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首席科学家：郑为工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公司控股子公司深圳市亚微新材料有限公司总经理、核心技术人员：黄斌卿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证券事务代表：</w:t>
            </w:r>
            <w:r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谢怡凡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817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704" w:type="dxa"/>
            <w:shd w:val="clear" w:color="auto" w:fill="auto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eastAsia="宋体" w:cs="Times New Roman"/>
                <w:b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>请介绍一下公司磁电存储项目的进展和合作模式？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目前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公司控股子公司亚微新材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正持续配合客户对磁性存储材料的涂布工艺进行优化和开发，目前已取得一定进展。但磁性存储材料的研发涉及溶液制备，涂布工艺，磁材料规整等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多个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工艺段，整个产品的难点还有很多。目前公司与合作方尚属合作技术开发阶段，未对未来的合作模式有进一步的明确。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>2、</w:t>
            </w: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>亚微</w:t>
            </w: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  <w:lang w:val="en-US" w:eastAsia="zh-CN"/>
              </w:rPr>
              <w:t>新材</w:t>
            </w: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>主要参与磁电存储项目的哪些关键环节？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亚微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新材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主要参与涂布工艺这一关键环节的技术合作。磁性材料设备涂布不同于锂电涂布，它需要在超薄的基材上连续涂布2-3层纳米厚度的涂层，而且涂层的均匀性对产品的性能影响很大，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因此对于涂布工艺的精度要求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非常高。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>是否清楚客户项目的实施进度？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目前项目比较保密，具体的实施进度我们不清楚。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i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>4、</w:t>
            </w: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>亚微</w:t>
            </w: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  <w:lang w:val="en-US" w:eastAsia="zh-CN"/>
              </w:rPr>
              <w:t>新材</w:t>
            </w: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>是如何参与到该项目的？客户为何会选择和亚微合作？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亚微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新材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作为一家专注于卷对卷涂布材料开发的公司，对涂布工艺有长远深入的研究，且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亚微新材的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技术团队前期已在3M有对磁性材料开发的经验积累，加上母公司有相应的涂布设备设计的能力，因此亚微新材在设备，工艺，经验上都有非常大的优势。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另外客户端的研发人员有了解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亚微新材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团队有相关的研发成功经验，所以主动有对接实施共同研发。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iCs/>
                <w:sz w:val="24"/>
                <w:szCs w:val="24"/>
              </w:rPr>
            </w:pP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eastAsia="宋体" w:cs="Times New Roman"/>
                <w:b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>除了磁电项目外，亚微和客户是否还有其他项目在合作？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我们和客户基础材料实验室有比较多的研发项目在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合作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目前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在一些TIM散热相关的材料有较多的进展，因有保密协议，具体细节不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便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透露。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>6、</w:t>
            </w: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>介绍一下除与头部客户的合作外，亚微还有哪些具备竞争优势的产品？目前研发及商业化进度如何？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目前亚微比较有竞争力的产品主要有用于Mini/Micro LED的封装材料和光学膜材料，目前在数家企业已经开始材料导入。亚微是国内少数具有Mini/Micro LED芯片巨量转移膜材量产能力的企业。最近，该巨量转移膜已开始向国内主力客户小批量出货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由于还在初期阶段，目前对收入和业绩暂时未产生影响。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>、之前调研公司提到在干法涂布技术有较多的专利布局，目前干法涂布的进展如何？能否说说干法涂布机的商业化时间表？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自2017年起，公司便开始着手干法涂布技术的研究。目前，公司在干法领域已拥有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项专利，其中已授权发明专利3项，实用新型5项。同时还有1-2项专利正在申请中，以进一步完善我们在该领域的知识产权布局。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另一方面，我们积极与国内头部企业开展技术交流。通过交流，我们了解到头部企业在干法涂布市场上对现有装备存在一些担忧，主要集中在以下两个方面：一是干粉在传递到极片时的不均匀性；二是计量的准确性。针对这些问题，我们公司正在根据头部企业的反馈和考量，对相关技术进行突破。目前我司的干法涂布样机还在生产制造过程中，未来不排除和头部客户合作研发的可能。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ascii="宋体" w:hAnsi="宋体" w:eastAsia="宋体" w:cs="Times New Roman"/>
                <w:b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  <w:lang w:val="en-US" w:eastAsia="zh-CN"/>
              </w:rPr>
              <w:t>8、</w:t>
            </w: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>公司的干法涂布和目前特斯拉及纳科诺尔的干法涂布有何区别？有哪些优势？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目前市场上，国内多数干法涂布技术在干粉上料过程中，存在上料不均匀以及部分粉体无法完全转移到极片上的问题。针对这些问题，我们公司采用了独特的技术方案：在机体上预先涂覆一层导电粘接剂，这样在上粉过程中，能够有效防止粉料飞洒到极片以外的区域。同时，我们正在开发精密的干粉计量装置，这对于提高电极的一致性具有显著帮助，也是我们与目前以辊压为主的干法涂布技术的一个重要区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7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5704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7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是否涉及应当披露重大信息</w:t>
            </w:r>
          </w:p>
        </w:tc>
        <w:tc>
          <w:tcPr>
            <w:tcW w:w="5704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7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70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2025年3月3日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2C50"/>
    <w:multiLevelType w:val="singleLevel"/>
    <w:tmpl w:val="CFC92C50"/>
    <w:lvl w:ilvl="0" w:tentative="0">
      <w:start w:val="5"/>
      <w:numFmt w:val="decimal"/>
      <w:lvlText w:val="%1、"/>
      <w:lvlJc w:val="left"/>
    </w:lvl>
  </w:abstractNum>
  <w:abstractNum w:abstractNumId="1">
    <w:nsid w:val="FF1C6B92"/>
    <w:multiLevelType w:val="singleLevel"/>
    <w:tmpl w:val="FF1C6B92"/>
    <w:lvl w:ilvl="0" w:tentative="0">
      <w:start w:val="1"/>
      <w:numFmt w:val="decimal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1MDY3Y2RiZDljNTAxNDIzMzNlMTRkMmRkYjJhZGMifQ=="/>
  </w:docVars>
  <w:rsids>
    <w:rsidRoot w:val="00D20A50"/>
    <w:rsid w:val="004C0075"/>
    <w:rsid w:val="006244DD"/>
    <w:rsid w:val="00D20A50"/>
    <w:rsid w:val="00F02B9B"/>
    <w:rsid w:val="00FB07AB"/>
    <w:rsid w:val="184328A0"/>
    <w:rsid w:val="28DA1DEF"/>
    <w:rsid w:val="48DD3F9B"/>
    <w:rsid w:val="4CD90842"/>
    <w:rsid w:val="54060014"/>
    <w:rsid w:val="5FF21B28"/>
    <w:rsid w:val="72D1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16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autoRedefine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autoRedefine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autoRedefine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9"/>
    <w:link w:val="4"/>
    <w:autoRedefine/>
    <w:qFormat/>
    <w:uiPriority w:val="99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4">
    <w:name w:val="批注文字 Char"/>
    <w:basedOn w:val="9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311</Words>
  <Characters>1779</Characters>
  <Lines>14</Lines>
  <Paragraphs>4</Paragraphs>
  <TotalTime>3</TotalTime>
  <ScaleCrop>false</ScaleCrop>
  <LinksUpToDate>false</LinksUpToDate>
  <CharactersWithSpaces>2086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2025-03-03T08:49:00Z</dcterms:created>
  <dc:creator>Li Xiang</dc:creator>
  <cp:lastModifiedBy>谢怡凡</cp:lastModifiedBy>
  <dcterms:modified xsi:type="dcterms:W3CDTF">2025-03-03T09:58:38Z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E1A8CA8A852F41E698FBBC1D47AA9CC9_13</vt:lpwstr>
  </property>
</Properties>
</file>