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D2749" w14:textId="77777777" w:rsidR="004D1B9E" w:rsidRDefault="006A22C2" w:rsidP="00EC471D">
      <w:pPr>
        <w:spacing w:line="420" w:lineRule="exact"/>
        <w:rPr>
          <w:rFonts w:ascii="宋体" w:hAnsi="宋体"/>
          <w:b/>
          <w:iCs/>
          <w:szCs w:val="21"/>
        </w:rPr>
      </w:pPr>
      <w:r>
        <w:rPr>
          <w:rFonts w:ascii="宋体" w:hAnsi="宋体"/>
          <w:b/>
          <w:iCs/>
          <w:szCs w:val="21"/>
        </w:rPr>
        <w:t>证券代码：</w:t>
      </w:r>
      <w:r>
        <w:rPr>
          <w:rFonts w:ascii="宋体" w:hAnsi="宋体"/>
          <w:b/>
          <w:iCs/>
          <w:szCs w:val="21"/>
        </w:rPr>
        <w:t xml:space="preserve">688100                                            </w:t>
      </w:r>
      <w:r>
        <w:rPr>
          <w:rFonts w:ascii="宋体" w:hAnsi="宋体"/>
          <w:b/>
          <w:iCs/>
          <w:szCs w:val="21"/>
        </w:rPr>
        <w:t>证券简称：</w:t>
      </w:r>
      <w:r>
        <w:rPr>
          <w:rFonts w:ascii="宋体" w:hAnsi="宋体" w:hint="eastAsia"/>
          <w:b/>
          <w:iCs/>
          <w:szCs w:val="21"/>
        </w:rPr>
        <w:t>威胜信息</w:t>
      </w:r>
    </w:p>
    <w:p w14:paraId="6B18BC72" w14:textId="77777777" w:rsidR="004D1B9E" w:rsidRDefault="006A22C2" w:rsidP="00EC471D">
      <w:pPr>
        <w:spacing w:beforeLines="150" w:before="468" w:afterLines="50" w:after="156" w:line="420" w:lineRule="exact"/>
        <w:jc w:val="center"/>
        <w:rPr>
          <w:rFonts w:ascii="宋体" w:hAnsi="宋体"/>
          <w:b/>
          <w:bCs/>
          <w:iCs/>
          <w:sz w:val="32"/>
          <w:szCs w:val="32"/>
        </w:rPr>
      </w:pPr>
      <w:r>
        <w:rPr>
          <w:rFonts w:ascii="宋体" w:hAnsi="宋体" w:hint="eastAsia"/>
          <w:b/>
          <w:bCs/>
          <w:iCs/>
          <w:sz w:val="32"/>
          <w:szCs w:val="32"/>
        </w:rPr>
        <w:t>威胜信息技术股份有限公司</w:t>
      </w:r>
    </w:p>
    <w:p w14:paraId="463E81AB" w14:textId="6D2CE0AA" w:rsidR="004D1B9E" w:rsidRDefault="006A22C2" w:rsidP="00EC471D">
      <w:pPr>
        <w:spacing w:beforeLines="50" w:before="156" w:afterLines="150" w:after="468" w:line="420" w:lineRule="exact"/>
        <w:jc w:val="center"/>
        <w:rPr>
          <w:rFonts w:ascii="宋体" w:hAnsi="宋体"/>
          <w:b/>
          <w:bCs/>
          <w:iCs/>
          <w:sz w:val="32"/>
          <w:szCs w:val="32"/>
        </w:rPr>
      </w:pPr>
      <w:r>
        <w:rPr>
          <w:rFonts w:ascii="宋体" w:hAnsi="宋体"/>
          <w:b/>
          <w:bCs/>
          <w:iCs/>
          <w:sz w:val="32"/>
          <w:szCs w:val="32"/>
        </w:rPr>
        <w:t>2025</w:t>
      </w:r>
      <w:r>
        <w:rPr>
          <w:rFonts w:ascii="宋体" w:hAnsi="宋体" w:hint="eastAsia"/>
          <w:b/>
          <w:bCs/>
          <w:iCs/>
          <w:sz w:val="32"/>
          <w:szCs w:val="32"/>
        </w:rPr>
        <w:t>年</w:t>
      </w:r>
      <w:r>
        <w:rPr>
          <w:rFonts w:ascii="宋体" w:hAnsi="宋体" w:hint="eastAsia"/>
          <w:b/>
          <w:bCs/>
          <w:iCs/>
          <w:sz w:val="32"/>
          <w:szCs w:val="32"/>
        </w:rPr>
        <w:t>2</w:t>
      </w:r>
      <w:r>
        <w:rPr>
          <w:rFonts w:ascii="宋体" w:hAnsi="宋体" w:hint="eastAsia"/>
          <w:b/>
          <w:bCs/>
          <w:iCs/>
          <w:sz w:val="32"/>
          <w:szCs w:val="32"/>
        </w:rPr>
        <w:t>月</w:t>
      </w:r>
      <w:r>
        <w:rPr>
          <w:rFonts w:ascii="宋体" w:hAnsi="宋体"/>
          <w:b/>
          <w:bCs/>
          <w:iCs/>
          <w:sz w:val="32"/>
          <w:szCs w:val="32"/>
        </w:rPr>
        <w:t>28</w:t>
      </w:r>
      <w:r>
        <w:rPr>
          <w:rFonts w:ascii="宋体" w:hAnsi="宋体"/>
          <w:b/>
          <w:bCs/>
          <w:iCs/>
          <w:sz w:val="32"/>
          <w:szCs w:val="32"/>
        </w:rPr>
        <w:t>日</w:t>
      </w:r>
      <w:r w:rsidR="00EC471D">
        <w:rPr>
          <w:rFonts w:ascii="宋体" w:hAnsi="宋体" w:hint="eastAsia"/>
          <w:b/>
          <w:bCs/>
          <w:iCs/>
          <w:sz w:val="32"/>
          <w:szCs w:val="32"/>
        </w:rPr>
        <w:t>投资者交流会纪要</w:t>
      </w:r>
    </w:p>
    <w:p w14:paraId="7FC29C83" w14:textId="77777777" w:rsidR="004D1B9E" w:rsidRDefault="006A22C2" w:rsidP="00EC471D">
      <w:pPr>
        <w:spacing w:line="420" w:lineRule="exact"/>
        <w:ind w:firstLineChars="177" w:firstLine="425"/>
        <w:rPr>
          <w:rFonts w:ascii="宋体" w:hAnsi="宋体"/>
          <w:sz w:val="24"/>
        </w:rPr>
      </w:pPr>
      <w:r>
        <w:rPr>
          <w:rFonts w:ascii="宋体" w:hAnsi="宋体" w:hint="eastAsia"/>
          <w:sz w:val="24"/>
        </w:rPr>
        <w:t>威胜信息技术股份有限公司（以下简称“公司”）</w:t>
      </w:r>
      <w:r>
        <w:rPr>
          <w:rFonts w:ascii="宋体" w:hAnsi="宋体" w:hint="eastAsia"/>
          <w:sz w:val="24"/>
        </w:rPr>
        <w:t>2</w:t>
      </w:r>
      <w:r>
        <w:rPr>
          <w:rFonts w:ascii="宋体" w:hAnsi="宋体"/>
          <w:sz w:val="24"/>
        </w:rPr>
        <w:t>024</w:t>
      </w:r>
      <w:r>
        <w:rPr>
          <w:rFonts w:ascii="宋体" w:hAnsi="宋体" w:hint="eastAsia"/>
          <w:sz w:val="24"/>
        </w:rPr>
        <w:t>年</w:t>
      </w:r>
      <w:r>
        <w:rPr>
          <w:rFonts w:ascii="宋体" w:hAnsi="宋体" w:hint="eastAsia"/>
          <w:sz w:val="24"/>
        </w:rPr>
        <w:t>2</w:t>
      </w:r>
      <w:r>
        <w:rPr>
          <w:rFonts w:ascii="宋体" w:hAnsi="宋体" w:hint="eastAsia"/>
          <w:sz w:val="24"/>
        </w:rPr>
        <w:t>月</w:t>
      </w:r>
      <w:r>
        <w:rPr>
          <w:rFonts w:ascii="宋体" w:hAnsi="宋体"/>
          <w:sz w:val="24"/>
        </w:rPr>
        <w:t>28</w:t>
      </w:r>
      <w:r>
        <w:rPr>
          <w:rFonts w:ascii="宋体" w:hAnsi="宋体"/>
          <w:sz w:val="24"/>
        </w:rPr>
        <w:t>日</w:t>
      </w:r>
      <w:r>
        <w:rPr>
          <w:rFonts w:ascii="宋体" w:hAnsi="宋体" w:hint="eastAsia"/>
          <w:sz w:val="24"/>
        </w:rPr>
        <w:t>交流情况如下：</w:t>
      </w:r>
    </w:p>
    <w:p w14:paraId="6C076469" w14:textId="77777777" w:rsidR="004D1B9E" w:rsidRDefault="006A22C2" w:rsidP="00EC471D">
      <w:pPr>
        <w:pStyle w:val="ad"/>
        <w:numPr>
          <w:ilvl w:val="0"/>
          <w:numId w:val="1"/>
        </w:numPr>
        <w:spacing w:line="420" w:lineRule="exact"/>
        <w:ind w:left="709" w:firstLineChars="0"/>
        <w:rPr>
          <w:rFonts w:ascii="宋体" w:hAnsi="宋体"/>
          <w:b/>
          <w:bCs/>
          <w:sz w:val="24"/>
        </w:rPr>
      </w:pPr>
      <w:r>
        <w:rPr>
          <w:rFonts w:ascii="宋体" w:hAnsi="宋体" w:hint="eastAsia"/>
          <w:b/>
          <w:bCs/>
          <w:sz w:val="24"/>
        </w:rPr>
        <w:t>参会人员</w:t>
      </w:r>
    </w:p>
    <w:p w14:paraId="0D8DA355" w14:textId="77777777" w:rsidR="004D1B9E" w:rsidRDefault="006A22C2" w:rsidP="00EC471D">
      <w:pPr>
        <w:pStyle w:val="a5"/>
        <w:spacing w:line="420" w:lineRule="exact"/>
        <w:ind w:firstLineChars="200" w:firstLine="480"/>
        <w:rPr>
          <w:rFonts w:hAnsi="宋体"/>
          <w:sz w:val="24"/>
        </w:rPr>
      </w:pPr>
      <w:r>
        <w:rPr>
          <w:rFonts w:hAnsi="宋体" w:hint="eastAsia"/>
          <w:sz w:val="24"/>
        </w:rPr>
        <w:t>董事长：李鸿女士；副总裁、董事会秘书兼财务总监：</w:t>
      </w:r>
      <w:proofErr w:type="gramStart"/>
      <w:r>
        <w:rPr>
          <w:rFonts w:hAnsi="宋体" w:hint="eastAsia"/>
          <w:sz w:val="24"/>
        </w:rPr>
        <w:t>钟喜玉女</w:t>
      </w:r>
      <w:proofErr w:type="gramEnd"/>
      <w:r>
        <w:rPr>
          <w:rFonts w:hAnsi="宋体" w:hint="eastAsia"/>
          <w:sz w:val="24"/>
        </w:rPr>
        <w:t>士；战略发展总监：吴浩先生、通信及芯片事业群总经理：肖林松；证券事务代表：余萱女士；投资者关系经理：</w:t>
      </w:r>
      <w:proofErr w:type="gramStart"/>
      <w:r>
        <w:rPr>
          <w:rFonts w:hAnsi="宋体" w:hint="eastAsia"/>
          <w:sz w:val="24"/>
        </w:rPr>
        <w:t>张乐维先生</w:t>
      </w:r>
      <w:proofErr w:type="gramEnd"/>
    </w:p>
    <w:p w14:paraId="5A29377F" w14:textId="77777777" w:rsidR="004D1B9E" w:rsidRDefault="006A22C2" w:rsidP="00EC471D">
      <w:pPr>
        <w:pStyle w:val="a5"/>
        <w:spacing w:line="420" w:lineRule="exact"/>
        <w:ind w:firstLineChars="200" w:firstLine="480"/>
        <w:rPr>
          <w:rFonts w:hAnsi="宋体"/>
          <w:sz w:val="24"/>
        </w:rPr>
      </w:pPr>
      <w:r>
        <w:rPr>
          <w:rFonts w:hAnsi="宋体" w:hint="eastAsia"/>
          <w:sz w:val="24"/>
        </w:rPr>
        <w:t>机构参会：</w:t>
      </w:r>
    </w:p>
    <w:p w14:paraId="523594CE" w14:textId="77777777" w:rsidR="004D1B9E" w:rsidRDefault="006A22C2" w:rsidP="00EC471D">
      <w:pPr>
        <w:pStyle w:val="a5"/>
        <w:spacing w:line="420" w:lineRule="exact"/>
        <w:ind w:firstLineChars="200" w:firstLine="480"/>
        <w:rPr>
          <w:rFonts w:hAnsi="宋体"/>
          <w:sz w:val="24"/>
        </w:rPr>
      </w:pPr>
      <w:r>
        <w:rPr>
          <w:rFonts w:hAnsi="宋体"/>
          <w:sz w:val="24"/>
        </w:rPr>
        <w:t>第一场</w:t>
      </w:r>
      <w:r>
        <w:rPr>
          <w:rFonts w:hAnsi="宋体" w:hint="eastAsia"/>
          <w:sz w:val="24"/>
        </w:rPr>
        <w:t>：现场调研</w:t>
      </w:r>
    </w:p>
    <w:p w14:paraId="747EDA32" w14:textId="77777777" w:rsidR="004D1B9E" w:rsidRDefault="006A22C2" w:rsidP="00EC471D">
      <w:pPr>
        <w:pStyle w:val="a5"/>
        <w:spacing w:line="420" w:lineRule="exact"/>
        <w:ind w:firstLineChars="200" w:firstLine="480"/>
        <w:rPr>
          <w:rFonts w:hAnsi="宋体"/>
          <w:sz w:val="24"/>
        </w:rPr>
      </w:pPr>
      <w:r>
        <w:rPr>
          <w:rFonts w:hAnsi="宋体" w:hint="eastAsia"/>
          <w:sz w:val="24"/>
        </w:rPr>
        <w:t>华夏基金、广发证券</w:t>
      </w:r>
    </w:p>
    <w:p w14:paraId="45680CF0" w14:textId="77777777" w:rsidR="004D1B9E" w:rsidRDefault="006A22C2" w:rsidP="00EC471D">
      <w:pPr>
        <w:pStyle w:val="a5"/>
        <w:spacing w:line="420" w:lineRule="exact"/>
        <w:ind w:firstLineChars="200" w:firstLine="480"/>
        <w:rPr>
          <w:rFonts w:hAnsi="宋体"/>
          <w:sz w:val="24"/>
        </w:rPr>
      </w:pPr>
      <w:r>
        <w:rPr>
          <w:rFonts w:hAnsi="宋体"/>
          <w:sz w:val="24"/>
        </w:rPr>
        <w:t>第二场</w:t>
      </w:r>
      <w:r>
        <w:rPr>
          <w:rFonts w:hAnsi="宋体" w:hint="eastAsia"/>
          <w:sz w:val="24"/>
        </w:rPr>
        <w:t>：</w:t>
      </w:r>
      <w:r>
        <w:rPr>
          <w:rFonts w:hAnsi="宋体"/>
          <w:sz w:val="24"/>
        </w:rPr>
        <w:t>现场调研</w:t>
      </w:r>
    </w:p>
    <w:p w14:paraId="044EDA1F" w14:textId="77777777" w:rsidR="004D1B9E" w:rsidRDefault="006A22C2" w:rsidP="00EC471D">
      <w:pPr>
        <w:pStyle w:val="a5"/>
        <w:spacing w:line="420" w:lineRule="exact"/>
        <w:ind w:firstLineChars="200" w:firstLine="480"/>
        <w:rPr>
          <w:rFonts w:hAnsi="宋体"/>
          <w:sz w:val="24"/>
        </w:rPr>
      </w:pPr>
      <w:r>
        <w:rPr>
          <w:rFonts w:hAnsi="宋体"/>
          <w:sz w:val="24"/>
        </w:rPr>
        <w:t>中信证券</w:t>
      </w:r>
    </w:p>
    <w:p w14:paraId="0C51472F" w14:textId="77777777" w:rsidR="004D1B9E" w:rsidRDefault="006A22C2" w:rsidP="00EC471D">
      <w:pPr>
        <w:pStyle w:val="a5"/>
        <w:spacing w:line="420" w:lineRule="exact"/>
        <w:ind w:firstLineChars="200" w:firstLine="480"/>
        <w:rPr>
          <w:rFonts w:hAnsi="宋体"/>
          <w:sz w:val="24"/>
        </w:rPr>
      </w:pPr>
      <w:r>
        <w:rPr>
          <w:rFonts w:hAnsi="宋体"/>
          <w:sz w:val="24"/>
        </w:rPr>
        <w:t>第三场</w:t>
      </w:r>
      <w:r>
        <w:rPr>
          <w:rFonts w:hAnsi="宋体" w:hint="eastAsia"/>
          <w:sz w:val="24"/>
        </w:rPr>
        <w:t>：</w:t>
      </w:r>
      <w:r>
        <w:rPr>
          <w:rFonts w:hAnsi="宋体"/>
          <w:sz w:val="24"/>
        </w:rPr>
        <w:t>现场调研</w:t>
      </w:r>
    </w:p>
    <w:p w14:paraId="67F0CF04" w14:textId="77777777" w:rsidR="004D1B9E" w:rsidRDefault="006A22C2" w:rsidP="00EC471D">
      <w:pPr>
        <w:pStyle w:val="a5"/>
        <w:spacing w:line="420" w:lineRule="exact"/>
        <w:ind w:firstLineChars="200" w:firstLine="480"/>
        <w:rPr>
          <w:rFonts w:hAnsi="宋体"/>
          <w:sz w:val="24"/>
        </w:rPr>
      </w:pPr>
      <w:r>
        <w:rPr>
          <w:rFonts w:hAnsi="宋体"/>
          <w:sz w:val="24"/>
        </w:rPr>
        <w:t>兴全</w:t>
      </w:r>
      <w:r>
        <w:rPr>
          <w:rFonts w:hAnsi="宋体" w:hint="eastAsia"/>
          <w:sz w:val="24"/>
        </w:rPr>
        <w:t>基金</w:t>
      </w:r>
      <w:r>
        <w:rPr>
          <w:rFonts w:hAnsi="宋体"/>
          <w:sz w:val="24"/>
        </w:rPr>
        <w:t>、方正证券</w:t>
      </w:r>
    </w:p>
    <w:p w14:paraId="237BEC33" w14:textId="77777777" w:rsidR="004D1B9E" w:rsidRDefault="006A22C2" w:rsidP="00EC471D">
      <w:pPr>
        <w:pStyle w:val="a5"/>
        <w:spacing w:line="420" w:lineRule="exact"/>
        <w:ind w:firstLineChars="200" w:firstLine="480"/>
        <w:rPr>
          <w:rFonts w:hAnsi="宋体"/>
          <w:sz w:val="24"/>
        </w:rPr>
      </w:pPr>
      <w:r>
        <w:rPr>
          <w:rFonts w:hAnsi="宋体"/>
          <w:sz w:val="24"/>
        </w:rPr>
        <w:t>第四场</w:t>
      </w:r>
      <w:r>
        <w:rPr>
          <w:rFonts w:hAnsi="宋体" w:hint="eastAsia"/>
          <w:sz w:val="24"/>
        </w:rPr>
        <w:t>：现场调研</w:t>
      </w:r>
    </w:p>
    <w:p w14:paraId="44A6077F" w14:textId="77777777" w:rsidR="004D1B9E" w:rsidRDefault="006A22C2" w:rsidP="00EC471D">
      <w:pPr>
        <w:pStyle w:val="a5"/>
        <w:spacing w:line="420" w:lineRule="exact"/>
        <w:ind w:firstLineChars="200" w:firstLine="480"/>
        <w:rPr>
          <w:rFonts w:hAnsi="宋体"/>
          <w:sz w:val="24"/>
        </w:rPr>
      </w:pPr>
      <w:r>
        <w:rPr>
          <w:rFonts w:hAnsi="宋体"/>
          <w:sz w:val="24"/>
        </w:rPr>
        <w:t>招商基金</w:t>
      </w:r>
    </w:p>
    <w:p w14:paraId="23284F6A" w14:textId="77777777" w:rsidR="004D1B9E" w:rsidRDefault="006A22C2" w:rsidP="00EC471D">
      <w:pPr>
        <w:pStyle w:val="a5"/>
        <w:spacing w:line="420" w:lineRule="exact"/>
        <w:ind w:firstLineChars="200" w:firstLine="480"/>
        <w:rPr>
          <w:rFonts w:hAnsi="宋体"/>
          <w:sz w:val="24"/>
        </w:rPr>
      </w:pPr>
      <w:r>
        <w:rPr>
          <w:rFonts w:hAnsi="宋体"/>
          <w:sz w:val="24"/>
        </w:rPr>
        <w:t>第五场</w:t>
      </w:r>
      <w:r>
        <w:rPr>
          <w:rFonts w:hAnsi="宋体" w:hint="eastAsia"/>
          <w:sz w:val="24"/>
        </w:rPr>
        <w:t>：</w:t>
      </w:r>
      <w:r>
        <w:rPr>
          <w:rFonts w:hAnsi="宋体"/>
          <w:sz w:val="24"/>
        </w:rPr>
        <w:t>现场调研</w:t>
      </w:r>
    </w:p>
    <w:p w14:paraId="3A885B6B" w14:textId="77777777" w:rsidR="004D1B9E" w:rsidRDefault="006A22C2" w:rsidP="00EC471D">
      <w:pPr>
        <w:pStyle w:val="a5"/>
        <w:spacing w:line="420" w:lineRule="exact"/>
        <w:ind w:firstLineChars="200" w:firstLine="480"/>
        <w:rPr>
          <w:rFonts w:hAnsi="宋体"/>
          <w:sz w:val="24"/>
        </w:rPr>
      </w:pPr>
      <w:r>
        <w:rPr>
          <w:rFonts w:hAnsi="宋体"/>
          <w:sz w:val="24"/>
        </w:rPr>
        <w:t>华商基金</w:t>
      </w:r>
    </w:p>
    <w:p w14:paraId="630FCA97" w14:textId="77777777" w:rsidR="004D1B9E" w:rsidRDefault="006A22C2" w:rsidP="00EC471D">
      <w:pPr>
        <w:pStyle w:val="a5"/>
        <w:spacing w:line="420" w:lineRule="exact"/>
        <w:ind w:firstLineChars="200" w:firstLine="480"/>
        <w:rPr>
          <w:rFonts w:hAnsi="宋体"/>
          <w:sz w:val="24"/>
        </w:rPr>
      </w:pPr>
      <w:r>
        <w:rPr>
          <w:rFonts w:hAnsi="宋体"/>
          <w:sz w:val="24"/>
        </w:rPr>
        <w:t>第六场</w:t>
      </w:r>
      <w:r>
        <w:rPr>
          <w:rFonts w:hAnsi="宋体" w:hint="eastAsia"/>
          <w:sz w:val="24"/>
        </w:rPr>
        <w:t>：</w:t>
      </w:r>
      <w:r>
        <w:rPr>
          <w:rFonts w:hAnsi="宋体"/>
          <w:sz w:val="24"/>
        </w:rPr>
        <w:t>电话会议</w:t>
      </w:r>
    </w:p>
    <w:p w14:paraId="7A3D3253" w14:textId="77777777" w:rsidR="004D1B9E" w:rsidRDefault="006A22C2" w:rsidP="00EC471D">
      <w:pPr>
        <w:pStyle w:val="a5"/>
        <w:spacing w:line="420" w:lineRule="exact"/>
        <w:ind w:firstLineChars="200" w:firstLine="480"/>
        <w:rPr>
          <w:rFonts w:hAnsi="宋体"/>
          <w:sz w:val="24"/>
        </w:rPr>
      </w:pPr>
      <w:r>
        <w:rPr>
          <w:rFonts w:hAnsi="宋体" w:hint="eastAsia"/>
          <w:sz w:val="24"/>
        </w:rPr>
        <w:t>COOPER INVESTORS</w:t>
      </w:r>
      <w:r>
        <w:rPr>
          <w:rFonts w:hAnsi="宋体" w:hint="eastAsia"/>
          <w:sz w:val="24"/>
        </w:rPr>
        <w:t>、瑞银证券</w:t>
      </w:r>
    </w:p>
    <w:p w14:paraId="365A4578" w14:textId="77777777" w:rsidR="004D1B9E" w:rsidRDefault="006A22C2" w:rsidP="00EC471D">
      <w:pPr>
        <w:pStyle w:val="a5"/>
        <w:spacing w:line="420" w:lineRule="exact"/>
        <w:ind w:firstLineChars="200" w:firstLine="480"/>
        <w:rPr>
          <w:rFonts w:hAnsi="宋体"/>
          <w:sz w:val="24"/>
        </w:rPr>
      </w:pPr>
      <w:r>
        <w:rPr>
          <w:rFonts w:hAnsi="宋体"/>
          <w:sz w:val="24"/>
        </w:rPr>
        <w:t>第七场</w:t>
      </w:r>
      <w:r>
        <w:rPr>
          <w:rFonts w:hAnsi="宋体" w:hint="eastAsia"/>
          <w:sz w:val="24"/>
        </w:rPr>
        <w:t>：</w:t>
      </w:r>
      <w:r>
        <w:rPr>
          <w:rFonts w:hAnsi="宋体"/>
          <w:sz w:val="24"/>
        </w:rPr>
        <w:t>电话会议</w:t>
      </w:r>
    </w:p>
    <w:p w14:paraId="1ACBF412" w14:textId="77777777" w:rsidR="004D1B9E" w:rsidRDefault="006A22C2" w:rsidP="00EC471D">
      <w:pPr>
        <w:pStyle w:val="a5"/>
        <w:spacing w:line="420" w:lineRule="exact"/>
        <w:ind w:firstLineChars="200" w:firstLine="480"/>
        <w:rPr>
          <w:rFonts w:hAnsi="宋体"/>
          <w:sz w:val="24"/>
        </w:rPr>
      </w:pPr>
      <w:r>
        <w:rPr>
          <w:rFonts w:hAnsi="宋体" w:hint="eastAsia"/>
          <w:sz w:val="24"/>
        </w:rPr>
        <w:t>银华</w:t>
      </w:r>
      <w:r>
        <w:rPr>
          <w:rFonts w:hAnsi="宋体"/>
          <w:sz w:val="24"/>
        </w:rPr>
        <w:t>基金、</w:t>
      </w:r>
      <w:r>
        <w:rPr>
          <w:rFonts w:hAnsi="宋体" w:hint="eastAsia"/>
          <w:sz w:val="24"/>
        </w:rPr>
        <w:t>国海</w:t>
      </w:r>
      <w:r>
        <w:rPr>
          <w:rFonts w:hAnsi="宋体"/>
          <w:sz w:val="24"/>
        </w:rPr>
        <w:t>证券</w:t>
      </w:r>
    </w:p>
    <w:p w14:paraId="7BBBD254" w14:textId="2CD3C6E8" w:rsidR="004D1B9E" w:rsidRDefault="006A22C2" w:rsidP="00EC471D">
      <w:pPr>
        <w:pStyle w:val="a5"/>
        <w:spacing w:line="420" w:lineRule="exact"/>
        <w:ind w:firstLineChars="200" w:firstLine="480"/>
        <w:rPr>
          <w:rFonts w:hAnsi="宋体"/>
          <w:sz w:val="24"/>
        </w:rPr>
      </w:pPr>
      <w:r>
        <w:rPr>
          <w:rFonts w:hAnsi="宋体"/>
          <w:sz w:val="24"/>
        </w:rPr>
        <w:t>第八场</w:t>
      </w:r>
      <w:r>
        <w:rPr>
          <w:rFonts w:hAnsi="宋体" w:hint="eastAsia"/>
          <w:sz w:val="24"/>
        </w:rPr>
        <w:t>：</w:t>
      </w:r>
      <w:r>
        <w:rPr>
          <w:rFonts w:hAnsi="宋体" w:hint="eastAsia"/>
          <w:sz w:val="24"/>
        </w:rPr>
        <w:t>2</w:t>
      </w:r>
      <w:r>
        <w:rPr>
          <w:rFonts w:hAnsi="宋体"/>
          <w:sz w:val="24"/>
        </w:rPr>
        <w:t>024</w:t>
      </w:r>
      <w:r>
        <w:rPr>
          <w:rFonts w:hAnsi="宋体"/>
          <w:sz w:val="24"/>
        </w:rPr>
        <w:t>年度业绩</w:t>
      </w:r>
      <w:r w:rsidR="00426EC4">
        <w:rPr>
          <w:rFonts w:hAnsi="宋体"/>
          <w:sz w:val="24"/>
        </w:rPr>
        <w:t>沟通</w:t>
      </w:r>
      <w:r>
        <w:rPr>
          <w:rFonts w:hAnsi="宋体"/>
          <w:sz w:val="24"/>
        </w:rPr>
        <w:t>会</w:t>
      </w:r>
    </w:p>
    <w:p w14:paraId="04DFC93D" w14:textId="77777777" w:rsidR="004D1B9E" w:rsidRDefault="006A22C2" w:rsidP="00EC471D">
      <w:pPr>
        <w:pStyle w:val="a5"/>
        <w:spacing w:line="420" w:lineRule="exact"/>
        <w:ind w:firstLineChars="200" w:firstLine="480"/>
        <w:rPr>
          <w:rFonts w:hAnsi="宋体"/>
          <w:sz w:val="24"/>
        </w:rPr>
      </w:pPr>
      <w:r>
        <w:rPr>
          <w:rFonts w:hAnsi="宋体" w:hint="eastAsia"/>
          <w:sz w:val="24"/>
        </w:rPr>
        <w:t>华商基金、永安财险、南方基金、富国基金、摩根基金、</w:t>
      </w:r>
      <w:proofErr w:type="gramStart"/>
      <w:r>
        <w:rPr>
          <w:rFonts w:hAnsi="宋体" w:hint="eastAsia"/>
          <w:sz w:val="24"/>
        </w:rPr>
        <w:t>汇添富</w:t>
      </w:r>
      <w:proofErr w:type="gramEnd"/>
      <w:r>
        <w:rPr>
          <w:rFonts w:hAnsi="宋体" w:hint="eastAsia"/>
          <w:sz w:val="24"/>
        </w:rPr>
        <w:t>、华夏基金、中汇人寿、</w:t>
      </w:r>
      <w:proofErr w:type="gramStart"/>
      <w:r>
        <w:rPr>
          <w:rFonts w:hAnsi="宋体" w:hint="eastAsia"/>
          <w:sz w:val="24"/>
        </w:rPr>
        <w:t>招商信诺资管</w:t>
      </w:r>
      <w:proofErr w:type="gramEnd"/>
      <w:r>
        <w:rPr>
          <w:rFonts w:hAnsi="宋体" w:hint="eastAsia"/>
          <w:sz w:val="24"/>
        </w:rPr>
        <w:t>、长江养老、人寿资管、国寿资管、朱雀基金、中银基金、中</w:t>
      </w:r>
      <w:proofErr w:type="gramStart"/>
      <w:r>
        <w:rPr>
          <w:rFonts w:hAnsi="宋体" w:hint="eastAsia"/>
          <w:sz w:val="24"/>
        </w:rPr>
        <w:t>信建投自营</w:t>
      </w:r>
      <w:proofErr w:type="gramEnd"/>
      <w:r>
        <w:rPr>
          <w:rFonts w:hAnsi="宋体" w:hint="eastAsia"/>
          <w:sz w:val="24"/>
        </w:rPr>
        <w:t>、英大投资、银华基金、融通基金、诺德基金、宁银理财、</w:t>
      </w:r>
      <w:proofErr w:type="gramStart"/>
      <w:r>
        <w:rPr>
          <w:rFonts w:hAnsi="宋体" w:hint="eastAsia"/>
          <w:sz w:val="24"/>
        </w:rPr>
        <w:t>国投瑞银</w:t>
      </w:r>
      <w:proofErr w:type="gramEnd"/>
      <w:r>
        <w:rPr>
          <w:rFonts w:hAnsi="宋体" w:hint="eastAsia"/>
          <w:sz w:val="24"/>
        </w:rPr>
        <w:t>、方正富邦、德邦基金、大成基金、</w:t>
      </w:r>
      <w:proofErr w:type="gramStart"/>
      <w:r>
        <w:rPr>
          <w:rFonts w:hAnsi="宋体" w:hint="eastAsia"/>
          <w:sz w:val="24"/>
        </w:rPr>
        <w:t>创金合</w:t>
      </w:r>
      <w:proofErr w:type="gramEnd"/>
      <w:r>
        <w:rPr>
          <w:rFonts w:hAnsi="宋体" w:hint="eastAsia"/>
          <w:sz w:val="24"/>
        </w:rPr>
        <w:t>信、野村证券资本、</w:t>
      </w:r>
      <w:proofErr w:type="gramStart"/>
      <w:r>
        <w:rPr>
          <w:rFonts w:hAnsi="宋体" w:hint="eastAsia"/>
          <w:sz w:val="24"/>
        </w:rPr>
        <w:t>鑫</w:t>
      </w:r>
      <w:proofErr w:type="gramEnd"/>
      <w:r>
        <w:rPr>
          <w:rFonts w:hAnsi="宋体" w:hint="eastAsia"/>
          <w:sz w:val="24"/>
        </w:rPr>
        <w:t>巢资本、宁远资本、</w:t>
      </w:r>
      <w:proofErr w:type="gramStart"/>
      <w:r>
        <w:rPr>
          <w:rFonts w:hAnsi="宋体" w:hint="eastAsia"/>
          <w:sz w:val="24"/>
        </w:rPr>
        <w:t>弘盛资本</w:t>
      </w:r>
      <w:proofErr w:type="gramEnd"/>
      <w:r>
        <w:rPr>
          <w:rFonts w:hAnsi="宋体" w:hint="eastAsia"/>
          <w:sz w:val="24"/>
        </w:rPr>
        <w:t>、富兰克林邓普顿、</w:t>
      </w:r>
      <w:r>
        <w:rPr>
          <w:rFonts w:hAnsi="宋体"/>
          <w:sz w:val="24"/>
        </w:rPr>
        <w:t>Y2Capital</w:t>
      </w:r>
      <w:r>
        <w:rPr>
          <w:rFonts w:hAnsi="宋体" w:hint="eastAsia"/>
          <w:sz w:val="24"/>
        </w:rPr>
        <w:t>、淡水泉、中</w:t>
      </w:r>
      <w:proofErr w:type="gramStart"/>
      <w:r>
        <w:rPr>
          <w:rFonts w:hAnsi="宋体" w:hint="eastAsia"/>
          <w:sz w:val="24"/>
        </w:rPr>
        <w:t>仁资管</w:t>
      </w:r>
      <w:proofErr w:type="gramEnd"/>
      <w:r>
        <w:rPr>
          <w:rFonts w:hAnsi="宋体" w:hint="eastAsia"/>
          <w:sz w:val="24"/>
        </w:rPr>
        <w:t>、</w:t>
      </w:r>
      <w:proofErr w:type="gramStart"/>
      <w:r>
        <w:rPr>
          <w:rFonts w:hAnsi="宋体" w:hint="eastAsia"/>
          <w:sz w:val="24"/>
        </w:rPr>
        <w:t>正心</w:t>
      </w:r>
      <w:r>
        <w:rPr>
          <w:rFonts w:hAnsi="宋体" w:hint="eastAsia"/>
          <w:sz w:val="24"/>
        </w:rPr>
        <w:lastRenderedPageBreak/>
        <w:t>谷实业</w:t>
      </w:r>
      <w:proofErr w:type="gramEnd"/>
      <w:r>
        <w:rPr>
          <w:rFonts w:hAnsi="宋体" w:hint="eastAsia"/>
          <w:sz w:val="24"/>
        </w:rPr>
        <w:t>、上海信托投资、上海老友投资、上海纯</w:t>
      </w:r>
      <w:proofErr w:type="gramStart"/>
      <w:r>
        <w:rPr>
          <w:rFonts w:hAnsi="宋体" w:hint="eastAsia"/>
          <w:sz w:val="24"/>
        </w:rPr>
        <w:t>达资管</w:t>
      </w:r>
      <w:proofErr w:type="gramEnd"/>
      <w:r>
        <w:rPr>
          <w:rFonts w:hAnsi="宋体" w:hint="eastAsia"/>
          <w:sz w:val="24"/>
        </w:rPr>
        <w:t>、劲衡企业、高信百</w:t>
      </w:r>
      <w:proofErr w:type="gramStart"/>
      <w:r>
        <w:rPr>
          <w:rFonts w:hAnsi="宋体" w:hint="eastAsia"/>
          <w:sz w:val="24"/>
        </w:rPr>
        <w:t>诺资管</w:t>
      </w:r>
      <w:proofErr w:type="gramEnd"/>
      <w:r>
        <w:rPr>
          <w:rFonts w:hAnsi="宋体" w:hint="eastAsia"/>
          <w:sz w:val="24"/>
        </w:rPr>
        <w:t>、北京和</w:t>
      </w:r>
      <w:proofErr w:type="gramStart"/>
      <w:r>
        <w:rPr>
          <w:rFonts w:hAnsi="宋体" w:hint="eastAsia"/>
          <w:sz w:val="24"/>
        </w:rPr>
        <w:t>源、</w:t>
      </w:r>
      <w:proofErr w:type="gramEnd"/>
      <w:r>
        <w:rPr>
          <w:rFonts w:hAnsi="宋体" w:hint="eastAsia"/>
          <w:sz w:val="24"/>
        </w:rPr>
        <w:t>中金、西部证券、民生证券、天风证券、招商证券、华泰证券、瑞银证券、美银</w:t>
      </w:r>
      <w:r>
        <w:rPr>
          <w:rFonts w:hAnsi="宋体" w:hint="eastAsia"/>
          <w:sz w:val="24"/>
        </w:rPr>
        <w:t>证券、麦格理、富瑞证券、中邮证券、中信证券、中信建投、银河证券、长江证券、</w:t>
      </w:r>
      <w:proofErr w:type="gramStart"/>
      <w:r>
        <w:rPr>
          <w:rFonts w:hAnsi="宋体" w:hint="eastAsia"/>
          <w:sz w:val="24"/>
        </w:rPr>
        <w:t>浙商证券</w:t>
      </w:r>
      <w:proofErr w:type="gramEnd"/>
      <w:r>
        <w:rPr>
          <w:rFonts w:hAnsi="宋体" w:hint="eastAsia"/>
          <w:sz w:val="24"/>
        </w:rPr>
        <w:t>、长城证券、</w:t>
      </w:r>
      <w:proofErr w:type="gramStart"/>
      <w:r>
        <w:rPr>
          <w:rFonts w:hAnsi="宋体" w:hint="eastAsia"/>
          <w:sz w:val="24"/>
        </w:rPr>
        <w:t>甬兴证券</w:t>
      </w:r>
      <w:proofErr w:type="gramEnd"/>
      <w:r>
        <w:rPr>
          <w:rFonts w:hAnsi="宋体" w:hint="eastAsia"/>
          <w:sz w:val="24"/>
        </w:rPr>
        <w:t>、兴业证券、湘财证券、西南证券、太平洋证券、山西证券、开源证券、华西证券、华金证券、华福证券、华创证券、海通证券、国信证券、国盛证券、国海证券、广发证券、光大证券、方正证券、东亚前海证券、东吴证券、东方证券、东方财富证券、东北证券、德邦证券、财通证券、财信证券、国投证券</w:t>
      </w:r>
    </w:p>
    <w:p w14:paraId="6C0B40FD" w14:textId="77777777" w:rsidR="004D1B9E" w:rsidRDefault="006A22C2" w:rsidP="00EC471D">
      <w:pPr>
        <w:pStyle w:val="ad"/>
        <w:numPr>
          <w:ilvl w:val="0"/>
          <w:numId w:val="1"/>
        </w:numPr>
        <w:spacing w:line="420" w:lineRule="exact"/>
        <w:ind w:left="709" w:firstLineChars="0"/>
        <w:rPr>
          <w:rFonts w:hAnsi="宋体"/>
          <w:b/>
          <w:bCs/>
          <w:sz w:val="24"/>
        </w:rPr>
      </w:pPr>
      <w:r>
        <w:rPr>
          <w:rFonts w:hAnsi="宋体" w:hint="eastAsia"/>
          <w:b/>
          <w:bCs/>
          <w:sz w:val="24"/>
        </w:rPr>
        <w:t>2024</w:t>
      </w:r>
      <w:r>
        <w:rPr>
          <w:rFonts w:hAnsi="宋体" w:hint="eastAsia"/>
          <w:b/>
          <w:bCs/>
          <w:sz w:val="24"/>
        </w:rPr>
        <w:t>年年报主要情况介绍</w:t>
      </w:r>
    </w:p>
    <w:p w14:paraId="1BE54562" w14:textId="77777777" w:rsidR="004D1B9E" w:rsidRDefault="006A22C2" w:rsidP="00EC471D">
      <w:pPr>
        <w:pStyle w:val="a4"/>
        <w:spacing w:line="420" w:lineRule="exact"/>
        <w:ind w:left="0" w:firstLineChars="200" w:firstLine="480"/>
        <w:rPr>
          <w:rFonts w:cs="Times New Roman"/>
          <w:kern w:val="2"/>
          <w:lang w:eastAsia="zh-CN"/>
        </w:rPr>
      </w:pPr>
      <w:r>
        <w:rPr>
          <w:rFonts w:cs="Times New Roman" w:hint="eastAsia"/>
          <w:kern w:val="2"/>
          <w:lang w:eastAsia="zh-CN"/>
        </w:rPr>
        <w:t>2024</w:t>
      </w:r>
      <w:r>
        <w:rPr>
          <w:rFonts w:cs="Times New Roman" w:hint="eastAsia"/>
          <w:kern w:val="2"/>
          <w:lang w:eastAsia="zh-CN"/>
        </w:rPr>
        <w:t>年，公司核心经营指标全面增长，营</w:t>
      </w:r>
      <w:proofErr w:type="gramStart"/>
      <w:r>
        <w:rPr>
          <w:rFonts w:cs="Times New Roman" w:hint="eastAsia"/>
          <w:kern w:val="2"/>
          <w:lang w:eastAsia="zh-CN"/>
        </w:rPr>
        <w:t>收实现</w:t>
      </w:r>
      <w:proofErr w:type="gramEnd"/>
      <w:r>
        <w:rPr>
          <w:rFonts w:cs="Times New Roman" w:hint="eastAsia"/>
          <w:kern w:val="2"/>
          <w:lang w:eastAsia="zh-CN"/>
        </w:rPr>
        <w:t xml:space="preserve">27.45 </w:t>
      </w:r>
      <w:r>
        <w:rPr>
          <w:rFonts w:cs="Times New Roman" w:hint="eastAsia"/>
          <w:kern w:val="2"/>
          <w:lang w:eastAsia="zh-CN"/>
        </w:rPr>
        <w:t>亿元，同比增长超</w:t>
      </w:r>
      <w:r>
        <w:rPr>
          <w:rFonts w:cs="Times New Roman" w:hint="eastAsia"/>
          <w:kern w:val="2"/>
          <w:lang w:eastAsia="zh-CN"/>
        </w:rPr>
        <w:t xml:space="preserve"> 23%</w:t>
      </w:r>
      <w:r>
        <w:rPr>
          <w:rFonts w:cs="Times New Roman" w:hint="eastAsia"/>
          <w:kern w:val="2"/>
          <w:lang w:eastAsia="zh-CN"/>
        </w:rPr>
        <w:t>；净利润</w:t>
      </w:r>
      <w:r>
        <w:rPr>
          <w:rFonts w:cs="Times New Roman" w:hint="eastAsia"/>
          <w:kern w:val="2"/>
          <w:lang w:eastAsia="zh-CN"/>
        </w:rPr>
        <w:t xml:space="preserve"> 6.31 </w:t>
      </w:r>
      <w:r>
        <w:rPr>
          <w:rFonts w:cs="Times New Roman" w:hint="eastAsia"/>
          <w:kern w:val="2"/>
          <w:lang w:eastAsia="zh-CN"/>
        </w:rPr>
        <w:t>亿元同比</w:t>
      </w:r>
      <w:r>
        <w:rPr>
          <w:rFonts w:cs="Times New Roman" w:hint="eastAsia"/>
          <w:kern w:val="2"/>
          <w:lang w:eastAsia="zh-CN"/>
        </w:rPr>
        <w:t>增长超</w:t>
      </w:r>
      <w:r>
        <w:rPr>
          <w:rFonts w:cs="Times New Roman" w:hint="eastAsia"/>
          <w:kern w:val="2"/>
          <w:lang w:eastAsia="zh-CN"/>
        </w:rPr>
        <w:t xml:space="preserve"> 20%</w:t>
      </w:r>
      <w:r>
        <w:rPr>
          <w:rFonts w:cs="Times New Roman" w:hint="eastAsia"/>
          <w:kern w:val="2"/>
          <w:lang w:eastAsia="zh-CN"/>
        </w:rPr>
        <w:t>，净利润率为</w:t>
      </w:r>
      <w:r>
        <w:rPr>
          <w:rFonts w:cs="Times New Roman" w:hint="eastAsia"/>
          <w:kern w:val="2"/>
          <w:lang w:eastAsia="zh-CN"/>
        </w:rPr>
        <w:t>23%</w:t>
      </w:r>
      <w:r>
        <w:rPr>
          <w:rFonts w:cs="Times New Roman" w:hint="eastAsia"/>
          <w:kern w:val="2"/>
          <w:lang w:eastAsia="zh-CN"/>
        </w:rPr>
        <w:t>。</w:t>
      </w:r>
      <w:r>
        <w:rPr>
          <w:rFonts w:cs="Times New Roman" w:hint="eastAsia"/>
          <w:kern w:val="2"/>
          <w:lang w:eastAsia="zh-CN"/>
        </w:rPr>
        <w:t>剔除</w:t>
      </w:r>
      <w:r>
        <w:rPr>
          <w:rFonts w:cs="Times New Roman" w:hint="eastAsia"/>
          <w:kern w:val="2"/>
          <w:lang w:eastAsia="zh-CN"/>
        </w:rPr>
        <w:t>员工持股计划</w:t>
      </w:r>
      <w:r>
        <w:rPr>
          <w:rFonts w:cs="Times New Roman" w:hint="eastAsia"/>
          <w:kern w:val="2"/>
          <w:lang w:eastAsia="zh-CN"/>
        </w:rPr>
        <w:t>股份支付费用摊销</w:t>
      </w:r>
      <w:r>
        <w:rPr>
          <w:rFonts w:cs="Times New Roman" w:hint="eastAsia"/>
          <w:kern w:val="2"/>
          <w:lang w:eastAsia="zh-CN"/>
        </w:rPr>
        <w:t>的</w:t>
      </w:r>
      <w:r>
        <w:rPr>
          <w:rFonts w:cs="Times New Roman" w:hint="eastAsia"/>
          <w:kern w:val="2"/>
          <w:lang w:eastAsia="zh-CN"/>
        </w:rPr>
        <w:t>影响</w:t>
      </w:r>
      <w:r>
        <w:rPr>
          <w:rFonts w:cs="Times New Roman" w:hint="eastAsia"/>
          <w:kern w:val="2"/>
          <w:lang w:eastAsia="zh-CN"/>
        </w:rPr>
        <w:t>后</w:t>
      </w:r>
      <w:r>
        <w:rPr>
          <w:rFonts w:cs="Times New Roman" w:hint="eastAsia"/>
          <w:kern w:val="2"/>
          <w:lang w:eastAsia="zh-CN"/>
        </w:rPr>
        <w:t>，</w:t>
      </w:r>
      <w:r>
        <w:rPr>
          <w:rFonts w:cs="Times New Roman" w:hint="eastAsia"/>
          <w:kern w:val="2"/>
          <w:lang w:eastAsia="zh-CN"/>
        </w:rPr>
        <w:t>24</w:t>
      </w:r>
      <w:r>
        <w:rPr>
          <w:rFonts w:cs="Times New Roman" w:hint="eastAsia"/>
          <w:kern w:val="2"/>
          <w:lang w:eastAsia="zh-CN"/>
        </w:rPr>
        <w:t>年净利润</w:t>
      </w:r>
      <w:r>
        <w:rPr>
          <w:rFonts w:cs="Times New Roman" w:hint="eastAsia"/>
          <w:kern w:val="2"/>
          <w:lang w:eastAsia="zh-CN"/>
        </w:rPr>
        <w:t>为</w:t>
      </w:r>
      <w:r>
        <w:rPr>
          <w:rFonts w:cs="Times New Roman" w:hint="eastAsia"/>
          <w:kern w:val="2"/>
          <w:lang w:eastAsia="zh-CN"/>
        </w:rPr>
        <w:t>6.5</w:t>
      </w:r>
      <w:r>
        <w:rPr>
          <w:rFonts w:cs="Times New Roman" w:hint="eastAsia"/>
          <w:kern w:val="2"/>
          <w:lang w:eastAsia="zh-CN"/>
        </w:rPr>
        <w:t>亿元，同比增长</w:t>
      </w:r>
      <w:r>
        <w:rPr>
          <w:rFonts w:cs="Times New Roman" w:hint="eastAsia"/>
          <w:kern w:val="2"/>
          <w:lang w:eastAsia="zh-CN"/>
        </w:rPr>
        <w:t>24%</w:t>
      </w:r>
      <w:r>
        <w:rPr>
          <w:rFonts w:cs="Times New Roman" w:hint="eastAsia"/>
          <w:kern w:val="2"/>
          <w:lang w:eastAsia="zh-CN"/>
        </w:rPr>
        <w:t>。</w:t>
      </w:r>
      <w:r>
        <w:rPr>
          <w:rFonts w:cs="Times New Roman" w:hint="eastAsia"/>
          <w:kern w:val="2"/>
          <w:lang w:eastAsia="zh-CN"/>
        </w:rPr>
        <w:t>截止</w:t>
      </w:r>
      <w:r>
        <w:rPr>
          <w:rFonts w:cs="Times New Roman" w:hint="eastAsia"/>
          <w:kern w:val="2"/>
          <w:lang w:eastAsia="zh-CN"/>
        </w:rPr>
        <w:t>24</w:t>
      </w:r>
      <w:r>
        <w:rPr>
          <w:rFonts w:cs="Times New Roman" w:hint="eastAsia"/>
          <w:kern w:val="2"/>
          <w:lang w:eastAsia="zh-CN"/>
        </w:rPr>
        <w:t>年底，在手订单结余</w:t>
      </w:r>
      <w:r>
        <w:rPr>
          <w:rFonts w:cs="Times New Roman" w:hint="eastAsia"/>
          <w:kern w:val="2"/>
          <w:lang w:eastAsia="zh-CN"/>
        </w:rPr>
        <w:t>40.17</w:t>
      </w:r>
      <w:r>
        <w:rPr>
          <w:rFonts w:cs="Times New Roman" w:hint="eastAsia"/>
          <w:kern w:val="2"/>
          <w:lang w:eastAsia="zh-CN"/>
        </w:rPr>
        <w:t>亿元，为后续业绩提供坚实基础。</w:t>
      </w:r>
    </w:p>
    <w:p w14:paraId="44661FB3" w14:textId="77777777" w:rsidR="004D1B9E" w:rsidRDefault="006A22C2" w:rsidP="00EC471D">
      <w:pPr>
        <w:pStyle w:val="a4"/>
        <w:spacing w:line="420" w:lineRule="exact"/>
        <w:ind w:left="0" w:firstLineChars="200" w:firstLine="480"/>
        <w:rPr>
          <w:rFonts w:cs="Times New Roman"/>
          <w:kern w:val="2"/>
          <w:lang w:eastAsia="zh-CN"/>
        </w:rPr>
      </w:pPr>
      <w:r>
        <w:rPr>
          <w:rFonts w:cs="Times New Roman" w:hint="eastAsia"/>
          <w:kern w:val="2"/>
          <w:lang w:eastAsia="zh-CN"/>
        </w:rPr>
        <w:t>自上市以来，公司净利润复合增长率为</w:t>
      </w:r>
      <w:r>
        <w:rPr>
          <w:rFonts w:cs="Times New Roman" w:hint="eastAsia"/>
          <w:kern w:val="2"/>
          <w:lang w:eastAsia="zh-CN"/>
        </w:rPr>
        <w:t xml:space="preserve"> 23.74%</w:t>
      </w:r>
      <w:r>
        <w:rPr>
          <w:rFonts w:cs="Times New Roman" w:hint="eastAsia"/>
          <w:kern w:val="2"/>
          <w:lang w:eastAsia="zh-CN"/>
        </w:rPr>
        <w:t>，连续八年营收</w:t>
      </w:r>
      <w:proofErr w:type="gramStart"/>
      <w:r>
        <w:rPr>
          <w:rFonts w:cs="Times New Roman" w:hint="eastAsia"/>
          <w:kern w:val="2"/>
          <w:lang w:eastAsia="zh-CN"/>
        </w:rPr>
        <w:t>净利双</w:t>
      </w:r>
      <w:proofErr w:type="gramEnd"/>
      <w:r>
        <w:rPr>
          <w:rFonts w:cs="Times New Roman" w:hint="eastAsia"/>
          <w:kern w:val="2"/>
          <w:lang w:eastAsia="zh-CN"/>
        </w:rPr>
        <w:t>增长</w:t>
      </w:r>
      <w:r>
        <w:rPr>
          <w:rFonts w:cs="Times New Roman" w:hint="eastAsia"/>
          <w:kern w:val="2"/>
          <w:lang w:eastAsia="zh-CN"/>
        </w:rPr>
        <w:t>。截止</w:t>
      </w:r>
      <w:r>
        <w:rPr>
          <w:rFonts w:cs="Times New Roman" w:hint="eastAsia"/>
          <w:kern w:val="2"/>
          <w:lang w:eastAsia="zh-CN"/>
        </w:rPr>
        <w:t>2024</w:t>
      </w:r>
      <w:r>
        <w:rPr>
          <w:rFonts w:cs="Times New Roman" w:hint="eastAsia"/>
          <w:kern w:val="2"/>
          <w:lang w:eastAsia="zh-CN"/>
        </w:rPr>
        <w:t>年底，</w:t>
      </w:r>
      <w:r>
        <w:rPr>
          <w:rFonts w:cs="Times New Roman" w:hint="eastAsia"/>
          <w:kern w:val="2"/>
          <w:lang w:eastAsia="zh-CN"/>
        </w:rPr>
        <w:t>公司累计现金分红</w:t>
      </w:r>
      <w:r>
        <w:rPr>
          <w:rFonts w:cs="Times New Roman" w:hint="eastAsia"/>
          <w:kern w:val="2"/>
          <w:lang w:eastAsia="zh-CN"/>
        </w:rPr>
        <w:t>7</w:t>
      </w:r>
      <w:r>
        <w:rPr>
          <w:rFonts w:cs="Times New Roman" w:hint="eastAsia"/>
          <w:kern w:val="2"/>
          <w:lang w:eastAsia="zh-CN"/>
        </w:rPr>
        <w:t>亿元、股份注销</w:t>
      </w:r>
      <w:r>
        <w:rPr>
          <w:rFonts w:cs="Times New Roman" w:hint="eastAsia"/>
          <w:kern w:val="2"/>
          <w:lang w:eastAsia="zh-CN"/>
        </w:rPr>
        <w:t>2</w:t>
      </w:r>
      <w:r>
        <w:rPr>
          <w:rFonts w:cs="Times New Roman" w:hint="eastAsia"/>
          <w:kern w:val="2"/>
          <w:lang w:eastAsia="zh-CN"/>
        </w:rPr>
        <w:t>亿元，实现股东总回报率（</w:t>
      </w:r>
      <w:r>
        <w:rPr>
          <w:rFonts w:cs="Times New Roman" w:hint="eastAsia"/>
          <w:kern w:val="2"/>
          <w:lang w:eastAsia="zh-CN"/>
        </w:rPr>
        <w:t>TSR</w:t>
      </w:r>
      <w:r>
        <w:rPr>
          <w:rFonts w:cs="Times New Roman" w:hint="eastAsia"/>
          <w:kern w:val="2"/>
          <w:lang w:eastAsia="zh-CN"/>
        </w:rPr>
        <w:t>）</w:t>
      </w:r>
      <w:r>
        <w:rPr>
          <w:rFonts w:cs="Times New Roman" w:hint="eastAsia"/>
          <w:kern w:val="2"/>
          <w:lang w:eastAsia="zh-CN"/>
        </w:rPr>
        <w:t>26.66%</w:t>
      </w:r>
      <w:r>
        <w:rPr>
          <w:rFonts w:cs="Times New Roman" w:hint="eastAsia"/>
          <w:kern w:val="2"/>
          <w:lang w:eastAsia="zh-CN"/>
        </w:rPr>
        <w:t>、净资产收益率（</w:t>
      </w:r>
      <w:r>
        <w:rPr>
          <w:rFonts w:cs="Times New Roman" w:hint="eastAsia"/>
          <w:kern w:val="2"/>
          <w:lang w:eastAsia="zh-CN"/>
        </w:rPr>
        <w:t>ROE</w:t>
      </w:r>
      <w:r>
        <w:rPr>
          <w:rFonts w:cs="Times New Roman" w:hint="eastAsia"/>
          <w:kern w:val="2"/>
          <w:lang w:eastAsia="zh-CN"/>
        </w:rPr>
        <w:t>）</w:t>
      </w:r>
      <w:r>
        <w:rPr>
          <w:rFonts w:cs="Times New Roman" w:hint="eastAsia"/>
          <w:kern w:val="2"/>
          <w:lang w:eastAsia="zh-CN"/>
        </w:rPr>
        <w:t>20.39%</w:t>
      </w:r>
      <w:r>
        <w:rPr>
          <w:rFonts w:cs="Times New Roman" w:hint="eastAsia"/>
          <w:kern w:val="2"/>
          <w:lang w:eastAsia="zh-CN"/>
        </w:rPr>
        <w:t>的双提升。</w:t>
      </w:r>
      <w:r>
        <w:rPr>
          <w:rFonts w:cs="Times New Roman" w:hint="eastAsia"/>
          <w:kern w:val="2"/>
          <w:lang w:eastAsia="zh-CN"/>
        </w:rPr>
        <w:t>同时</w:t>
      </w:r>
      <w:r>
        <w:rPr>
          <w:rFonts w:cs="Times New Roman" w:hint="eastAsia"/>
          <w:kern w:val="2"/>
          <w:lang w:eastAsia="zh-CN"/>
        </w:rPr>
        <w:t>，公司拟每</w:t>
      </w:r>
      <w:r>
        <w:rPr>
          <w:rFonts w:cs="Times New Roman" w:hint="eastAsia"/>
          <w:kern w:val="2"/>
          <w:lang w:eastAsia="zh-CN"/>
        </w:rPr>
        <w:t>10</w:t>
      </w:r>
      <w:r>
        <w:rPr>
          <w:rFonts w:cs="Times New Roman" w:hint="eastAsia"/>
          <w:kern w:val="2"/>
          <w:lang w:eastAsia="zh-CN"/>
        </w:rPr>
        <w:t>股派发现金红利</w:t>
      </w:r>
      <w:r>
        <w:rPr>
          <w:rFonts w:cs="Times New Roman" w:hint="eastAsia"/>
          <w:kern w:val="2"/>
          <w:lang w:eastAsia="zh-CN"/>
        </w:rPr>
        <w:t>5.20</w:t>
      </w:r>
      <w:r>
        <w:rPr>
          <w:rFonts w:cs="Times New Roman" w:hint="eastAsia"/>
          <w:kern w:val="2"/>
          <w:lang w:eastAsia="zh-CN"/>
        </w:rPr>
        <w:t>元，同比增长</w:t>
      </w:r>
      <w:r>
        <w:rPr>
          <w:rFonts w:cs="Times New Roman" w:hint="eastAsia"/>
          <w:kern w:val="2"/>
          <w:lang w:eastAsia="zh-CN"/>
        </w:rPr>
        <w:t>21%</w:t>
      </w:r>
      <w:r>
        <w:rPr>
          <w:rFonts w:cs="Times New Roman" w:hint="eastAsia"/>
          <w:kern w:val="2"/>
          <w:lang w:eastAsia="zh-CN"/>
        </w:rPr>
        <w:t>。</w:t>
      </w:r>
    </w:p>
    <w:p w14:paraId="14A39428"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在经营质量方面，</w:t>
      </w:r>
      <w:r>
        <w:rPr>
          <w:rFonts w:cs="Times New Roman" w:hint="eastAsia"/>
          <w:kern w:val="2"/>
          <w:lang w:eastAsia="zh-CN"/>
        </w:rPr>
        <w:t>2024</w:t>
      </w:r>
      <w:r>
        <w:rPr>
          <w:rFonts w:cs="Times New Roman" w:hint="eastAsia"/>
          <w:kern w:val="2"/>
          <w:lang w:eastAsia="zh-CN"/>
        </w:rPr>
        <w:t>年实现经营性净现金流入</w:t>
      </w:r>
      <w:r>
        <w:rPr>
          <w:rFonts w:cs="Times New Roman" w:hint="eastAsia"/>
          <w:kern w:val="2"/>
          <w:lang w:eastAsia="zh-CN"/>
        </w:rPr>
        <w:t>4</w:t>
      </w:r>
      <w:r>
        <w:rPr>
          <w:rFonts w:cs="Times New Roman" w:hint="eastAsia"/>
          <w:kern w:val="2"/>
          <w:lang w:eastAsia="zh-CN"/>
        </w:rPr>
        <w:t>.74</w:t>
      </w:r>
      <w:r>
        <w:rPr>
          <w:rFonts w:cs="Times New Roman" w:hint="eastAsia"/>
          <w:kern w:val="2"/>
          <w:lang w:eastAsia="zh-CN"/>
        </w:rPr>
        <w:t>亿，提升</w:t>
      </w:r>
      <w:r>
        <w:rPr>
          <w:rFonts w:cs="Times New Roman" w:hint="eastAsia"/>
          <w:kern w:val="2"/>
          <w:lang w:eastAsia="zh-CN"/>
        </w:rPr>
        <w:t>13.52%</w:t>
      </w:r>
      <w:r>
        <w:rPr>
          <w:rFonts w:cs="Times New Roman" w:hint="eastAsia"/>
          <w:kern w:val="2"/>
          <w:lang w:eastAsia="zh-CN"/>
        </w:rPr>
        <w:t>，占到净利润的</w:t>
      </w:r>
      <w:r>
        <w:rPr>
          <w:rFonts w:cs="Times New Roman" w:hint="eastAsia"/>
          <w:kern w:val="2"/>
          <w:lang w:eastAsia="zh-CN"/>
        </w:rPr>
        <w:t>75%</w:t>
      </w:r>
      <w:r>
        <w:rPr>
          <w:rFonts w:cs="Times New Roman" w:hint="eastAsia"/>
          <w:kern w:val="2"/>
          <w:lang w:eastAsia="zh-CN"/>
        </w:rPr>
        <w:t>。</w:t>
      </w:r>
    </w:p>
    <w:p w14:paraId="3C37238A"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在研发创新方面，公司</w:t>
      </w:r>
      <w:r>
        <w:rPr>
          <w:rFonts w:cs="Times New Roman" w:hint="eastAsia"/>
          <w:kern w:val="2"/>
          <w:lang w:eastAsia="zh-CN"/>
        </w:rPr>
        <w:t>围绕</w:t>
      </w:r>
      <w:r>
        <w:rPr>
          <w:rFonts w:cs="Times New Roman" w:hint="eastAsia"/>
          <w:kern w:val="2"/>
          <w:lang w:eastAsia="zh-CN"/>
        </w:rPr>
        <w:t>“物联网</w:t>
      </w:r>
      <w:r>
        <w:rPr>
          <w:rFonts w:cs="Times New Roman" w:hint="eastAsia"/>
          <w:kern w:val="2"/>
          <w:lang w:eastAsia="zh-CN"/>
        </w:rPr>
        <w:t xml:space="preserve"> + </w:t>
      </w:r>
      <w:r>
        <w:rPr>
          <w:rFonts w:cs="Times New Roman" w:hint="eastAsia"/>
          <w:kern w:val="2"/>
          <w:lang w:eastAsia="zh-CN"/>
        </w:rPr>
        <w:t>芯片</w:t>
      </w:r>
      <w:r>
        <w:rPr>
          <w:rFonts w:cs="Times New Roman" w:hint="eastAsia"/>
          <w:kern w:val="2"/>
          <w:lang w:eastAsia="zh-CN"/>
        </w:rPr>
        <w:t xml:space="preserve"> + </w:t>
      </w:r>
      <w:r>
        <w:rPr>
          <w:rFonts w:cs="Times New Roman" w:hint="eastAsia"/>
          <w:kern w:val="2"/>
          <w:lang w:eastAsia="zh-CN"/>
        </w:rPr>
        <w:t>人工智能”</w:t>
      </w:r>
      <w:r>
        <w:rPr>
          <w:rFonts w:cs="Times New Roman" w:hint="eastAsia"/>
          <w:kern w:val="2"/>
          <w:lang w:eastAsia="zh-CN"/>
        </w:rPr>
        <w:t xml:space="preserve"> </w:t>
      </w:r>
      <w:r>
        <w:rPr>
          <w:rFonts w:cs="Times New Roman" w:hint="eastAsia"/>
          <w:kern w:val="2"/>
          <w:lang w:eastAsia="zh-CN"/>
        </w:rPr>
        <w:t>，</w:t>
      </w:r>
      <w:r>
        <w:rPr>
          <w:rFonts w:cs="Times New Roman" w:hint="eastAsia"/>
          <w:kern w:val="2"/>
          <w:lang w:eastAsia="zh-CN"/>
        </w:rPr>
        <w:t>每年投入超</w:t>
      </w:r>
      <w:r>
        <w:rPr>
          <w:rFonts w:cs="Times New Roman" w:hint="eastAsia"/>
          <w:kern w:val="2"/>
          <w:lang w:eastAsia="zh-CN"/>
        </w:rPr>
        <w:t xml:space="preserve"> 8% </w:t>
      </w:r>
      <w:r>
        <w:rPr>
          <w:rFonts w:cs="Times New Roman" w:hint="eastAsia"/>
          <w:kern w:val="2"/>
          <w:lang w:eastAsia="zh-CN"/>
        </w:rPr>
        <w:t>的营收用于研发。通过加持</w:t>
      </w:r>
      <w:r>
        <w:rPr>
          <w:rFonts w:cs="Times New Roman" w:hint="eastAsia"/>
          <w:kern w:val="2"/>
          <w:lang w:eastAsia="zh-CN"/>
        </w:rPr>
        <w:t xml:space="preserve"> AI</w:t>
      </w:r>
      <w:r>
        <w:rPr>
          <w:rFonts w:cs="Times New Roman" w:hint="eastAsia"/>
          <w:kern w:val="2"/>
          <w:lang w:eastAsia="zh-CN"/>
        </w:rPr>
        <w:t>创新技术，</w:t>
      </w:r>
      <w:r>
        <w:rPr>
          <w:rFonts w:cs="Times New Roman" w:hint="eastAsia"/>
          <w:kern w:val="2"/>
          <w:lang w:eastAsia="zh-CN"/>
        </w:rPr>
        <w:t>2024</w:t>
      </w:r>
      <w:r>
        <w:rPr>
          <w:rFonts w:cs="Times New Roman" w:hint="eastAsia"/>
          <w:kern w:val="2"/>
          <w:lang w:eastAsia="zh-CN"/>
        </w:rPr>
        <w:t>年成功推出近</w:t>
      </w:r>
      <w:r>
        <w:rPr>
          <w:rFonts w:cs="Times New Roman" w:hint="eastAsia"/>
          <w:kern w:val="2"/>
          <w:lang w:eastAsia="zh-CN"/>
        </w:rPr>
        <w:t xml:space="preserve"> 50 </w:t>
      </w:r>
      <w:proofErr w:type="gramStart"/>
      <w:r>
        <w:rPr>
          <w:rFonts w:cs="Times New Roman" w:hint="eastAsia"/>
          <w:kern w:val="2"/>
          <w:lang w:eastAsia="zh-CN"/>
        </w:rPr>
        <w:t>款创新</w:t>
      </w:r>
      <w:proofErr w:type="gramEnd"/>
      <w:r>
        <w:rPr>
          <w:rFonts w:cs="Times New Roman" w:hint="eastAsia"/>
          <w:kern w:val="2"/>
          <w:lang w:eastAsia="zh-CN"/>
        </w:rPr>
        <w:t>产品和解决方案，新品</w:t>
      </w:r>
      <w:proofErr w:type="gramStart"/>
      <w:r>
        <w:rPr>
          <w:rFonts w:cs="Times New Roman" w:hint="eastAsia"/>
          <w:kern w:val="2"/>
          <w:lang w:eastAsia="zh-CN"/>
        </w:rPr>
        <w:t>营收入</w:t>
      </w:r>
      <w:proofErr w:type="gramEnd"/>
      <w:r>
        <w:rPr>
          <w:rFonts w:cs="Times New Roman" w:hint="eastAsia"/>
          <w:kern w:val="2"/>
          <w:lang w:eastAsia="zh-CN"/>
        </w:rPr>
        <w:t>达</w:t>
      </w:r>
      <w:r>
        <w:rPr>
          <w:rFonts w:cs="Times New Roman" w:hint="eastAsia"/>
          <w:kern w:val="2"/>
          <w:lang w:eastAsia="zh-CN"/>
        </w:rPr>
        <w:t xml:space="preserve"> 13.38 </w:t>
      </w:r>
      <w:r>
        <w:rPr>
          <w:rFonts w:cs="Times New Roman" w:hint="eastAsia"/>
          <w:kern w:val="2"/>
          <w:lang w:eastAsia="zh-CN"/>
        </w:rPr>
        <w:t>亿元，占总营收</w:t>
      </w:r>
      <w:r>
        <w:rPr>
          <w:rFonts w:cs="Times New Roman" w:hint="eastAsia"/>
          <w:kern w:val="2"/>
          <w:lang w:eastAsia="zh-CN"/>
        </w:rPr>
        <w:t xml:space="preserve"> 49%</w:t>
      </w:r>
      <w:r>
        <w:rPr>
          <w:rFonts w:cs="Times New Roman" w:hint="eastAsia"/>
          <w:kern w:val="2"/>
          <w:lang w:eastAsia="zh-CN"/>
        </w:rPr>
        <w:t>。在新产品收入中有</w:t>
      </w:r>
      <w:r>
        <w:rPr>
          <w:rFonts w:cs="Times New Roman" w:hint="eastAsia"/>
          <w:kern w:val="2"/>
          <w:lang w:eastAsia="zh-CN"/>
        </w:rPr>
        <w:t>30%</w:t>
      </w:r>
      <w:r>
        <w:rPr>
          <w:rFonts w:cs="Times New Roman" w:hint="eastAsia"/>
          <w:kern w:val="2"/>
          <w:lang w:eastAsia="zh-CN"/>
        </w:rPr>
        <w:t>是</w:t>
      </w:r>
      <w:r>
        <w:rPr>
          <w:rFonts w:cs="Times New Roman" w:hint="eastAsia"/>
          <w:kern w:val="2"/>
          <w:lang w:eastAsia="zh-CN"/>
        </w:rPr>
        <w:t>AI</w:t>
      </w:r>
      <w:r>
        <w:rPr>
          <w:rFonts w:cs="Times New Roman" w:hint="eastAsia"/>
          <w:kern w:val="2"/>
          <w:lang w:eastAsia="zh-CN"/>
        </w:rPr>
        <w:t>相关产品。</w:t>
      </w:r>
    </w:p>
    <w:p w14:paraId="484D17AD"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威</w:t>
      </w:r>
      <w:proofErr w:type="gramStart"/>
      <w:r>
        <w:rPr>
          <w:rFonts w:cs="Times New Roman" w:hint="eastAsia"/>
          <w:kern w:val="2"/>
          <w:lang w:eastAsia="zh-CN"/>
        </w:rPr>
        <w:t>胜信息</w:t>
      </w:r>
      <w:proofErr w:type="gramEnd"/>
      <w:r>
        <w:rPr>
          <w:rFonts w:cs="Times New Roman" w:hint="eastAsia"/>
          <w:kern w:val="2"/>
          <w:lang w:eastAsia="zh-CN"/>
        </w:rPr>
        <w:t>在</w:t>
      </w:r>
      <w:r>
        <w:rPr>
          <w:rFonts w:cs="Times New Roman" w:hint="eastAsia"/>
          <w:kern w:val="2"/>
          <w:lang w:eastAsia="zh-CN"/>
        </w:rPr>
        <w:t>2024</w:t>
      </w:r>
      <w:r>
        <w:rPr>
          <w:rFonts w:cs="Times New Roman" w:hint="eastAsia"/>
          <w:kern w:val="2"/>
          <w:lang w:eastAsia="zh-CN"/>
        </w:rPr>
        <w:t>年的第一大单品更迭为通信芯片产品，芯片与模块共实现营收</w:t>
      </w:r>
      <w:r>
        <w:rPr>
          <w:rFonts w:cs="Times New Roman" w:hint="eastAsia"/>
          <w:kern w:val="2"/>
          <w:lang w:eastAsia="zh-CN"/>
        </w:rPr>
        <w:t xml:space="preserve"> 7.76 </w:t>
      </w:r>
      <w:r>
        <w:rPr>
          <w:rFonts w:cs="Times New Roman" w:hint="eastAsia"/>
          <w:kern w:val="2"/>
          <w:lang w:eastAsia="zh-CN"/>
        </w:rPr>
        <w:t>亿元，同比增长</w:t>
      </w:r>
      <w:r>
        <w:rPr>
          <w:rFonts w:cs="Times New Roman" w:hint="eastAsia"/>
          <w:kern w:val="2"/>
          <w:lang w:eastAsia="zh-CN"/>
        </w:rPr>
        <w:t xml:space="preserve"> 18%</w:t>
      </w:r>
      <w:r>
        <w:rPr>
          <w:rFonts w:cs="Times New Roman" w:hint="eastAsia"/>
          <w:kern w:val="2"/>
          <w:lang w:eastAsia="zh-CN"/>
        </w:rPr>
        <w:t>。新一代双模通信芯片通过</w:t>
      </w:r>
      <w:proofErr w:type="gramStart"/>
      <w:r>
        <w:rPr>
          <w:rFonts w:cs="Times New Roman" w:hint="eastAsia"/>
          <w:kern w:val="2"/>
          <w:lang w:eastAsia="zh-CN"/>
        </w:rPr>
        <w:t>国网和南网</w:t>
      </w:r>
      <w:proofErr w:type="gramEnd"/>
      <w:r>
        <w:rPr>
          <w:rFonts w:cs="Times New Roman" w:hint="eastAsia"/>
          <w:kern w:val="2"/>
          <w:lang w:eastAsia="zh-CN"/>
        </w:rPr>
        <w:t>两大电网检测认证，自</w:t>
      </w:r>
      <w:proofErr w:type="gramStart"/>
      <w:r>
        <w:rPr>
          <w:rFonts w:cs="Times New Roman" w:hint="eastAsia"/>
          <w:kern w:val="2"/>
          <w:lang w:eastAsia="zh-CN"/>
        </w:rPr>
        <w:t>研</w:t>
      </w:r>
      <w:proofErr w:type="gramEnd"/>
      <w:r>
        <w:rPr>
          <w:rFonts w:cs="Times New Roman" w:hint="eastAsia"/>
          <w:kern w:val="2"/>
          <w:lang w:eastAsia="zh-CN"/>
        </w:rPr>
        <w:t>通信芯片覆盖全球</w:t>
      </w:r>
      <w:r>
        <w:rPr>
          <w:rFonts w:cs="Times New Roman" w:hint="eastAsia"/>
          <w:kern w:val="2"/>
          <w:lang w:eastAsia="zh-CN"/>
        </w:rPr>
        <w:t xml:space="preserve"> 70% </w:t>
      </w:r>
      <w:r>
        <w:rPr>
          <w:rFonts w:cs="Times New Roman" w:hint="eastAsia"/>
          <w:kern w:val="2"/>
          <w:lang w:eastAsia="zh-CN"/>
        </w:rPr>
        <w:t>以上国家电力</w:t>
      </w:r>
      <w:r>
        <w:rPr>
          <w:rFonts w:cs="Times New Roman" w:hint="eastAsia"/>
          <w:kern w:val="2"/>
          <w:lang w:eastAsia="zh-CN"/>
        </w:rPr>
        <w:t xml:space="preserve"> </w:t>
      </w:r>
      <w:r>
        <w:rPr>
          <w:rFonts w:cs="Times New Roman" w:hint="eastAsia"/>
          <w:kern w:val="2"/>
          <w:lang w:eastAsia="zh-CN"/>
        </w:rPr>
        <w:t xml:space="preserve">AMI </w:t>
      </w:r>
      <w:r>
        <w:rPr>
          <w:rFonts w:cs="Times New Roman" w:hint="eastAsia"/>
          <w:kern w:val="2"/>
          <w:lang w:eastAsia="zh-CN"/>
        </w:rPr>
        <w:t>通信方案。公司与国家实验室合作，共同研发内嵌</w:t>
      </w:r>
      <w:r>
        <w:rPr>
          <w:rFonts w:cs="Times New Roman" w:hint="eastAsia"/>
          <w:kern w:val="2"/>
          <w:lang w:eastAsia="zh-CN"/>
        </w:rPr>
        <w:t xml:space="preserve"> NPU </w:t>
      </w:r>
      <w:r>
        <w:rPr>
          <w:rFonts w:cs="Times New Roman" w:hint="eastAsia"/>
          <w:kern w:val="2"/>
          <w:lang w:eastAsia="zh-CN"/>
        </w:rPr>
        <w:t>及</w:t>
      </w:r>
      <w:r>
        <w:rPr>
          <w:rFonts w:cs="Times New Roman" w:hint="eastAsia"/>
          <w:kern w:val="2"/>
          <w:lang w:eastAsia="zh-CN"/>
        </w:rPr>
        <w:t xml:space="preserve"> AI </w:t>
      </w:r>
      <w:r>
        <w:rPr>
          <w:rFonts w:cs="Times New Roman" w:hint="eastAsia"/>
          <w:kern w:val="2"/>
          <w:lang w:eastAsia="zh-CN"/>
        </w:rPr>
        <w:t>算法的新型</w:t>
      </w:r>
      <w:r>
        <w:rPr>
          <w:rFonts w:cs="Times New Roman" w:hint="eastAsia"/>
          <w:kern w:val="2"/>
          <w:lang w:eastAsia="zh-CN"/>
        </w:rPr>
        <w:t xml:space="preserve"> </w:t>
      </w:r>
      <w:proofErr w:type="spellStart"/>
      <w:r>
        <w:rPr>
          <w:rFonts w:cs="Times New Roman" w:hint="eastAsia"/>
          <w:kern w:val="2"/>
          <w:lang w:eastAsia="zh-CN"/>
        </w:rPr>
        <w:t>SoC</w:t>
      </w:r>
      <w:proofErr w:type="spellEnd"/>
      <w:r>
        <w:rPr>
          <w:rFonts w:cs="Times New Roman" w:hint="eastAsia"/>
          <w:kern w:val="2"/>
          <w:lang w:eastAsia="zh-CN"/>
        </w:rPr>
        <w:t xml:space="preserve"> </w:t>
      </w:r>
      <w:r>
        <w:rPr>
          <w:rFonts w:cs="Times New Roman" w:hint="eastAsia"/>
          <w:kern w:val="2"/>
          <w:lang w:eastAsia="zh-CN"/>
        </w:rPr>
        <w:t>芯片。</w:t>
      </w:r>
    </w:p>
    <w:p w14:paraId="6F8AB229"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2024</w:t>
      </w:r>
      <w:r>
        <w:rPr>
          <w:rFonts w:cs="Times New Roman" w:hint="eastAsia"/>
          <w:kern w:val="2"/>
          <w:lang w:eastAsia="zh-CN"/>
        </w:rPr>
        <w:t>年威</w:t>
      </w:r>
      <w:proofErr w:type="gramStart"/>
      <w:r>
        <w:rPr>
          <w:rFonts w:cs="Times New Roman" w:hint="eastAsia"/>
          <w:kern w:val="2"/>
          <w:lang w:eastAsia="zh-CN"/>
        </w:rPr>
        <w:t>胜信息</w:t>
      </w:r>
      <w:proofErr w:type="gramEnd"/>
      <w:r>
        <w:rPr>
          <w:rFonts w:cs="Times New Roman" w:hint="eastAsia"/>
          <w:kern w:val="2"/>
          <w:lang w:eastAsia="zh-CN"/>
        </w:rPr>
        <w:t>入选上证</w:t>
      </w:r>
      <w:r>
        <w:rPr>
          <w:rFonts w:cs="Times New Roman" w:hint="eastAsia"/>
          <w:kern w:val="2"/>
          <w:lang w:eastAsia="zh-CN"/>
        </w:rPr>
        <w:t>380</w:t>
      </w:r>
      <w:r>
        <w:rPr>
          <w:rFonts w:cs="Times New Roman" w:hint="eastAsia"/>
          <w:kern w:val="2"/>
          <w:lang w:eastAsia="zh-CN"/>
        </w:rPr>
        <w:t>指数、</w:t>
      </w:r>
      <w:proofErr w:type="gramStart"/>
      <w:r>
        <w:rPr>
          <w:rFonts w:cs="Times New Roman" w:hint="eastAsia"/>
          <w:kern w:val="2"/>
          <w:lang w:eastAsia="zh-CN"/>
        </w:rPr>
        <w:t>科创板</w:t>
      </w:r>
      <w:proofErr w:type="gramEnd"/>
      <w:r>
        <w:rPr>
          <w:rFonts w:cs="Times New Roman" w:hint="eastAsia"/>
          <w:kern w:val="2"/>
          <w:lang w:eastAsia="zh-CN"/>
        </w:rPr>
        <w:t>100</w:t>
      </w:r>
      <w:r>
        <w:rPr>
          <w:rFonts w:cs="Times New Roman" w:hint="eastAsia"/>
          <w:kern w:val="2"/>
          <w:lang w:eastAsia="zh-CN"/>
        </w:rPr>
        <w:t>指数。同时还</w:t>
      </w:r>
      <w:proofErr w:type="gramStart"/>
      <w:r>
        <w:rPr>
          <w:rFonts w:cs="Times New Roman" w:hint="eastAsia"/>
          <w:kern w:val="2"/>
          <w:lang w:eastAsia="zh-CN"/>
        </w:rPr>
        <w:t>入选科创板</w:t>
      </w:r>
      <w:proofErr w:type="gramEnd"/>
      <w:r>
        <w:rPr>
          <w:rFonts w:cs="Times New Roman" w:hint="eastAsia"/>
          <w:kern w:val="2"/>
          <w:lang w:eastAsia="zh-CN"/>
        </w:rPr>
        <w:t>人工智能指数，该指数布局</w:t>
      </w:r>
      <w:proofErr w:type="gramStart"/>
      <w:r>
        <w:rPr>
          <w:rFonts w:cs="Times New Roman" w:hint="eastAsia"/>
          <w:kern w:val="2"/>
          <w:lang w:eastAsia="zh-CN"/>
        </w:rPr>
        <w:t>科创板</w:t>
      </w:r>
      <w:proofErr w:type="gramEnd"/>
      <w:r>
        <w:rPr>
          <w:rFonts w:cs="Times New Roman" w:hint="eastAsia"/>
          <w:kern w:val="2"/>
          <w:lang w:eastAsia="zh-CN"/>
        </w:rPr>
        <w:t>人工智能龙头，覆盖</w:t>
      </w:r>
      <w:r>
        <w:rPr>
          <w:rFonts w:cs="Times New Roman" w:hint="eastAsia"/>
          <w:kern w:val="2"/>
          <w:lang w:eastAsia="zh-CN"/>
        </w:rPr>
        <w:t>AI</w:t>
      </w:r>
      <w:r>
        <w:rPr>
          <w:rFonts w:cs="Times New Roman" w:hint="eastAsia"/>
          <w:kern w:val="2"/>
          <w:lang w:eastAsia="zh-CN"/>
        </w:rPr>
        <w:t>产业链</w:t>
      </w:r>
      <w:proofErr w:type="gramStart"/>
      <w:r>
        <w:rPr>
          <w:rFonts w:cs="Times New Roman" w:hint="eastAsia"/>
          <w:kern w:val="2"/>
          <w:lang w:eastAsia="zh-CN"/>
        </w:rPr>
        <w:t>上游算力芯片</w:t>
      </w:r>
      <w:proofErr w:type="gramEnd"/>
      <w:r>
        <w:rPr>
          <w:rFonts w:cs="Times New Roman" w:hint="eastAsia"/>
          <w:kern w:val="2"/>
          <w:lang w:eastAsia="zh-CN"/>
        </w:rPr>
        <w:t>、中游大模型云计算、下游机器人等各</w:t>
      </w:r>
      <w:proofErr w:type="gramStart"/>
      <w:r>
        <w:rPr>
          <w:rFonts w:cs="Times New Roman" w:hint="eastAsia"/>
          <w:kern w:val="2"/>
          <w:lang w:eastAsia="zh-CN"/>
        </w:rPr>
        <w:t>类创新</w:t>
      </w:r>
      <w:proofErr w:type="gramEnd"/>
      <w:r>
        <w:rPr>
          <w:rFonts w:cs="Times New Roman" w:hint="eastAsia"/>
          <w:kern w:val="2"/>
          <w:lang w:eastAsia="zh-CN"/>
        </w:rPr>
        <w:t>应用。</w:t>
      </w:r>
    </w:p>
    <w:p w14:paraId="123E3F4A"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lastRenderedPageBreak/>
        <w:t>全球化战略落地也实现海外国家多点突破，成为</w:t>
      </w:r>
      <w:r>
        <w:rPr>
          <w:rFonts w:cs="Times New Roman" w:hint="eastAsia"/>
          <w:kern w:val="2"/>
          <w:lang w:eastAsia="zh-CN"/>
        </w:rPr>
        <w:t>2024</w:t>
      </w:r>
      <w:r>
        <w:rPr>
          <w:rFonts w:cs="Times New Roman" w:hint="eastAsia"/>
          <w:kern w:val="2"/>
          <w:lang w:eastAsia="zh-CN"/>
        </w:rPr>
        <w:t>年威</w:t>
      </w:r>
      <w:proofErr w:type="gramStart"/>
      <w:r>
        <w:rPr>
          <w:rFonts w:cs="Times New Roman" w:hint="eastAsia"/>
          <w:kern w:val="2"/>
          <w:lang w:eastAsia="zh-CN"/>
        </w:rPr>
        <w:t>胜信息</w:t>
      </w:r>
      <w:proofErr w:type="gramEnd"/>
      <w:r>
        <w:rPr>
          <w:rFonts w:cs="Times New Roman" w:hint="eastAsia"/>
          <w:kern w:val="2"/>
          <w:lang w:eastAsia="zh-CN"/>
        </w:rPr>
        <w:t>国际化发展的重要里程碑，</w:t>
      </w:r>
      <w:r>
        <w:rPr>
          <w:rFonts w:cs="Times New Roman" w:hint="eastAsia"/>
          <w:kern w:val="2"/>
          <w:lang w:eastAsia="zh-CN"/>
        </w:rPr>
        <w:t xml:space="preserve">2024 </w:t>
      </w:r>
      <w:r>
        <w:rPr>
          <w:rFonts w:cs="Times New Roman" w:hint="eastAsia"/>
          <w:kern w:val="2"/>
          <w:lang w:eastAsia="zh-CN"/>
        </w:rPr>
        <w:t>年公司境外业务收入</w:t>
      </w:r>
      <w:r>
        <w:rPr>
          <w:rFonts w:cs="Times New Roman" w:hint="eastAsia"/>
          <w:kern w:val="2"/>
          <w:lang w:eastAsia="zh-CN"/>
        </w:rPr>
        <w:t xml:space="preserve"> 4.21 </w:t>
      </w:r>
      <w:r>
        <w:rPr>
          <w:rFonts w:cs="Times New Roman" w:hint="eastAsia"/>
          <w:kern w:val="2"/>
          <w:lang w:eastAsia="zh-CN"/>
        </w:rPr>
        <w:t>亿元，创历史新高，同比增长</w:t>
      </w:r>
      <w:r>
        <w:rPr>
          <w:rFonts w:cs="Times New Roman" w:hint="eastAsia"/>
          <w:kern w:val="2"/>
          <w:lang w:eastAsia="zh-CN"/>
        </w:rPr>
        <w:t xml:space="preserve"> 85.4%</w:t>
      </w:r>
      <w:r>
        <w:rPr>
          <w:rFonts w:cs="Times New Roman" w:hint="eastAsia"/>
          <w:kern w:val="2"/>
          <w:lang w:eastAsia="zh-CN"/>
        </w:rPr>
        <w:t>。公司积极参与国际客户交流与合作，积极推进海外建点布局，已设</w:t>
      </w:r>
      <w:r>
        <w:rPr>
          <w:rFonts w:cs="Times New Roman" w:hint="eastAsia"/>
          <w:kern w:val="2"/>
          <w:lang w:eastAsia="zh-CN"/>
        </w:rPr>
        <w:t>立</w:t>
      </w:r>
      <w:r>
        <w:rPr>
          <w:rFonts w:cs="Times New Roman" w:hint="eastAsia"/>
          <w:kern w:val="2"/>
          <w:lang w:eastAsia="zh-CN"/>
        </w:rPr>
        <w:t xml:space="preserve"> 10 </w:t>
      </w:r>
      <w:r>
        <w:rPr>
          <w:rFonts w:cs="Times New Roman" w:hint="eastAsia"/>
          <w:kern w:val="2"/>
          <w:lang w:eastAsia="zh-CN"/>
        </w:rPr>
        <w:t>余家境外子公司及销售代表处，沙特、印尼等海外工厂正在产能建设中。预期未来有更多的满足海外需求的创新应用解决方案落地生根更多的国家和境外客户。</w:t>
      </w:r>
    </w:p>
    <w:p w14:paraId="36C3DC53"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威</w:t>
      </w:r>
      <w:proofErr w:type="gramStart"/>
      <w:r>
        <w:rPr>
          <w:rFonts w:cs="Times New Roman" w:hint="eastAsia"/>
          <w:kern w:val="2"/>
          <w:lang w:eastAsia="zh-CN"/>
        </w:rPr>
        <w:t>胜信息</w:t>
      </w:r>
      <w:proofErr w:type="gramEnd"/>
      <w:r>
        <w:rPr>
          <w:rFonts w:cs="Times New Roman" w:hint="eastAsia"/>
          <w:kern w:val="2"/>
          <w:lang w:eastAsia="zh-CN"/>
        </w:rPr>
        <w:t>在</w:t>
      </w:r>
      <w:proofErr w:type="gramStart"/>
      <w:r>
        <w:rPr>
          <w:rFonts w:cs="Times New Roman" w:hint="eastAsia"/>
          <w:kern w:val="2"/>
          <w:lang w:eastAsia="zh-CN"/>
        </w:rPr>
        <w:t>践行</w:t>
      </w:r>
      <w:proofErr w:type="gramEnd"/>
      <w:r>
        <w:rPr>
          <w:rFonts w:cs="Times New Roman" w:hint="eastAsia"/>
          <w:kern w:val="2"/>
          <w:lang w:eastAsia="zh-CN"/>
        </w:rPr>
        <w:t xml:space="preserve"> ESG </w:t>
      </w:r>
      <w:r>
        <w:rPr>
          <w:rFonts w:cs="Times New Roman" w:hint="eastAsia"/>
          <w:kern w:val="2"/>
          <w:lang w:eastAsia="zh-CN"/>
        </w:rPr>
        <w:t>理念、回报股东等方面同样表现出色，入选上证</w:t>
      </w:r>
      <w:proofErr w:type="gramStart"/>
      <w:r>
        <w:rPr>
          <w:rFonts w:cs="Times New Roman" w:hint="eastAsia"/>
          <w:kern w:val="2"/>
          <w:lang w:eastAsia="zh-CN"/>
        </w:rPr>
        <w:t>科创板</w:t>
      </w:r>
      <w:proofErr w:type="gramEnd"/>
      <w:r>
        <w:rPr>
          <w:rFonts w:cs="Times New Roman" w:hint="eastAsia"/>
          <w:kern w:val="2"/>
          <w:lang w:eastAsia="zh-CN"/>
        </w:rPr>
        <w:t xml:space="preserve"> ESG </w:t>
      </w:r>
      <w:r>
        <w:rPr>
          <w:rFonts w:cs="Times New Roman" w:hint="eastAsia"/>
          <w:kern w:val="2"/>
          <w:lang w:eastAsia="zh-CN"/>
        </w:rPr>
        <w:t>指数</w:t>
      </w:r>
      <w:proofErr w:type="gramStart"/>
      <w:r>
        <w:rPr>
          <w:rFonts w:cs="Times New Roman" w:hint="eastAsia"/>
          <w:kern w:val="2"/>
          <w:lang w:eastAsia="zh-CN"/>
        </w:rPr>
        <w:t>并获万得</w:t>
      </w:r>
      <w:proofErr w:type="gramEnd"/>
      <w:r>
        <w:rPr>
          <w:rFonts w:cs="Times New Roman" w:hint="eastAsia"/>
          <w:kern w:val="2"/>
          <w:lang w:eastAsia="zh-CN"/>
        </w:rPr>
        <w:t>、</w:t>
      </w:r>
      <w:proofErr w:type="gramStart"/>
      <w:r>
        <w:rPr>
          <w:rFonts w:cs="Times New Roman" w:hint="eastAsia"/>
          <w:kern w:val="2"/>
          <w:lang w:eastAsia="zh-CN"/>
        </w:rPr>
        <w:t>华证</w:t>
      </w:r>
      <w:proofErr w:type="gramEnd"/>
      <w:r>
        <w:rPr>
          <w:rFonts w:cs="Times New Roman" w:hint="eastAsia"/>
          <w:kern w:val="2"/>
          <w:lang w:eastAsia="zh-CN"/>
        </w:rPr>
        <w:t>ESG</w:t>
      </w:r>
      <w:r>
        <w:rPr>
          <w:rFonts w:cs="Times New Roman" w:hint="eastAsia"/>
          <w:kern w:val="2"/>
          <w:lang w:eastAsia="zh-CN"/>
        </w:rPr>
        <w:t>“</w:t>
      </w:r>
      <w:r>
        <w:rPr>
          <w:rFonts w:cs="Times New Roman" w:hint="eastAsia"/>
          <w:kern w:val="2"/>
          <w:lang w:eastAsia="zh-CN"/>
        </w:rPr>
        <w:t>A</w:t>
      </w:r>
      <w:r>
        <w:rPr>
          <w:rFonts w:cs="Times New Roman" w:hint="eastAsia"/>
          <w:kern w:val="2"/>
          <w:lang w:eastAsia="zh-CN"/>
        </w:rPr>
        <w:t>”级评级认可。上市五年以来，含回购注销累计分红</w:t>
      </w:r>
      <w:r>
        <w:rPr>
          <w:rFonts w:cs="Times New Roman" w:hint="eastAsia"/>
          <w:kern w:val="2"/>
          <w:lang w:eastAsia="zh-CN"/>
        </w:rPr>
        <w:t xml:space="preserve"> 9 </w:t>
      </w:r>
      <w:r>
        <w:rPr>
          <w:rFonts w:cs="Times New Roman" w:hint="eastAsia"/>
          <w:kern w:val="2"/>
          <w:lang w:eastAsia="zh-CN"/>
        </w:rPr>
        <w:t>亿元，达</w:t>
      </w:r>
      <w:r>
        <w:rPr>
          <w:rFonts w:cs="Times New Roman" w:hint="eastAsia"/>
          <w:kern w:val="2"/>
          <w:lang w:eastAsia="zh-CN"/>
        </w:rPr>
        <w:t>IPO</w:t>
      </w:r>
      <w:r>
        <w:rPr>
          <w:rFonts w:cs="Times New Roman" w:hint="eastAsia"/>
          <w:kern w:val="2"/>
          <w:lang w:eastAsia="zh-CN"/>
        </w:rPr>
        <w:t>募资净额的</w:t>
      </w:r>
      <w:r>
        <w:rPr>
          <w:rFonts w:cs="Times New Roman" w:hint="eastAsia"/>
          <w:kern w:val="2"/>
          <w:lang w:eastAsia="zh-CN"/>
        </w:rPr>
        <w:t>1.48</w:t>
      </w:r>
      <w:r>
        <w:rPr>
          <w:rFonts w:cs="Times New Roman" w:hint="eastAsia"/>
          <w:kern w:val="2"/>
          <w:lang w:eastAsia="zh-CN"/>
        </w:rPr>
        <w:t>倍。同时，公司在</w:t>
      </w:r>
      <w:r>
        <w:rPr>
          <w:rFonts w:cs="Times New Roman" w:hint="eastAsia"/>
          <w:kern w:val="2"/>
          <w:lang w:eastAsia="zh-CN"/>
        </w:rPr>
        <w:t>2025</w:t>
      </w:r>
      <w:r>
        <w:rPr>
          <w:rFonts w:cs="Times New Roman" w:hint="eastAsia"/>
          <w:kern w:val="2"/>
          <w:lang w:eastAsia="zh-CN"/>
        </w:rPr>
        <w:t>年提质增效重回报行动方案中提到，拟定未来五年</w:t>
      </w:r>
      <w:r>
        <w:rPr>
          <w:rFonts w:cs="Times New Roman" w:hint="eastAsia"/>
          <w:kern w:val="2"/>
          <w:lang w:eastAsia="zh-CN"/>
        </w:rPr>
        <w:t xml:space="preserve"> 40% </w:t>
      </w:r>
      <w:r>
        <w:rPr>
          <w:rFonts w:cs="Times New Roman" w:hint="eastAsia"/>
          <w:kern w:val="2"/>
          <w:lang w:eastAsia="zh-CN"/>
        </w:rPr>
        <w:t>的基准分红率。</w:t>
      </w:r>
      <w:r>
        <w:rPr>
          <w:rFonts w:cs="Times New Roman" w:hint="eastAsia"/>
          <w:kern w:val="2"/>
          <w:lang w:eastAsia="zh-CN"/>
        </w:rPr>
        <w:t>25</w:t>
      </w:r>
      <w:r>
        <w:rPr>
          <w:rFonts w:cs="Times New Roman" w:hint="eastAsia"/>
          <w:kern w:val="2"/>
          <w:lang w:eastAsia="zh-CN"/>
        </w:rPr>
        <w:t>年</w:t>
      </w:r>
      <w:r>
        <w:rPr>
          <w:rFonts w:cs="Times New Roman" w:hint="eastAsia"/>
          <w:kern w:val="2"/>
          <w:lang w:eastAsia="zh-CN"/>
        </w:rPr>
        <w:t>1</w:t>
      </w:r>
      <w:r>
        <w:rPr>
          <w:rFonts w:cs="Times New Roman" w:hint="eastAsia"/>
          <w:kern w:val="2"/>
          <w:lang w:eastAsia="zh-CN"/>
        </w:rPr>
        <w:t>月再次发出回购计划</w:t>
      </w:r>
      <w:r>
        <w:rPr>
          <w:rFonts w:cs="Times New Roman" w:hint="eastAsia"/>
          <w:kern w:val="2"/>
          <w:lang w:eastAsia="zh-CN"/>
        </w:rPr>
        <w:t>1-1.5</w:t>
      </w:r>
      <w:r>
        <w:rPr>
          <w:rFonts w:cs="Times New Roman" w:hint="eastAsia"/>
          <w:kern w:val="2"/>
          <w:lang w:eastAsia="zh-CN"/>
        </w:rPr>
        <w:t>亿元，彰显公司信心。</w:t>
      </w:r>
    </w:p>
    <w:p w14:paraId="69E1D6F8" w14:textId="77777777" w:rsidR="004D1B9E" w:rsidRDefault="006A22C2" w:rsidP="00EC471D">
      <w:pPr>
        <w:pStyle w:val="ad"/>
        <w:numPr>
          <w:ilvl w:val="0"/>
          <w:numId w:val="1"/>
        </w:numPr>
        <w:spacing w:line="420" w:lineRule="exact"/>
        <w:ind w:left="709" w:firstLineChars="0"/>
        <w:rPr>
          <w:rFonts w:hAnsi="宋体"/>
          <w:b/>
          <w:sz w:val="24"/>
        </w:rPr>
      </w:pPr>
      <w:r>
        <w:rPr>
          <w:rFonts w:hAnsi="宋体" w:hint="eastAsia"/>
          <w:b/>
          <w:sz w:val="24"/>
        </w:rPr>
        <w:t>投资者问答</w:t>
      </w:r>
    </w:p>
    <w:p w14:paraId="4FF66D85" w14:textId="77777777" w:rsidR="004D1B9E" w:rsidRDefault="006A22C2" w:rsidP="00EC471D">
      <w:pPr>
        <w:widowControl/>
        <w:spacing w:line="420" w:lineRule="exact"/>
        <w:ind w:firstLineChars="200" w:firstLine="482"/>
        <w:jc w:val="left"/>
        <w:rPr>
          <w:rFonts w:ascii="宋体" w:hAnsi="宋体"/>
          <w:bCs/>
          <w:sz w:val="24"/>
        </w:rPr>
      </w:pPr>
      <w:r>
        <w:rPr>
          <w:rFonts w:ascii="宋体" w:hAnsi="宋体" w:hint="eastAsia"/>
          <w:b/>
          <w:bCs/>
          <w:sz w:val="24"/>
        </w:rPr>
        <w:t>Q</w:t>
      </w:r>
      <w:r>
        <w:rPr>
          <w:rFonts w:ascii="宋体" w:hAnsi="宋体"/>
          <w:b/>
          <w:bCs/>
          <w:sz w:val="24"/>
        </w:rPr>
        <w:t>：</w:t>
      </w:r>
      <w:r>
        <w:rPr>
          <w:rFonts w:ascii="宋体" w:hAnsi="宋体"/>
          <w:b/>
          <w:bCs/>
          <w:sz w:val="24"/>
        </w:rPr>
        <w:t>AI</w:t>
      </w:r>
      <w:r>
        <w:rPr>
          <w:rFonts w:ascii="宋体" w:hAnsi="宋体"/>
          <w:b/>
          <w:bCs/>
          <w:sz w:val="24"/>
        </w:rPr>
        <w:t>产品在公司整体产品中占比如何？以及后续如何进一步增强</w:t>
      </w:r>
      <w:r>
        <w:rPr>
          <w:rFonts w:ascii="宋体" w:hAnsi="宋体"/>
          <w:b/>
          <w:bCs/>
          <w:sz w:val="24"/>
        </w:rPr>
        <w:t>AI</w:t>
      </w:r>
      <w:r>
        <w:rPr>
          <w:rFonts w:ascii="宋体" w:hAnsi="宋体"/>
          <w:b/>
          <w:bCs/>
          <w:sz w:val="24"/>
        </w:rPr>
        <w:t>在产品中的应用，提升公司竞争力？</w:t>
      </w:r>
      <w:r>
        <w:rPr>
          <w:rFonts w:ascii="宋体" w:hAnsi="宋体"/>
          <w:bCs/>
          <w:sz w:val="24"/>
        </w:rPr>
        <w:t xml:space="preserve"> </w:t>
      </w:r>
    </w:p>
    <w:p w14:paraId="3F6AF81E" w14:textId="77777777" w:rsidR="004D1B9E" w:rsidRDefault="006A22C2" w:rsidP="00EC471D">
      <w:pPr>
        <w:widowControl/>
        <w:spacing w:line="420" w:lineRule="exact"/>
        <w:ind w:firstLineChars="200" w:firstLine="480"/>
        <w:jc w:val="left"/>
        <w:rPr>
          <w:rFonts w:ascii="宋体" w:hAnsi="宋体"/>
          <w:bCs/>
          <w:sz w:val="24"/>
        </w:rPr>
      </w:pPr>
      <w:r>
        <w:rPr>
          <w:rFonts w:ascii="宋体" w:hAnsi="宋体" w:hint="eastAsia"/>
          <w:bCs/>
          <w:sz w:val="24"/>
        </w:rPr>
        <w:t>A</w:t>
      </w:r>
      <w:r>
        <w:rPr>
          <w:rFonts w:ascii="宋体" w:hAnsi="宋体"/>
          <w:bCs/>
          <w:sz w:val="24"/>
        </w:rPr>
        <w:t>：目前</w:t>
      </w:r>
      <w:r>
        <w:rPr>
          <w:rFonts w:ascii="宋体" w:hAnsi="宋体" w:hint="eastAsia"/>
          <w:bCs/>
          <w:sz w:val="24"/>
        </w:rPr>
        <w:t>AI</w:t>
      </w:r>
      <w:r>
        <w:rPr>
          <w:rFonts w:ascii="宋体" w:hAnsi="宋体" w:hint="eastAsia"/>
          <w:bCs/>
          <w:sz w:val="24"/>
        </w:rPr>
        <w:t>产品营收超</w:t>
      </w:r>
      <w:r>
        <w:rPr>
          <w:rFonts w:ascii="宋体" w:hAnsi="宋体" w:hint="eastAsia"/>
          <w:bCs/>
          <w:sz w:val="24"/>
        </w:rPr>
        <w:t>4</w:t>
      </w:r>
      <w:r>
        <w:rPr>
          <w:rFonts w:ascii="宋体" w:hAnsi="宋体" w:hint="eastAsia"/>
          <w:bCs/>
          <w:sz w:val="24"/>
        </w:rPr>
        <w:t>亿元</w:t>
      </w:r>
      <w:r>
        <w:rPr>
          <w:rFonts w:ascii="宋体" w:hAnsi="宋体"/>
          <w:bCs/>
          <w:sz w:val="24"/>
        </w:rPr>
        <w:t>，在新产品的占比已达到</w:t>
      </w:r>
      <w:r>
        <w:rPr>
          <w:rFonts w:ascii="宋体" w:hAnsi="宋体"/>
          <w:bCs/>
          <w:sz w:val="24"/>
        </w:rPr>
        <w:t>30%</w:t>
      </w:r>
      <w:r>
        <w:rPr>
          <w:rFonts w:ascii="宋体" w:hAnsi="宋体" w:hint="eastAsia"/>
          <w:bCs/>
          <w:sz w:val="24"/>
        </w:rPr>
        <w:t>。</w:t>
      </w:r>
      <w:r>
        <w:rPr>
          <w:rFonts w:ascii="宋体" w:hAnsi="宋体"/>
          <w:bCs/>
          <w:sz w:val="24"/>
        </w:rPr>
        <w:t>主要体现在电网软硬融合产品上，如通讯板块芯片和模块以及智慧能效业务。未来，威</w:t>
      </w:r>
      <w:proofErr w:type="gramStart"/>
      <w:r>
        <w:rPr>
          <w:rFonts w:ascii="宋体" w:hAnsi="宋体"/>
          <w:bCs/>
          <w:sz w:val="24"/>
        </w:rPr>
        <w:t>胜信息</w:t>
      </w:r>
      <w:proofErr w:type="gramEnd"/>
      <w:r>
        <w:rPr>
          <w:rFonts w:ascii="宋体" w:hAnsi="宋体"/>
          <w:bCs/>
          <w:sz w:val="24"/>
        </w:rPr>
        <w:t>将持续通过技术创新和</w:t>
      </w:r>
      <w:r>
        <w:rPr>
          <w:rFonts w:ascii="宋体" w:hAnsi="宋体"/>
          <w:bCs/>
          <w:sz w:val="24"/>
        </w:rPr>
        <w:t>AI</w:t>
      </w:r>
      <w:r>
        <w:rPr>
          <w:rFonts w:ascii="宋体" w:hAnsi="宋体"/>
          <w:bCs/>
          <w:sz w:val="24"/>
        </w:rPr>
        <w:t>垂直应用带来增长，特别是在</w:t>
      </w:r>
      <w:r>
        <w:rPr>
          <w:rFonts w:ascii="宋体" w:hAnsi="宋体"/>
          <w:bCs/>
          <w:sz w:val="24"/>
        </w:rPr>
        <w:t>2025</w:t>
      </w:r>
      <w:r>
        <w:rPr>
          <w:rFonts w:ascii="宋体" w:hAnsi="宋体"/>
          <w:bCs/>
          <w:sz w:val="24"/>
        </w:rPr>
        <w:t>年将推出面向</w:t>
      </w:r>
      <w:r>
        <w:rPr>
          <w:rFonts w:ascii="宋体" w:hAnsi="宋体"/>
          <w:bCs/>
          <w:sz w:val="24"/>
        </w:rPr>
        <w:t>AMI2.0</w:t>
      </w:r>
      <w:r>
        <w:rPr>
          <w:rFonts w:ascii="宋体" w:hAnsi="宋体"/>
          <w:bCs/>
          <w:sz w:val="24"/>
        </w:rPr>
        <w:t>的</w:t>
      </w:r>
      <w:r>
        <w:rPr>
          <w:rFonts w:ascii="宋体" w:hAnsi="宋体" w:hint="eastAsia"/>
          <w:bCs/>
          <w:sz w:val="24"/>
        </w:rPr>
        <w:t>配用电</w:t>
      </w:r>
      <w:r>
        <w:rPr>
          <w:rFonts w:ascii="宋体" w:hAnsi="宋体"/>
          <w:bCs/>
          <w:sz w:val="24"/>
        </w:rPr>
        <w:t>一体化解决方案，并且技术领先的超声波智能水表也将继续扩大市场份额，特别是在中东地区。同时，</w:t>
      </w:r>
      <w:r>
        <w:rPr>
          <w:rFonts w:ascii="宋体" w:hAnsi="宋体" w:hint="eastAsia"/>
          <w:bCs/>
          <w:sz w:val="24"/>
        </w:rPr>
        <w:t>公司</w:t>
      </w:r>
      <w:r>
        <w:rPr>
          <w:rFonts w:ascii="宋体" w:hAnsi="宋体"/>
          <w:bCs/>
          <w:sz w:val="24"/>
        </w:rPr>
        <w:t>的</w:t>
      </w:r>
      <w:proofErr w:type="gramStart"/>
      <w:r>
        <w:rPr>
          <w:rFonts w:ascii="宋体" w:hAnsi="宋体"/>
          <w:bCs/>
          <w:sz w:val="24"/>
        </w:rPr>
        <w:t>长沙智谷项目</w:t>
      </w:r>
      <w:proofErr w:type="gramEnd"/>
      <w:r>
        <w:rPr>
          <w:rFonts w:ascii="宋体" w:hAnsi="宋体"/>
          <w:bCs/>
          <w:sz w:val="24"/>
        </w:rPr>
        <w:t>也展示了极强的增长潜力。</w:t>
      </w:r>
      <w:r>
        <w:rPr>
          <w:rFonts w:ascii="宋体" w:hAnsi="宋体"/>
          <w:bCs/>
          <w:sz w:val="24"/>
        </w:rPr>
        <w:t xml:space="preserve"> </w:t>
      </w:r>
    </w:p>
    <w:p w14:paraId="7E9CB68C" w14:textId="77777777" w:rsidR="004D1B9E" w:rsidRDefault="006A22C2" w:rsidP="00EC471D">
      <w:pPr>
        <w:widowControl/>
        <w:tabs>
          <w:tab w:val="left" w:pos="6950"/>
        </w:tabs>
        <w:spacing w:line="420" w:lineRule="exact"/>
        <w:ind w:firstLineChars="200" w:firstLine="480"/>
        <w:jc w:val="left"/>
        <w:rPr>
          <w:rFonts w:ascii="宋体" w:hAnsi="宋体"/>
          <w:bCs/>
          <w:sz w:val="24"/>
        </w:rPr>
      </w:pPr>
      <w:r>
        <w:rPr>
          <w:rFonts w:ascii="宋体" w:hAnsi="宋体"/>
          <w:bCs/>
          <w:sz w:val="24"/>
        </w:rPr>
        <w:tab/>
      </w:r>
    </w:p>
    <w:p w14:paraId="577A7E7E" w14:textId="77777777" w:rsidR="004D1B9E" w:rsidRDefault="006A22C2" w:rsidP="00EC471D">
      <w:pPr>
        <w:widowControl/>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：公司如何具体实现</w:t>
      </w:r>
      <w:r>
        <w:rPr>
          <w:rFonts w:ascii="宋体" w:hAnsi="宋体"/>
          <w:b/>
          <w:bCs/>
          <w:sz w:val="24"/>
        </w:rPr>
        <w:t>AI</w:t>
      </w:r>
      <w:r>
        <w:rPr>
          <w:rFonts w:ascii="宋体" w:hAnsi="宋体"/>
          <w:b/>
          <w:bCs/>
          <w:sz w:val="24"/>
        </w:rPr>
        <w:t>与产品的结合，以及在实</w:t>
      </w:r>
      <w:r>
        <w:rPr>
          <w:rFonts w:ascii="宋体" w:hAnsi="宋体"/>
          <w:b/>
          <w:bCs/>
          <w:sz w:val="24"/>
        </w:rPr>
        <w:t>际应用中的表现如何？</w:t>
      </w:r>
      <w:r>
        <w:rPr>
          <w:rFonts w:ascii="宋体" w:hAnsi="宋体"/>
          <w:b/>
          <w:bCs/>
          <w:sz w:val="24"/>
        </w:rPr>
        <w:t xml:space="preserve"> </w:t>
      </w:r>
    </w:p>
    <w:p w14:paraId="4D29D361" w14:textId="77777777" w:rsidR="004D1B9E" w:rsidRDefault="006A22C2" w:rsidP="00EC471D">
      <w:pPr>
        <w:widowControl/>
        <w:spacing w:line="420" w:lineRule="exact"/>
        <w:ind w:firstLineChars="200" w:firstLine="480"/>
        <w:jc w:val="left"/>
        <w:rPr>
          <w:rFonts w:ascii="宋体" w:hAnsi="宋体"/>
          <w:bCs/>
          <w:sz w:val="24"/>
        </w:rPr>
      </w:pPr>
      <w:r>
        <w:rPr>
          <w:rFonts w:ascii="宋体" w:hAnsi="宋体" w:hint="eastAsia"/>
          <w:bCs/>
          <w:sz w:val="24"/>
        </w:rPr>
        <w:t>A</w:t>
      </w:r>
      <w:r>
        <w:rPr>
          <w:rFonts w:ascii="宋体" w:hAnsi="宋体"/>
          <w:bCs/>
          <w:sz w:val="24"/>
        </w:rPr>
        <w:t>：公司已将</w:t>
      </w:r>
      <w:r>
        <w:rPr>
          <w:rFonts w:ascii="宋体" w:hAnsi="宋体"/>
          <w:bCs/>
          <w:sz w:val="24"/>
        </w:rPr>
        <w:t>AI</w:t>
      </w:r>
      <w:r>
        <w:rPr>
          <w:rFonts w:ascii="宋体" w:hAnsi="宋体"/>
          <w:bCs/>
          <w:sz w:val="24"/>
        </w:rPr>
        <w:t>技术集成到芯片和各类通讯网关模块中，实现</w:t>
      </w:r>
      <w:r>
        <w:rPr>
          <w:rFonts w:ascii="宋体" w:hAnsi="宋体"/>
          <w:bCs/>
          <w:sz w:val="24"/>
        </w:rPr>
        <w:t>AI</w:t>
      </w:r>
      <w:r>
        <w:rPr>
          <w:rFonts w:ascii="宋体" w:hAnsi="宋体"/>
          <w:bCs/>
          <w:sz w:val="24"/>
        </w:rPr>
        <w:t>算法的边缘侧推理。在云端训练模型后，再在边缘端进行模型部署，有效降低电网成本并提升效率。例如，在输电线在线监测、智能视频监控等方面取得了显著成效，通过</w:t>
      </w:r>
      <w:r>
        <w:rPr>
          <w:rFonts w:ascii="宋体" w:hAnsi="宋体"/>
          <w:bCs/>
          <w:sz w:val="24"/>
        </w:rPr>
        <w:t>AI</w:t>
      </w:r>
      <w:r>
        <w:rPr>
          <w:rFonts w:ascii="宋体" w:hAnsi="宋体"/>
          <w:bCs/>
          <w:sz w:val="24"/>
        </w:rPr>
        <w:t>技术帮助实现自动化运维和故障识别，提升了电网管理和抢修维护的工作效率。</w:t>
      </w:r>
      <w:r>
        <w:rPr>
          <w:rFonts w:ascii="宋体" w:hAnsi="宋体"/>
          <w:bCs/>
          <w:sz w:val="24"/>
        </w:rPr>
        <w:t xml:space="preserve"> </w:t>
      </w:r>
    </w:p>
    <w:p w14:paraId="66A8CDDF" w14:textId="77777777" w:rsidR="004D1B9E" w:rsidRDefault="004D1B9E" w:rsidP="00EC471D">
      <w:pPr>
        <w:widowControl/>
        <w:spacing w:line="420" w:lineRule="exact"/>
        <w:jc w:val="left"/>
        <w:rPr>
          <w:rFonts w:ascii="宋体" w:hAnsi="宋体"/>
          <w:b/>
          <w:bCs/>
          <w:sz w:val="24"/>
        </w:rPr>
      </w:pPr>
    </w:p>
    <w:p w14:paraId="5343EE66" w14:textId="77777777" w:rsidR="004D1B9E" w:rsidRDefault="006A22C2" w:rsidP="00EC471D">
      <w:pPr>
        <w:widowControl/>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：能否简单介绍一下</w:t>
      </w:r>
      <w:proofErr w:type="gramStart"/>
      <w:r>
        <w:rPr>
          <w:rFonts w:ascii="宋体" w:hAnsi="宋体"/>
          <w:b/>
          <w:bCs/>
          <w:sz w:val="24"/>
        </w:rPr>
        <w:t>长沙智谷项目</w:t>
      </w:r>
      <w:proofErr w:type="gramEnd"/>
      <w:r>
        <w:rPr>
          <w:rFonts w:ascii="宋体" w:hAnsi="宋体"/>
          <w:b/>
          <w:bCs/>
          <w:sz w:val="24"/>
        </w:rPr>
        <w:t>，并探讨该项目可能带来的新业态和新模式？</w:t>
      </w:r>
      <w:r>
        <w:rPr>
          <w:rFonts w:ascii="宋体" w:hAnsi="宋体"/>
          <w:b/>
          <w:bCs/>
          <w:sz w:val="24"/>
        </w:rPr>
        <w:t xml:space="preserve"> </w:t>
      </w:r>
    </w:p>
    <w:p w14:paraId="4AF1A33F" w14:textId="77777777" w:rsidR="004D1B9E" w:rsidRDefault="006A22C2" w:rsidP="00EC471D">
      <w:pPr>
        <w:widowControl/>
        <w:spacing w:line="420" w:lineRule="exact"/>
        <w:ind w:firstLineChars="200" w:firstLine="480"/>
        <w:jc w:val="left"/>
        <w:rPr>
          <w:rFonts w:ascii="宋体" w:hAnsi="宋体"/>
          <w:bCs/>
          <w:sz w:val="24"/>
        </w:rPr>
      </w:pPr>
      <w:r>
        <w:rPr>
          <w:rFonts w:ascii="宋体" w:hAnsi="宋体" w:hint="eastAsia"/>
          <w:bCs/>
          <w:sz w:val="24"/>
        </w:rPr>
        <w:t>A</w:t>
      </w:r>
      <w:r>
        <w:rPr>
          <w:rFonts w:ascii="宋体" w:hAnsi="宋体"/>
          <w:bCs/>
          <w:sz w:val="24"/>
        </w:rPr>
        <w:t>：该项目融合了公司的产品创新、综合能力和未来商业模式创新，虽然金额相对于公司现有业务不大，但具有重要价值和意义。该项目采用了软件平台</w:t>
      </w:r>
      <w:r>
        <w:rPr>
          <w:rFonts w:ascii="宋体" w:hAnsi="宋体"/>
          <w:bCs/>
          <w:sz w:val="24"/>
        </w:rPr>
        <w:lastRenderedPageBreak/>
        <w:t>模式，收费形式以十年服务费为主，但未来动态收益暂未完全涵盖。项目的商业模式是通过沉淀业务能力，如园区人员管理、节能管理、安全管理</w:t>
      </w:r>
      <w:r>
        <w:rPr>
          <w:rFonts w:ascii="宋体" w:hAnsi="宋体" w:hint="eastAsia"/>
          <w:bCs/>
          <w:sz w:val="24"/>
        </w:rPr>
        <w:t>、</w:t>
      </w:r>
      <w:r>
        <w:rPr>
          <w:rFonts w:ascii="宋体" w:hAnsi="宋体"/>
          <w:bCs/>
          <w:sz w:val="24"/>
        </w:rPr>
        <w:t>以及智能化公共设施联网（如智能充电、智能建筑、智能路灯等），形成</w:t>
      </w:r>
      <w:proofErr w:type="gramStart"/>
      <w:r>
        <w:rPr>
          <w:rFonts w:ascii="宋体" w:hAnsi="宋体"/>
          <w:bCs/>
          <w:sz w:val="24"/>
        </w:rPr>
        <w:t>云管边端</w:t>
      </w:r>
      <w:proofErr w:type="gramEnd"/>
      <w:r>
        <w:rPr>
          <w:rFonts w:ascii="宋体" w:hAnsi="宋体"/>
          <w:bCs/>
          <w:sz w:val="24"/>
        </w:rPr>
        <w:t>一体化解决方案，打造新的业态和商业模式</w:t>
      </w:r>
      <w:r>
        <w:rPr>
          <w:rFonts w:ascii="宋体" w:hAnsi="宋体" w:hint="eastAsia"/>
          <w:bCs/>
          <w:sz w:val="24"/>
        </w:rPr>
        <w:t>。</w:t>
      </w:r>
    </w:p>
    <w:p w14:paraId="1054AFC3" w14:textId="77777777" w:rsidR="004D1B9E" w:rsidRDefault="006A22C2" w:rsidP="00EC471D">
      <w:pPr>
        <w:widowControl/>
        <w:spacing w:line="420" w:lineRule="exact"/>
        <w:ind w:firstLineChars="200" w:firstLine="480"/>
        <w:jc w:val="left"/>
        <w:rPr>
          <w:rFonts w:ascii="宋体" w:hAnsi="宋体"/>
          <w:bCs/>
          <w:sz w:val="24"/>
        </w:rPr>
      </w:pPr>
      <w:r>
        <w:rPr>
          <w:rFonts w:ascii="宋体" w:hAnsi="宋体"/>
          <w:bCs/>
          <w:sz w:val="24"/>
        </w:rPr>
        <w:t xml:space="preserve"> </w:t>
      </w:r>
    </w:p>
    <w:p w14:paraId="2DE0D19C" w14:textId="77777777" w:rsidR="004D1B9E" w:rsidRDefault="006A22C2" w:rsidP="00EC471D">
      <w:pPr>
        <w:widowControl/>
        <w:numPr>
          <w:ilvl w:val="255"/>
          <w:numId w:val="0"/>
        </w:numPr>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hint="eastAsia"/>
          <w:b/>
          <w:bCs/>
          <w:sz w:val="24"/>
        </w:rPr>
        <w:t>威</w:t>
      </w:r>
      <w:proofErr w:type="gramStart"/>
      <w:r>
        <w:rPr>
          <w:rFonts w:ascii="宋体" w:hAnsi="宋体" w:hint="eastAsia"/>
          <w:b/>
          <w:bCs/>
          <w:sz w:val="24"/>
        </w:rPr>
        <w:t>胜信息</w:t>
      </w:r>
      <w:proofErr w:type="gramEnd"/>
      <w:r>
        <w:rPr>
          <w:rFonts w:ascii="宋体" w:hAnsi="宋体" w:hint="eastAsia"/>
          <w:b/>
          <w:bCs/>
          <w:sz w:val="24"/>
        </w:rPr>
        <w:t>在海外市场有哪些具体的项目和市场投入计划？</w:t>
      </w:r>
    </w:p>
    <w:p w14:paraId="5CA8EAB9" w14:textId="77777777" w:rsidR="004D1B9E" w:rsidRDefault="006A22C2" w:rsidP="00EC471D">
      <w:pPr>
        <w:widowControl/>
        <w:spacing w:line="420" w:lineRule="exact"/>
        <w:ind w:firstLineChars="200" w:firstLine="480"/>
        <w:jc w:val="left"/>
        <w:rPr>
          <w:rFonts w:ascii="宋体" w:hAnsi="宋体"/>
          <w:bCs/>
          <w:sz w:val="24"/>
        </w:rPr>
      </w:pPr>
      <w:r>
        <w:rPr>
          <w:rFonts w:ascii="宋体" w:hAnsi="宋体" w:hint="eastAsia"/>
          <w:bCs/>
          <w:sz w:val="24"/>
        </w:rPr>
        <w:t xml:space="preserve">A: </w:t>
      </w:r>
      <w:r>
        <w:rPr>
          <w:rFonts w:ascii="宋体" w:hAnsi="宋体" w:hint="eastAsia"/>
          <w:bCs/>
          <w:sz w:val="24"/>
        </w:rPr>
        <w:t>2024</w:t>
      </w:r>
      <w:r>
        <w:rPr>
          <w:rFonts w:ascii="宋体" w:hAnsi="宋体" w:hint="eastAsia"/>
          <w:bCs/>
          <w:sz w:val="24"/>
        </w:rPr>
        <w:t>年，公司</w:t>
      </w:r>
      <w:proofErr w:type="gramStart"/>
      <w:r>
        <w:rPr>
          <w:rFonts w:ascii="宋体" w:hAnsi="宋体" w:hint="eastAsia"/>
          <w:bCs/>
          <w:sz w:val="24"/>
        </w:rPr>
        <w:t>践行</w:t>
      </w:r>
      <w:proofErr w:type="gramEnd"/>
      <w:r>
        <w:rPr>
          <w:rFonts w:ascii="宋体" w:hAnsi="宋体" w:hint="eastAsia"/>
          <w:bCs/>
          <w:sz w:val="24"/>
        </w:rPr>
        <w:t>国际三化，拓展全球格局，海外实现多点突破，境外业务收入</w:t>
      </w:r>
      <w:r>
        <w:rPr>
          <w:rFonts w:ascii="宋体" w:hAnsi="宋体" w:hint="eastAsia"/>
          <w:bCs/>
          <w:sz w:val="24"/>
        </w:rPr>
        <w:t>4.21</w:t>
      </w:r>
      <w:r>
        <w:rPr>
          <w:rFonts w:ascii="宋体" w:hAnsi="宋体" w:hint="eastAsia"/>
          <w:bCs/>
          <w:sz w:val="24"/>
        </w:rPr>
        <w:t>亿元，同比增长</w:t>
      </w:r>
      <w:r>
        <w:rPr>
          <w:rFonts w:ascii="宋体" w:hAnsi="宋体" w:hint="eastAsia"/>
          <w:bCs/>
          <w:sz w:val="24"/>
        </w:rPr>
        <w:t>85.4%</w:t>
      </w:r>
      <w:r>
        <w:rPr>
          <w:rFonts w:ascii="宋体" w:hAnsi="宋体" w:hint="eastAsia"/>
          <w:bCs/>
          <w:sz w:val="24"/>
        </w:rPr>
        <w:t>，收入实现跨越增长。目前公司在海外市场的重要项目和市场投入包括：一季度印尼工厂要全面落地投入使用，沙特工厂也将在上半年投入使用；同时，在中东、印尼、埃及等已投入市场的重点地区，将投放最新的智能配网产品。同时，威</w:t>
      </w:r>
      <w:proofErr w:type="gramStart"/>
      <w:r>
        <w:rPr>
          <w:rFonts w:ascii="宋体" w:hAnsi="宋体" w:hint="eastAsia"/>
          <w:bCs/>
          <w:sz w:val="24"/>
        </w:rPr>
        <w:t>胜信息</w:t>
      </w:r>
      <w:proofErr w:type="gramEnd"/>
      <w:r>
        <w:rPr>
          <w:rFonts w:ascii="宋体" w:hAnsi="宋体" w:hint="eastAsia"/>
          <w:bCs/>
          <w:sz w:val="24"/>
        </w:rPr>
        <w:t>会加强对南南国家的产品推广，利用</w:t>
      </w:r>
      <w:r>
        <w:rPr>
          <w:rFonts w:ascii="宋体" w:hAnsi="宋体" w:hint="eastAsia"/>
          <w:bCs/>
          <w:sz w:val="24"/>
        </w:rPr>
        <w:t>AM</w:t>
      </w:r>
      <w:r>
        <w:rPr>
          <w:rFonts w:ascii="宋体" w:hAnsi="宋体"/>
          <w:bCs/>
          <w:sz w:val="24"/>
        </w:rPr>
        <w:t>I</w:t>
      </w:r>
      <w:r>
        <w:rPr>
          <w:rFonts w:ascii="宋体" w:hAnsi="宋体" w:hint="eastAsia"/>
          <w:bCs/>
          <w:sz w:val="24"/>
        </w:rPr>
        <w:t>2.0</w:t>
      </w:r>
      <w:r>
        <w:rPr>
          <w:rFonts w:ascii="宋体" w:hAnsi="宋体" w:hint="eastAsia"/>
          <w:bCs/>
          <w:sz w:val="24"/>
        </w:rPr>
        <w:t>和</w:t>
      </w:r>
      <w:r>
        <w:rPr>
          <w:rFonts w:ascii="宋体" w:hAnsi="宋体" w:hint="eastAsia"/>
          <w:bCs/>
          <w:sz w:val="24"/>
        </w:rPr>
        <w:t>1.0</w:t>
      </w:r>
      <w:r>
        <w:rPr>
          <w:rFonts w:ascii="宋体" w:hAnsi="宋体" w:hint="eastAsia"/>
          <w:bCs/>
          <w:sz w:val="24"/>
        </w:rPr>
        <w:t>融合的机会提升竞争力。</w:t>
      </w:r>
    </w:p>
    <w:p w14:paraId="14A2FFA8" w14:textId="77777777" w:rsidR="004D1B9E" w:rsidRDefault="004D1B9E" w:rsidP="00EC471D">
      <w:pPr>
        <w:widowControl/>
        <w:spacing w:line="420" w:lineRule="exact"/>
        <w:ind w:firstLineChars="200" w:firstLine="480"/>
        <w:jc w:val="left"/>
        <w:rPr>
          <w:rFonts w:ascii="宋体" w:hAnsi="宋体"/>
          <w:bCs/>
          <w:sz w:val="24"/>
        </w:rPr>
      </w:pPr>
    </w:p>
    <w:p w14:paraId="76A8B068" w14:textId="77777777" w:rsidR="004D1B9E" w:rsidRDefault="006A22C2" w:rsidP="00EC471D">
      <w:pPr>
        <w:widowControl/>
        <w:numPr>
          <w:ilvl w:val="255"/>
          <w:numId w:val="0"/>
        </w:numPr>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：在</w:t>
      </w:r>
      <w:r>
        <w:rPr>
          <w:rFonts w:ascii="宋体" w:hAnsi="宋体"/>
          <w:b/>
          <w:bCs/>
          <w:sz w:val="24"/>
        </w:rPr>
        <w:t>2025</w:t>
      </w:r>
      <w:r>
        <w:rPr>
          <w:rFonts w:ascii="宋体" w:hAnsi="宋体"/>
          <w:b/>
          <w:bCs/>
          <w:sz w:val="24"/>
        </w:rPr>
        <w:t>年的经营重点中，威</w:t>
      </w:r>
      <w:proofErr w:type="gramStart"/>
      <w:r>
        <w:rPr>
          <w:rFonts w:ascii="宋体" w:hAnsi="宋体"/>
          <w:b/>
          <w:bCs/>
          <w:sz w:val="24"/>
        </w:rPr>
        <w:t>胜信息</w:t>
      </w:r>
      <w:proofErr w:type="gramEnd"/>
      <w:r>
        <w:rPr>
          <w:rFonts w:ascii="宋体" w:hAnsi="宋体"/>
          <w:b/>
          <w:bCs/>
          <w:sz w:val="24"/>
        </w:rPr>
        <w:t>是如何规划国际化的战略的？</w:t>
      </w:r>
      <w:r>
        <w:rPr>
          <w:rFonts w:ascii="宋体" w:hAnsi="宋体"/>
          <w:b/>
          <w:bCs/>
          <w:sz w:val="24"/>
        </w:rPr>
        <w:t xml:space="preserve"> </w:t>
      </w:r>
    </w:p>
    <w:p w14:paraId="169E4A53" w14:textId="77777777" w:rsidR="004D1B9E" w:rsidRDefault="006A22C2" w:rsidP="00EC471D">
      <w:pPr>
        <w:widowControl/>
        <w:spacing w:line="420" w:lineRule="exact"/>
        <w:ind w:firstLineChars="200" w:firstLine="480"/>
        <w:jc w:val="left"/>
        <w:rPr>
          <w:rFonts w:ascii="宋体" w:hAnsi="宋体"/>
          <w:bCs/>
          <w:sz w:val="24"/>
        </w:rPr>
      </w:pPr>
      <w:r>
        <w:rPr>
          <w:rFonts w:ascii="宋体" w:hAnsi="宋体" w:hint="eastAsia"/>
          <w:bCs/>
          <w:sz w:val="24"/>
        </w:rPr>
        <w:t>A</w:t>
      </w:r>
      <w:r>
        <w:rPr>
          <w:rFonts w:ascii="宋体" w:hAnsi="宋体"/>
          <w:bCs/>
          <w:sz w:val="24"/>
        </w:rPr>
        <w:t>：威</w:t>
      </w:r>
      <w:proofErr w:type="gramStart"/>
      <w:r>
        <w:rPr>
          <w:rFonts w:ascii="宋体" w:hAnsi="宋体"/>
          <w:bCs/>
          <w:sz w:val="24"/>
        </w:rPr>
        <w:t>胜信息</w:t>
      </w:r>
      <w:proofErr w:type="gramEnd"/>
      <w:r>
        <w:rPr>
          <w:rFonts w:ascii="宋体" w:hAnsi="宋体"/>
          <w:bCs/>
          <w:sz w:val="24"/>
        </w:rPr>
        <w:t>的国际化战略是未来的持续战略，</w:t>
      </w:r>
      <w:r>
        <w:rPr>
          <w:rFonts w:ascii="宋体" w:hAnsi="宋体" w:hint="eastAsia"/>
          <w:bCs/>
          <w:sz w:val="24"/>
        </w:rPr>
        <w:t>2</w:t>
      </w:r>
      <w:r>
        <w:rPr>
          <w:rFonts w:ascii="宋体" w:hAnsi="宋体" w:hint="eastAsia"/>
          <w:bCs/>
          <w:sz w:val="24"/>
        </w:rPr>
        <w:t>025</w:t>
      </w:r>
      <w:r>
        <w:rPr>
          <w:rFonts w:ascii="宋体" w:hAnsi="宋体" w:hint="eastAsia"/>
          <w:bCs/>
          <w:sz w:val="24"/>
        </w:rPr>
        <w:t>年</w:t>
      </w:r>
      <w:r>
        <w:rPr>
          <w:rFonts w:ascii="宋体" w:hAnsi="宋体"/>
          <w:bCs/>
          <w:sz w:val="24"/>
        </w:rPr>
        <w:t>具体表现为两个新增市场布局。首先，将持续履行</w:t>
      </w:r>
      <w:r>
        <w:rPr>
          <w:rFonts w:ascii="宋体" w:hAnsi="宋体"/>
          <w:bCs/>
          <w:sz w:val="24"/>
        </w:rPr>
        <w:t>2024</w:t>
      </w:r>
      <w:r>
        <w:rPr>
          <w:rFonts w:ascii="宋体" w:hAnsi="宋体"/>
          <w:bCs/>
          <w:sz w:val="24"/>
        </w:rPr>
        <w:t>年的结算订单，并在已投入市场的国家如东南亚继续开拓。其次，在</w:t>
      </w:r>
      <w:r>
        <w:rPr>
          <w:rFonts w:ascii="宋体" w:hAnsi="宋体"/>
          <w:bCs/>
          <w:sz w:val="24"/>
        </w:rPr>
        <w:t>2025</w:t>
      </w:r>
      <w:r>
        <w:rPr>
          <w:rFonts w:ascii="宋体" w:hAnsi="宋体"/>
          <w:bCs/>
          <w:sz w:val="24"/>
        </w:rPr>
        <w:t>年新增重点</w:t>
      </w:r>
      <w:proofErr w:type="gramStart"/>
      <w:r>
        <w:rPr>
          <w:rFonts w:ascii="宋体" w:hAnsi="宋体"/>
          <w:bCs/>
          <w:sz w:val="24"/>
        </w:rPr>
        <w:t>布局南</w:t>
      </w:r>
      <w:proofErr w:type="gramEnd"/>
      <w:r>
        <w:rPr>
          <w:rFonts w:ascii="宋体" w:hAnsi="宋体"/>
          <w:bCs/>
          <w:sz w:val="24"/>
        </w:rPr>
        <w:t>南国家，特别是东南亚地区，在</w:t>
      </w:r>
      <w:r>
        <w:rPr>
          <w:rFonts w:ascii="宋体" w:hAnsi="宋体"/>
          <w:bCs/>
          <w:sz w:val="24"/>
        </w:rPr>
        <w:t>2024</w:t>
      </w:r>
      <w:r>
        <w:rPr>
          <w:rFonts w:ascii="宋体" w:hAnsi="宋体"/>
          <w:bCs/>
          <w:sz w:val="24"/>
        </w:rPr>
        <w:t>年，威</w:t>
      </w:r>
      <w:proofErr w:type="gramStart"/>
      <w:r>
        <w:rPr>
          <w:rFonts w:ascii="宋体" w:hAnsi="宋体"/>
          <w:bCs/>
          <w:sz w:val="24"/>
        </w:rPr>
        <w:t>胜信息海外</w:t>
      </w:r>
      <w:proofErr w:type="gramEnd"/>
      <w:r>
        <w:rPr>
          <w:rFonts w:ascii="宋体" w:hAnsi="宋体"/>
          <w:bCs/>
          <w:sz w:val="24"/>
        </w:rPr>
        <w:t>业务结转的订单中有</w:t>
      </w:r>
      <w:r>
        <w:rPr>
          <w:rFonts w:ascii="宋体" w:hAnsi="宋体"/>
          <w:bCs/>
          <w:sz w:val="24"/>
        </w:rPr>
        <w:t>13.8</w:t>
      </w:r>
      <w:r>
        <w:rPr>
          <w:rFonts w:ascii="宋体" w:hAnsi="宋体"/>
          <w:bCs/>
          <w:sz w:val="24"/>
        </w:rPr>
        <w:t>亿的合同额来自国际业务</w:t>
      </w:r>
      <w:r>
        <w:rPr>
          <w:rFonts w:ascii="宋体" w:hAnsi="宋体" w:hint="eastAsia"/>
          <w:bCs/>
          <w:sz w:val="24"/>
        </w:rPr>
        <w:t>，</w:t>
      </w:r>
      <w:r>
        <w:rPr>
          <w:rFonts w:ascii="宋体" w:hAnsi="宋体"/>
          <w:bCs/>
          <w:sz w:val="24"/>
        </w:rPr>
        <w:t>为海外业绩持续提升夯实基础。</w:t>
      </w:r>
      <w:r>
        <w:rPr>
          <w:rFonts w:ascii="宋体" w:hAnsi="宋体"/>
          <w:bCs/>
          <w:sz w:val="24"/>
        </w:rPr>
        <w:t xml:space="preserve"> </w:t>
      </w:r>
    </w:p>
    <w:p w14:paraId="18B222CC" w14:textId="77777777" w:rsidR="004D1B9E" w:rsidRDefault="004D1B9E" w:rsidP="00EC471D">
      <w:pPr>
        <w:widowControl/>
        <w:spacing w:line="420" w:lineRule="exact"/>
        <w:ind w:firstLineChars="200" w:firstLine="480"/>
        <w:jc w:val="left"/>
        <w:rPr>
          <w:rFonts w:ascii="宋体" w:hAnsi="宋体"/>
          <w:bCs/>
          <w:sz w:val="24"/>
        </w:rPr>
      </w:pPr>
    </w:p>
    <w:p w14:paraId="0DCBEE37" w14:textId="77777777" w:rsidR="004D1B9E" w:rsidRDefault="006A22C2" w:rsidP="00EC471D">
      <w:pPr>
        <w:widowControl/>
        <w:numPr>
          <w:ilvl w:val="255"/>
          <w:numId w:val="0"/>
        </w:numPr>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w:t>
      </w:r>
      <w:r>
        <w:rPr>
          <w:rFonts w:ascii="宋体" w:hAnsi="宋体" w:hint="eastAsia"/>
          <w:b/>
          <w:bCs/>
          <w:sz w:val="24"/>
        </w:rPr>
        <w:t>公司通信芯片业务继续保持高速增长，公司如何看待通信芯片业务在国内、国际的未来增长潜力？</w:t>
      </w:r>
      <w:r>
        <w:rPr>
          <w:rFonts w:ascii="宋体" w:hAnsi="宋体" w:hint="eastAsia"/>
          <w:b/>
          <w:bCs/>
          <w:sz w:val="24"/>
        </w:rPr>
        <w:tab/>
      </w:r>
    </w:p>
    <w:p w14:paraId="031076F3" w14:textId="77777777" w:rsidR="004D1B9E" w:rsidRDefault="006A22C2" w:rsidP="00EC471D">
      <w:pPr>
        <w:widowControl/>
        <w:spacing w:line="420" w:lineRule="exact"/>
        <w:ind w:firstLineChars="200" w:firstLine="480"/>
        <w:jc w:val="left"/>
        <w:rPr>
          <w:rFonts w:ascii="宋体" w:hAnsi="宋体"/>
          <w:bCs/>
          <w:sz w:val="24"/>
        </w:rPr>
      </w:pPr>
      <w:r>
        <w:rPr>
          <w:rFonts w:ascii="宋体" w:hAnsi="宋体" w:hint="eastAsia"/>
          <w:bCs/>
          <w:sz w:val="24"/>
        </w:rPr>
        <w:t>A</w:t>
      </w:r>
      <w:r>
        <w:rPr>
          <w:rFonts w:ascii="宋体" w:hAnsi="宋体" w:hint="eastAsia"/>
          <w:bCs/>
          <w:sz w:val="24"/>
        </w:rPr>
        <w:t>：</w:t>
      </w:r>
      <w:r>
        <w:rPr>
          <w:rFonts w:ascii="宋体" w:hAnsi="宋体" w:hint="eastAsia"/>
          <w:bCs/>
          <w:sz w:val="24"/>
        </w:rPr>
        <w:t>2</w:t>
      </w:r>
      <w:r>
        <w:rPr>
          <w:rFonts w:ascii="宋体" w:hAnsi="宋体"/>
          <w:bCs/>
          <w:sz w:val="24"/>
        </w:rPr>
        <w:t>024</w:t>
      </w:r>
      <w:r>
        <w:rPr>
          <w:rFonts w:ascii="宋体" w:hAnsi="宋体"/>
          <w:bCs/>
          <w:sz w:val="24"/>
        </w:rPr>
        <w:t>年</w:t>
      </w:r>
      <w:r>
        <w:rPr>
          <w:rFonts w:ascii="宋体" w:hAnsi="宋体" w:hint="eastAsia"/>
          <w:bCs/>
          <w:sz w:val="24"/>
        </w:rPr>
        <w:t>，芯片模块业务增长强劲，实现营收</w:t>
      </w:r>
      <w:r>
        <w:rPr>
          <w:rFonts w:ascii="宋体" w:hAnsi="宋体" w:hint="eastAsia"/>
          <w:bCs/>
          <w:sz w:val="24"/>
        </w:rPr>
        <w:t xml:space="preserve">7.76 </w:t>
      </w:r>
      <w:r>
        <w:rPr>
          <w:rFonts w:ascii="宋体" w:hAnsi="宋体" w:hint="eastAsia"/>
          <w:bCs/>
          <w:sz w:val="24"/>
        </w:rPr>
        <w:t>亿元，同比增长</w:t>
      </w:r>
      <w:r>
        <w:rPr>
          <w:rFonts w:ascii="宋体" w:hAnsi="宋体" w:hint="eastAsia"/>
          <w:bCs/>
          <w:sz w:val="24"/>
        </w:rPr>
        <w:t>18%</w:t>
      </w:r>
      <w:r>
        <w:rPr>
          <w:rFonts w:ascii="宋体" w:hAnsi="宋体" w:hint="eastAsia"/>
          <w:bCs/>
          <w:sz w:val="24"/>
        </w:rPr>
        <w:t>，成为营收贡献最大单品。国内</w:t>
      </w:r>
      <w:r>
        <w:rPr>
          <w:rFonts w:ascii="宋体" w:hAnsi="宋体" w:hint="eastAsia"/>
          <w:bCs/>
          <w:sz w:val="24"/>
        </w:rPr>
        <w:t>HPLC</w:t>
      </w:r>
      <w:r>
        <w:rPr>
          <w:rFonts w:ascii="宋体" w:hAnsi="宋体" w:hint="eastAsia"/>
          <w:bCs/>
          <w:sz w:val="24"/>
        </w:rPr>
        <w:t>以及双模在国家电网、南方电</w:t>
      </w:r>
      <w:r>
        <w:rPr>
          <w:rFonts w:ascii="宋体" w:hAnsi="宋体" w:hint="eastAsia"/>
          <w:bCs/>
          <w:sz w:val="24"/>
        </w:rPr>
        <w:t>网以及地方电力市场的渗透率持续提升，尤其是南方电网通信模块采购将全面切换到双模技术体制，从应用范围来看，</w:t>
      </w:r>
      <w:r>
        <w:rPr>
          <w:rFonts w:ascii="宋体" w:hAnsi="宋体" w:hint="eastAsia"/>
          <w:bCs/>
          <w:sz w:val="24"/>
        </w:rPr>
        <w:t>HPLC</w:t>
      </w:r>
      <w:r>
        <w:rPr>
          <w:rFonts w:ascii="宋体" w:hAnsi="宋体" w:hint="eastAsia"/>
          <w:bCs/>
          <w:sz w:val="24"/>
        </w:rPr>
        <w:t>双模逐步从电网营销侧的电表数据采集应用拓展覆盖到新能源接入的检测与并网控制领域。</w:t>
      </w:r>
    </w:p>
    <w:p w14:paraId="7F46735A" w14:textId="77777777" w:rsidR="004D1B9E" w:rsidRDefault="006A22C2" w:rsidP="00EC471D">
      <w:pPr>
        <w:widowControl/>
        <w:spacing w:line="420" w:lineRule="exact"/>
        <w:ind w:firstLineChars="200" w:firstLine="480"/>
        <w:jc w:val="left"/>
        <w:rPr>
          <w:rFonts w:ascii="宋体" w:hAnsi="宋体"/>
          <w:bCs/>
          <w:sz w:val="24"/>
        </w:rPr>
      </w:pPr>
      <w:r>
        <w:rPr>
          <w:rFonts w:ascii="宋体" w:hAnsi="宋体" w:hint="eastAsia"/>
          <w:bCs/>
          <w:sz w:val="24"/>
        </w:rPr>
        <w:t>新能源接入对智能电表的渗透以及技术更新提升带来电表数据采集通信模块的持续需求，中南美洲、东南亚、非洲以及一带</w:t>
      </w:r>
      <w:proofErr w:type="gramStart"/>
      <w:r>
        <w:rPr>
          <w:rFonts w:ascii="宋体" w:hAnsi="宋体" w:hint="eastAsia"/>
          <w:bCs/>
          <w:sz w:val="24"/>
        </w:rPr>
        <w:t>一路国家</w:t>
      </w:r>
      <w:proofErr w:type="gramEnd"/>
      <w:r>
        <w:rPr>
          <w:rFonts w:ascii="宋体" w:hAnsi="宋体" w:hint="eastAsia"/>
          <w:bCs/>
          <w:sz w:val="24"/>
        </w:rPr>
        <w:t>的市场依然保持旺盛需求，从产品维度来看，公司具备</w:t>
      </w:r>
      <w:r>
        <w:rPr>
          <w:rFonts w:ascii="宋体" w:hAnsi="宋体" w:hint="eastAsia"/>
          <w:bCs/>
          <w:sz w:val="24"/>
        </w:rPr>
        <w:t>HPLC</w:t>
      </w:r>
      <w:r>
        <w:rPr>
          <w:rFonts w:ascii="宋体" w:hAnsi="宋体" w:hint="eastAsia"/>
          <w:bCs/>
          <w:sz w:val="24"/>
        </w:rPr>
        <w:t>、</w:t>
      </w:r>
      <w:r>
        <w:rPr>
          <w:rFonts w:ascii="宋体" w:hAnsi="宋体" w:hint="eastAsia"/>
          <w:bCs/>
          <w:sz w:val="24"/>
        </w:rPr>
        <w:t>G3/Prime-PLC</w:t>
      </w:r>
      <w:r>
        <w:rPr>
          <w:rFonts w:ascii="宋体" w:hAnsi="宋体" w:hint="eastAsia"/>
          <w:bCs/>
          <w:sz w:val="24"/>
        </w:rPr>
        <w:t>、</w:t>
      </w:r>
      <w:r>
        <w:rPr>
          <w:rFonts w:ascii="宋体" w:hAnsi="宋体" w:hint="eastAsia"/>
          <w:bCs/>
          <w:sz w:val="24"/>
        </w:rPr>
        <w:t>Wi-SUN</w:t>
      </w:r>
      <w:r>
        <w:rPr>
          <w:rFonts w:ascii="宋体" w:hAnsi="宋体" w:hint="eastAsia"/>
          <w:bCs/>
          <w:sz w:val="24"/>
        </w:rPr>
        <w:t>、</w:t>
      </w:r>
      <w:proofErr w:type="spellStart"/>
      <w:r>
        <w:rPr>
          <w:rFonts w:ascii="宋体" w:hAnsi="宋体" w:hint="eastAsia"/>
          <w:bCs/>
          <w:sz w:val="24"/>
        </w:rPr>
        <w:t>LoRa</w:t>
      </w:r>
      <w:proofErr w:type="spellEnd"/>
      <w:r>
        <w:rPr>
          <w:rFonts w:ascii="宋体" w:hAnsi="宋体" w:hint="eastAsia"/>
          <w:bCs/>
          <w:sz w:val="24"/>
        </w:rPr>
        <w:t>等</w:t>
      </w:r>
      <w:proofErr w:type="gramStart"/>
      <w:r>
        <w:rPr>
          <w:rFonts w:ascii="宋体" w:hAnsi="宋体" w:hint="eastAsia"/>
          <w:bCs/>
          <w:sz w:val="24"/>
        </w:rPr>
        <w:t>全技术</w:t>
      </w:r>
      <w:proofErr w:type="gramEnd"/>
      <w:r>
        <w:rPr>
          <w:rFonts w:ascii="宋体" w:hAnsi="宋体" w:hint="eastAsia"/>
          <w:bCs/>
          <w:sz w:val="24"/>
        </w:rPr>
        <w:t>系列的产品，可以覆盖</w:t>
      </w:r>
      <w:r>
        <w:rPr>
          <w:rFonts w:ascii="宋体" w:hAnsi="宋体" w:hint="eastAsia"/>
          <w:bCs/>
          <w:sz w:val="24"/>
        </w:rPr>
        <w:t>70%</w:t>
      </w:r>
      <w:r>
        <w:rPr>
          <w:rFonts w:ascii="宋体" w:hAnsi="宋体" w:hint="eastAsia"/>
          <w:bCs/>
          <w:sz w:val="24"/>
        </w:rPr>
        <w:t>以上国家电力</w:t>
      </w:r>
      <w:r>
        <w:rPr>
          <w:rFonts w:ascii="宋体" w:hAnsi="宋体" w:hint="eastAsia"/>
          <w:bCs/>
          <w:sz w:val="24"/>
        </w:rPr>
        <w:t>AMI</w:t>
      </w:r>
      <w:r>
        <w:rPr>
          <w:rFonts w:ascii="宋体" w:hAnsi="宋体" w:hint="eastAsia"/>
          <w:bCs/>
          <w:sz w:val="24"/>
        </w:rPr>
        <w:t>通信方案，目前在同步推进多个国别市场的项目试</w:t>
      </w:r>
      <w:r>
        <w:rPr>
          <w:rFonts w:ascii="宋体" w:hAnsi="宋体" w:hint="eastAsia"/>
          <w:bCs/>
          <w:sz w:val="24"/>
        </w:rPr>
        <w:t>点和商务工作。</w:t>
      </w:r>
    </w:p>
    <w:p w14:paraId="25478C59" w14:textId="77777777" w:rsidR="004D1B9E" w:rsidRDefault="006A22C2" w:rsidP="00EC471D">
      <w:pPr>
        <w:widowControl/>
        <w:spacing w:line="420" w:lineRule="exact"/>
        <w:ind w:firstLineChars="200" w:firstLine="480"/>
        <w:jc w:val="left"/>
        <w:rPr>
          <w:rFonts w:ascii="宋体" w:hAnsi="宋体"/>
          <w:bCs/>
          <w:sz w:val="24"/>
        </w:rPr>
      </w:pPr>
      <w:r>
        <w:rPr>
          <w:rFonts w:ascii="宋体" w:hAnsi="宋体" w:hint="eastAsia"/>
          <w:bCs/>
          <w:sz w:val="24"/>
        </w:rPr>
        <w:lastRenderedPageBreak/>
        <w:t>在新型能源体系下，新能源大比例接入带来的挑战，使透明配网、新能源接入、负荷管理、有序用电等市场需求强烈，能源物联网与芯片市场的增长空间可观</w:t>
      </w:r>
    </w:p>
    <w:p w14:paraId="5A12A47A" w14:textId="77777777" w:rsidR="004D1B9E" w:rsidRDefault="004D1B9E" w:rsidP="00EC471D">
      <w:pPr>
        <w:widowControl/>
        <w:spacing w:line="420" w:lineRule="exact"/>
        <w:jc w:val="left"/>
        <w:rPr>
          <w:rFonts w:ascii="宋体" w:hAnsi="宋体"/>
          <w:b/>
          <w:bCs/>
          <w:sz w:val="24"/>
        </w:rPr>
      </w:pPr>
    </w:p>
    <w:p w14:paraId="2A57F629" w14:textId="77777777" w:rsidR="004D1B9E" w:rsidRDefault="006A22C2" w:rsidP="00EC471D">
      <w:pPr>
        <w:widowControl/>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w:t>
      </w:r>
      <w:r>
        <w:rPr>
          <w:rFonts w:ascii="宋体" w:hAnsi="宋体"/>
          <w:b/>
          <w:bCs/>
          <w:sz w:val="24"/>
        </w:rPr>
        <w:t>2025</w:t>
      </w:r>
      <w:r>
        <w:rPr>
          <w:rFonts w:ascii="宋体" w:hAnsi="宋体"/>
          <w:b/>
          <w:bCs/>
          <w:sz w:val="24"/>
        </w:rPr>
        <w:t>年在</w:t>
      </w:r>
      <w:r>
        <w:rPr>
          <w:rFonts w:ascii="宋体" w:hAnsi="宋体" w:hint="eastAsia"/>
          <w:b/>
          <w:bCs/>
          <w:sz w:val="24"/>
        </w:rPr>
        <w:t>电力</w:t>
      </w:r>
      <w:r>
        <w:rPr>
          <w:rFonts w:ascii="宋体" w:hAnsi="宋体"/>
          <w:b/>
          <w:bCs/>
          <w:sz w:val="24"/>
        </w:rPr>
        <w:t>投资力度上是否会进一步向配电网倾斜，以及近期出台的新能源相关政策对公司产品的影响？</w:t>
      </w:r>
      <w:r>
        <w:rPr>
          <w:rFonts w:ascii="宋体" w:hAnsi="宋体"/>
          <w:b/>
          <w:bCs/>
          <w:sz w:val="24"/>
        </w:rPr>
        <w:t xml:space="preserve"> </w:t>
      </w:r>
    </w:p>
    <w:p w14:paraId="3C96E1B6" w14:textId="77777777" w:rsidR="004D1B9E" w:rsidRDefault="006A22C2" w:rsidP="00EC471D">
      <w:pPr>
        <w:widowControl/>
        <w:spacing w:line="420" w:lineRule="exact"/>
        <w:ind w:firstLineChars="200" w:firstLine="480"/>
        <w:jc w:val="left"/>
        <w:rPr>
          <w:rFonts w:ascii="宋体" w:hAnsi="宋体"/>
          <w:bCs/>
          <w:sz w:val="24"/>
        </w:rPr>
      </w:pPr>
      <w:r>
        <w:rPr>
          <w:rFonts w:ascii="宋体" w:hAnsi="宋体" w:hint="eastAsia"/>
          <w:bCs/>
          <w:sz w:val="24"/>
        </w:rPr>
        <w:t>A</w:t>
      </w:r>
      <w:r>
        <w:rPr>
          <w:rFonts w:ascii="宋体" w:hAnsi="宋体"/>
          <w:bCs/>
          <w:sz w:val="24"/>
        </w:rPr>
        <w:t>：</w:t>
      </w:r>
      <w:r>
        <w:rPr>
          <w:rFonts w:ascii="宋体" w:hAnsi="宋体" w:hint="eastAsia"/>
          <w:bCs/>
          <w:sz w:val="24"/>
        </w:rPr>
        <w:t>这块</w:t>
      </w:r>
      <w:r>
        <w:rPr>
          <w:rFonts w:ascii="宋体" w:hAnsi="宋体"/>
          <w:bCs/>
          <w:sz w:val="24"/>
        </w:rPr>
        <w:t>主要体现在新能源电网接入与负荷管理以及配网补强两个方面。</w:t>
      </w:r>
      <w:r>
        <w:rPr>
          <w:rFonts w:ascii="宋体" w:hAnsi="宋体" w:hint="eastAsia"/>
          <w:bCs/>
          <w:sz w:val="24"/>
        </w:rPr>
        <w:t>在</w:t>
      </w:r>
      <w:r>
        <w:rPr>
          <w:rFonts w:ascii="宋体" w:hAnsi="宋体" w:hint="eastAsia"/>
          <w:bCs/>
          <w:sz w:val="24"/>
        </w:rPr>
        <w:t>这个政策背景下，</w:t>
      </w:r>
      <w:r>
        <w:rPr>
          <w:rFonts w:ascii="宋体" w:hAnsi="宋体"/>
          <w:bCs/>
          <w:sz w:val="24"/>
        </w:rPr>
        <w:t>需要智能化手段来实现新能源并网接入。公司在</w:t>
      </w:r>
      <w:r>
        <w:rPr>
          <w:rFonts w:ascii="宋体" w:hAnsi="宋体"/>
          <w:bCs/>
          <w:sz w:val="24"/>
        </w:rPr>
        <w:t>2024</w:t>
      </w:r>
      <w:r>
        <w:rPr>
          <w:rFonts w:ascii="宋体" w:hAnsi="宋体"/>
          <w:bCs/>
          <w:sz w:val="24"/>
        </w:rPr>
        <w:t>年已经培育出</w:t>
      </w:r>
      <w:proofErr w:type="gramStart"/>
      <w:r>
        <w:rPr>
          <w:rFonts w:ascii="宋体" w:hAnsi="宋体"/>
          <w:bCs/>
          <w:sz w:val="24"/>
        </w:rPr>
        <w:t>适合国南网</w:t>
      </w:r>
      <w:proofErr w:type="gramEnd"/>
      <w:r>
        <w:rPr>
          <w:rFonts w:ascii="宋体" w:hAnsi="宋体"/>
          <w:bCs/>
          <w:sz w:val="24"/>
        </w:rPr>
        <w:t>市场的新产品和技术，并针对配网智能化更新及时到位。此外，公司正在研发新的下一代通讯解决方案，以</w:t>
      </w:r>
      <w:r>
        <w:rPr>
          <w:rFonts w:ascii="宋体" w:hAnsi="宋体"/>
          <w:bCs/>
          <w:sz w:val="24"/>
        </w:rPr>
        <w:t>应对新能源体系和新型电力系统下电网管理的新需求。</w:t>
      </w:r>
      <w:r>
        <w:rPr>
          <w:rFonts w:ascii="宋体" w:hAnsi="宋体"/>
          <w:bCs/>
          <w:sz w:val="24"/>
        </w:rPr>
        <w:t xml:space="preserve"> </w:t>
      </w:r>
    </w:p>
    <w:p w14:paraId="3DC35351" w14:textId="77777777" w:rsidR="004D1B9E" w:rsidRDefault="004D1B9E" w:rsidP="00EC471D">
      <w:pPr>
        <w:widowControl/>
        <w:spacing w:line="420" w:lineRule="exact"/>
        <w:ind w:firstLineChars="200" w:firstLine="480"/>
        <w:jc w:val="left"/>
        <w:rPr>
          <w:rFonts w:ascii="宋体" w:hAnsi="宋体"/>
          <w:bCs/>
          <w:sz w:val="24"/>
        </w:rPr>
      </w:pPr>
    </w:p>
    <w:p w14:paraId="170CC3CF" w14:textId="77777777" w:rsidR="004D1B9E" w:rsidRDefault="006A22C2" w:rsidP="00EC471D">
      <w:pPr>
        <w:widowControl/>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：新能源入市的政策对公司业务和技术层面有何影响？</w:t>
      </w:r>
      <w:r>
        <w:rPr>
          <w:rFonts w:ascii="宋体" w:hAnsi="宋体"/>
          <w:b/>
          <w:bCs/>
          <w:sz w:val="24"/>
        </w:rPr>
        <w:t xml:space="preserve"> </w:t>
      </w:r>
    </w:p>
    <w:p w14:paraId="157CF9D7" w14:textId="77777777" w:rsidR="004D1B9E" w:rsidRDefault="006A22C2" w:rsidP="00EC471D">
      <w:pPr>
        <w:widowControl/>
        <w:spacing w:line="420" w:lineRule="exact"/>
        <w:ind w:firstLineChars="200" w:firstLine="480"/>
        <w:jc w:val="left"/>
        <w:rPr>
          <w:rFonts w:ascii="宋体" w:hAnsi="宋体"/>
          <w:bCs/>
          <w:sz w:val="24"/>
        </w:rPr>
      </w:pPr>
      <w:r>
        <w:rPr>
          <w:rFonts w:ascii="宋体" w:hAnsi="宋体" w:hint="eastAsia"/>
          <w:bCs/>
          <w:sz w:val="24"/>
        </w:rPr>
        <w:t>A</w:t>
      </w:r>
      <w:r>
        <w:rPr>
          <w:rFonts w:ascii="宋体" w:hAnsi="宋体"/>
          <w:bCs/>
          <w:sz w:val="24"/>
        </w:rPr>
        <w:t>：新能源融合接入的技术手段对公司而言，</w:t>
      </w:r>
      <w:bookmarkStart w:id="0" w:name="_GoBack"/>
      <w:bookmarkEnd w:id="0"/>
      <w:r>
        <w:rPr>
          <w:rFonts w:ascii="宋体" w:hAnsi="宋体"/>
          <w:bCs/>
          <w:sz w:val="24"/>
        </w:rPr>
        <w:t>已在</w:t>
      </w:r>
      <w:r>
        <w:rPr>
          <w:rFonts w:ascii="宋体" w:hAnsi="宋体"/>
          <w:bCs/>
          <w:sz w:val="24"/>
        </w:rPr>
        <w:t>2024</w:t>
      </w:r>
      <w:r>
        <w:rPr>
          <w:rFonts w:ascii="宋体" w:hAnsi="宋体"/>
          <w:bCs/>
          <w:sz w:val="24"/>
        </w:rPr>
        <w:t>年试点并在</w:t>
      </w:r>
      <w:r>
        <w:rPr>
          <w:rFonts w:ascii="宋体" w:hAnsi="宋体"/>
          <w:bCs/>
          <w:sz w:val="24"/>
        </w:rPr>
        <w:t>2025</w:t>
      </w:r>
      <w:r>
        <w:rPr>
          <w:rFonts w:ascii="宋体" w:hAnsi="宋体"/>
          <w:bCs/>
          <w:sz w:val="24"/>
        </w:rPr>
        <w:t>年将全面推动实施。对于软硬融合的产品，每个产品都有不同的应用要求，市场化程度更高，将带来基于现货交易的新商机。目前公司在技术层面上和产品层面上准备充分，计划在</w:t>
      </w:r>
      <w:r>
        <w:rPr>
          <w:rFonts w:ascii="宋体" w:hAnsi="宋体"/>
          <w:bCs/>
          <w:sz w:val="24"/>
        </w:rPr>
        <w:t>2025</w:t>
      </w:r>
      <w:r>
        <w:rPr>
          <w:rFonts w:ascii="宋体" w:hAnsi="宋体"/>
          <w:bCs/>
          <w:sz w:val="24"/>
        </w:rPr>
        <w:t>年根据新的结算需求考虑业务模式和商务模式的创新。</w:t>
      </w:r>
      <w:r>
        <w:rPr>
          <w:rFonts w:ascii="宋体" w:hAnsi="宋体"/>
          <w:bCs/>
          <w:sz w:val="24"/>
        </w:rPr>
        <w:t xml:space="preserve"> </w:t>
      </w:r>
    </w:p>
    <w:sectPr w:rsidR="004D1B9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BBF12" w14:textId="77777777" w:rsidR="006A22C2" w:rsidRDefault="006A22C2">
      <w:r>
        <w:separator/>
      </w:r>
    </w:p>
  </w:endnote>
  <w:endnote w:type="continuationSeparator" w:id="0">
    <w:p w14:paraId="077B597B" w14:textId="77777777" w:rsidR="006A22C2" w:rsidRDefault="006A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28584"/>
    </w:sdtPr>
    <w:sdtEndPr/>
    <w:sdtContent>
      <w:p w14:paraId="5AA821A7" w14:textId="77777777" w:rsidR="004D1B9E" w:rsidRDefault="006A22C2">
        <w:pPr>
          <w:pStyle w:val="a7"/>
          <w:jc w:val="center"/>
        </w:pPr>
        <w:r>
          <w:fldChar w:fldCharType="begin"/>
        </w:r>
        <w:r>
          <w:instrText xml:space="preserve"> PAGE   \* MERGEFORMAT </w:instrText>
        </w:r>
        <w:r>
          <w:fldChar w:fldCharType="separate"/>
        </w:r>
        <w:r w:rsidR="00426EC4" w:rsidRPr="00426EC4">
          <w:rPr>
            <w:noProof/>
            <w:lang w:val="zh-CN"/>
          </w:rPr>
          <w:t>2</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E2F27" w14:textId="77777777" w:rsidR="006A22C2" w:rsidRDefault="006A22C2">
      <w:r>
        <w:separator/>
      </w:r>
    </w:p>
  </w:footnote>
  <w:footnote w:type="continuationSeparator" w:id="0">
    <w:p w14:paraId="4D18C732" w14:textId="77777777" w:rsidR="006A22C2" w:rsidRDefault="006A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AE719B"/>
    <w:multiLevelType w:val="multilevel"/>
    <w:tmpl w:val="62AE719B"/>
    <w:lvl w:ilvl="0">
      <w:start w:val="1"/>
      <w:numFmt w:val="japaneseCounting"/>
      <w:lvlText w:val="%1、"/>
      <w:lvlJc w:val="left"/>
      <w:pPr>
        <w:ind w:left="1216" w:hanging="720"/>
      </w:pPr>
      <w:rPr>
        <w:rFonts w:hint="default"/>
      </w:rPr>
    </w:lvl>
    <w:lvl w:ilvl="1">
      <w:start w:val="1"/>
      <w:numFmt w:val="lowerLetter"/>
      <w:lvlText w:val="%2)"/>
      <w:lvlJc w:val="left"/>
      <w:pPr>
        <w:ind w:left="1336" w:hanging="420"/>
      </w:pPr>
    </w:lvl>
    <w:lvl w:ilvl="2">
      <w:start w:val="1"/>
      <w:numFmt w:val="lowerRoman"/>
      <w:lvlText w:val="%3."/>
      <w:lvlJc w:val="right"/>
      <w:pPr>
        <w:ind w:left="1756" w:hanging="420"/>
      </w:pPr>
    </w:lvl>
    <w:lvl w:ilvl="3">
      <w:start w:val="1"/>
      <w:numFmt w:val="decimal"/>
      <w:lvlText w:val="%4."/>
      <w:lvlJc w:val="left"/>
      <w:pPr>
        <w:ind w:left="2176" w:hanging="420"/>
      </w:pPr>
    </w:lvl>
    <w:lvl w:ilvl="4">
      <w:start w:val="1"/>
      <w:numFmt w:val="lowerLetter"/>
      <w:lvlText w:val="%5)"/>
      <w:lvlJc w:val="left"/>
      <w:pPr>
        <w:ind w:left="2596" w:hanging="420"/>
      </w:pPr>
    </w:lvl>
    <w:lvl w:ilvl="5">
      <w:start w:val="1"/>
      <w:numFmt w:val="lowerRoman"/>
      <w:lvlText w:val="%6."/>
      <w:lvlJc w:val="right"/>
      <w:pPr>
        <w:ind w:left="3016" w:hanging="420"/>
      </w:pPr>
    </w:lvl>
    <w:lvl w:ilvl="6">
      <w:start w:val="1"/>
      <w:numFmt w:val="decimal"/>
      <w:lvlText w:val="%7."/>
      <w:lvlJc w:val="left"/>
      <w:pPr>
        <w:ind w:left="3436" w:hanging="420"/>
      </w:pPr>
    </w:lvl>
    <w:lvl w:ilvl="7">
      <w:start w:val="1"/>
      <w:numFmt w:val="lowerLetter"/>
      <w:lvlText w:val="%8)"/>
      <w:lvlJc w:val="left"/>
      <w:pPr>
        <w:ind w:left="3856" w:hanging="420"/>
      </w:pPr>
    </w:lvl>
    <w:lvl w:ilvl="8">
      <w:start w:val="1"/>
      <w:numFmt w:val="lowerRoman"/>
      <w:lvlText w:val="%9."/>
      <w:lvlJc w:val="right"/>
      <w:pPr>
        <w:ind w:left="427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798"/>
    <w:rsid w:val="000017B4"/>
    <w:rsid w:val="00002A46"/>
    <w:rsid w:val="000053AF"/>
    <w:rsid w:val="0000583C"/>
    <w:rsid w:val="00006D44"/>
    <w:rsid w:val="00010F84"/>
    <w:rsid w:val="000118C7"/>
    <w:rsid w:val="00012154"/>
    <w:rsid w:val="00012F86"/>
    <w:rsid w:val="000179CC"/>
    <w:rsid w:val="00021286"/>
    <w:rsid w:val="0003221B"/>
    <w:rsid w:val="0003287C"/>
    <w:rsid w:val="00035C82"/>
    <w:rsid w:val="00036B91"/>
    <w:rsid w:val="000379FC"/>
    <w:rsid w:val="0004009F"/>
    <w:rsid w:val="00041AA4"/>
    <w:rsid w:val="000460F4"/>
    <w:rsid w:val="000465BE"/>
    <w:rsid w:val="00050564"/>
    <w:rsid w:val="00051218"/>
    <w:rsid w:val="00053FE4"/>
    <w:rsid w:val="000559A7"/>
    <w:rsid w:val="000619A7"/>
    <w:rsid w:val="00061AF6"/>
    <w:rsid w:val="0006525A"/>
    <w:rsid w:val="000657A5"/>
    <w:rsid w:val="00065FD3"/>
    <w:rsid w:val="0007247D"/>
    <w:rsid w:val="00073DB5"/>
    <w:rsid w:val="000747E3"/>
    <w:rsid w:val="0007591A"/>
    <w:rsid w:val="00075A6C"/>
    <w:rsid w:val="00076A73"/>
    <w:rsid w:val="00077069"/>
    <w:rsid w:val="00081B64"/>
    <w:rsid w:val="00081EA4"/>
    <w:rsid w:val="00082BC8"/>
    <w:rsid w:val="00086EC0"/>
    <w:rsid w:val="00087A0F"/>
    <w:rsid w:val="00094913"/>
    <w:rsid w:val="00094B28"/>
    <w:rsid w:val="00096C11"/>
    <w:rsid w:val="000978D6"/>
    <w:rsid w:val="0009798E"/>
    <w:rsid w:val="000A6B1D"/>
    <w:rsid w:val="000B4559"/>
    <w:rsid w:val="000C2C0E"/>
    <w:rsid w:val="000C2E6E"/>
    <w:rsid w:val="000C4844"/>
    <w:rsid w:val="000C5BC6"/>
    <w:rsid w:val="000C61F0"/>
    <w:rsid w:val="000D1826"/>
    <w:rsid w:val="000D25AB"/>
    <w:rsid w:val="000D2ED8"/>
    <w:rsid w:val="000D3B20"/>
    <w:rsid w:val="000D3BBD"/>
    <w:rsid w:val="000D5DB2"/>
    <w:rsid w:val="000D61E9"/>
    <w:rsid w:val="000D6676"/>
    <w:rsid w:val="000D67DE"/>
    <w:rsid w:val="000D6ED2"/>
    <w:rsid w:val="000E4CA1"/>
    <w:rsid w:val="000F02B5"/>
    <w:rsid w:val="000F07FD"/>
    <w:rsid w:val="000F0A2D"/>
    <w:rsid w:val="000F177B"/>
    <w:rsid w:val="000F729B"/>
    <w:rsid w:val="000F75CB"/>
    <w:rsid w:val="000F776B"/>
    <w:rsid w:val="00100AC0"/>
    <w:rsid w:val="001023A7"/>
    <w:rsid w:val="00104CD8"/>
    <w:rsid w:val="001125A9"/>
    <w:rsid w:val="00115F72"/>
    <w:rsid w:val="00116967"/>
    <w:rsid w:val="00122EE2"/>
    <w:rsid w:val="00130A4D"/>
    <w:rsid w:val="001328FA"/>
    <w:rsid w:val="00135B5C"/>
    <w:rsid w:val="0014192B"/>
    <w:rsid w:val="001420AE"/>
    <w:rsid w:val="00142B3E"/>
    <w:rsid w:val="0014504E"/>
    <w:rsid w:val="00146059"/>
    <w:rsid w:val="0015283C"/>
    <w:rsid w:val="0015580F"/>
    <w:rsid w:val="00155F8A"/>
    <w:rsid w:val="00165654"/>
    <w:rsid w:val="00172D3D"/>
    <w:rsid w:val="001747D5"/>
    <w:rsid w:val="00175541"/>
    <w:rsid w:val="001758A3"/>
    <w:rsid w:val="00175A4B"/>
    <w:rsid w:val="00176B6C"/>
    <w:rsid w:val="00177245"/>
    <w:rsid w:val="00180691"/>
    <w:rsid w:val="001809CA"/>
    <w:rsid w:val="001836D1"/>
    <w:rsid w:val="00192240"/>
    <w:rsid w:val="0019259D"/>
    <w:rsid w:val="0019529F"/>
    <w:rsid w:val="00196C69"/>
    <w:rsid w:val="001A0F73"/>
    <w:rsid w:val="001A267B"/>
    <w:rsid w:val="001A30F8"/>
    <w:rsid w:val="001A3E85"/>
    <w:rsid w:val="001A48B4"/>
    <w:rsid w:val="001A55CC"/>
    <w:rsid w:val="001A5BA4"/>
    <w:rsid w:val="001A623D"/>
    <w:rsid w:val="001A62EB"/>
    <w:rsid w:val="001A68D9"/>
    <w:rsid w:val="001A6AB3"/>
    <w:rsid w:val="001A7613"/>
    <w:rsid w:val="001B05AB"/>
    <w:rsid w:val="001B132A"/>
    <w:rsid w:val="001B329E"/>
    <w:rsid w:val="001B33FD"/>
    <w:rsid w:val="001B4998"/>
    <w:rsid w:val="001B6C90"/>
    <w:rsid w:val="001B74B4"/>
    <w:rsid w:val="001B7E14"/>
    <w:rsid w:val="001C1F07"/>
    <w:rsid w:val="001C39D9"/>
    <w:rsid w:val="001C418A"/>
    <w:rsid w:val="001C42BD"/>
    <w:rsid w:val="001C6192"/>
    <w:rsid w:val="001C638E"/>
    <w:rsid w:val="001D2857"/>
    <w:rsid w:val="001D4B0E"/>
    <w:rsid w:val="001D4E48"/>
    <w:rsid w:val="001D64CA"/>
    <w:rsid w:val="001D75A4"/>
    <w:rsid w:val="001E33D6"/>
    <w:rsid w:val="001E3445"/>
    <w:rsid w:val="001E3568"/>
    <w:rsid w:val="001E46F8"/>
    <w:rsid w:val="001E79A4"/>
    <w:rsid w:val="001F1F35"/>
    <w:rsid w:val="001F375F"/>
    <w:rsid w:val="001F5195"/>
    <w:rsid w:val="001F63E1"/>
    <w:rsid w:val="002028B1"/>
    <w:rsid w:val="0020595F"/>
    <w:rsid w:val="00211B7B"/>
    <w:rsid w:val="00214FE4"/>
    <w:rsid w:val="00217DCB"/>
    <w:rsid w:val="00220D28"/>
    <w:rsid w:val="00226DB6"/>
    <w:rsid w:val="00230F04"/>
    <w:rsid w:val="002362C9"/>
    <w:rsid w:val="00236B49"/>
    <w:rsid w:val="002407FE"/>
    <w:rsid w:val="00242B0F"/>
    <w:rsid w:val="002440BE"/>
    <w:rsid w:val="00244715"/>
    <w:rsid w:val="00244B12"/>
    <w:rsid w:val="00245C8E"/>
    <w:rsid w:val="00245DFD"/>
    <w:rsid w:val="00254272"/>
    <w:rsid w:val="00255B76"/>
    <w:rsid w:val="002564A3"/>
    <w:rsid w:val="00257DD4"/>
    <w:rsid w:val="00257F31"/>
    <w:rsid w:val="0026312D"/>
    <w:rsid w:val="00264107"/>
    <w:rsid w:val="00267D9F"/>
    <w:rsid w:val="00275D88"/>
    <w:rsid w:val="002814F4"/>
    <w:rsid w:val="002861B7"/>
    <w:rsid w:val="00290C4F"/>
    <w:rsid w:val="002A4620"/>
    <w:rsid w:val="002A64C7"/>
    <w:rsid w:val="002A6E38"/>
    <w:rsid w:val="002B1506"/>
    <w:rsid w:val="002B5CD8"/>
    <w:rsid w:val="002B6E51"/>
    <w:rsid w:val="002B6EB3"/>
    <w:rsid w:val="002C238E"/>
    <w:rsid w:val="002C2F8F"/>
    <w:rsid w:val="002C540A"/>
    <w:rsid w:val="002C6142"/>
    <w:rsid w:val="002C76E4"/>
    <w:rsid w:val="002D0C22"/>
    <w:rsid w:val="002D129C"/>
    <w:rsid w:val="002D4481"/>
    <w:rsid w:val="002D4A1C"/>
    <w:rsid w:val="002D5516"/>
    <w:rsid w:val="002D665F"/>
    <w:rsid w:val="002E150F"/>
    <w:rsid w:val="002E1A03"/>
    <w:rsid w:val="002E242F"/>
    <w:rsid w:val="002E399A"/>
    <w:rsid w:val="002F19C1"/>
    <w:rsid w:val="002F51EA"/>
    <w:rsid w:val="002F72AD"/>
    <w:rsid w:val="00300057"/>
    <w:rsid w:val="00300AB6"/>
    <w:rsid w:val="00301907"/>
    <w:rsid w:val="0030509D"/>
    <w:rsid w:val="00305906"/>
    <w:rsid w:val="003111F7"/>
    <w:rsid w:val="00314B5F"/>
    <w:rsid w:val="00315318"/>
    <w:rsid w:val="00316AE0"/>
    <w:rsid w:val="003215DA"/>
    <w:rsid w:val="003240B3"/>
    <w:rsid w:val="00325933"/>
    <w:rsid w:val="00327C23"/>
    <w:rsid w:val="00330B7B"/>
    <w:rsid w:val="00332C8A"/>
    <w:rsid w:val="00344487"/>
    <w:rsid w:val="00344715"/>
    <w:rsid w:val="003455A2"/>
    <w:rsid w:val="003471C6"/>
    <w:rsid w:val="00347FE2"/>
    <w:rsid w:val="00353B4A"/>
    <w:rsid w:val="00360466"/>
    <w:rsid w:val="00362CA0"/>
    <w:rsid w:val="00366610"/>
    <w:rsid w:val="00367B4A"/>
    <w:rsid w:val="003703CB"/>
    <w:rsid w:val="00372E76"/>
    <w:rsid w:val="0037325A"/>
    <w:rsid w:val="00374FEE"/>
    <w:rsid w:val="00375F96"/>
    <w:rsid w:val="003801B6"/>
    <w:rsid w:val="00380A58"/>
    <w:rsid w:val="00380CEF"/>
    <w:rsid w:val="00382AF1"/>
    <w:rsid w:val="00387CEC"/>
    <w:rsid w:val="0039075C"/>
    <w:rsid w:val="00397464"/>
    <w:rsid w:val="003A24BF"/>
    <w:rsid w:val="003A4F04"/>
    <w:rsid w:val="003B0712"/>
    <w:rsid w:val="003B1C9B"/>
    <w:rsid w:val="003B3E1D"/>
    <w:rsid w:val="003B4D45"/>
    <w:rsid w:val="003B69BE"/>
    <w:rsid w:val="003B6A4A"/>
    <w:rsid w:val="003C0608"/>
    <w:rsid w:val="003C368A"/>
    <w:rsid w:val="003C4B59"/>
    <w:rsid w:val="003C4D2E"/>
    <w:rsid w:val="003C4E4B"/>
    <w:rsid w:val="003C7CA8"/>
    <w:rsid w:val="003D22D6"/>
    <w:rsid w:val="003D3BEC"/>
    <w:rsid w:val="003D5E4B"/>
    <w:rsid w:val="003D6BCA"/>
    <w:rsid w:val="003E0A70"/>
    <w:rsid w:val="003E2709"/>
    <w:rsid w:val="003E2EE0"/>
    <w:rsid w:val="003E4DDE"/>
    <w:rsid w:val="003E4E24"/>
    <w:rsid w:val="003E5ADA"/>
    <w:rsid w:val="003F0B55"/>
    <w:rsid w:val="003F4EF1"/>
    <w:rsid w:val="003F50A5"/>
    <w:rsid w:val="003F6B4E"/>
    <w:rsid w:val="00401D02"/>
    <w:rsid w:val="0040361D"/>
    <w:rsid w:val="00404CCE"/>
    <w:rsid w:val="00405AB7"/>
    <w:rsid w:val="00412718"/>
    <w:rsid w:val="00413E22"/>
    <w:rsid w:val="00417B0D"/>
    <w:rsid w:val="00422076"/>
    <w:rsid w:val="00422853"/>
    <w:rsid w:val="00423D81"/>
    <w:rsid w:val="00425FF5"/>
    <w:rsid w:val="00426EC4"/>
    <w:rsid w:val="004315F2"/>
    <w:rsid w:val="004323F6"/>
    <w:rsid w:val="00434ED2"/>
    <w:rsid w:val="00436817"/>
    <w:rsid w:val="004410D1"/>
    <w:rsid w:val="00446D7C"/>
    <w:rsid w:val="00451B68"/>
    <w:rsid w:val="00451D60"/>
    <w:rsid w:val="00454DD4"/>
    <w:rsid w:val="00455FE2"/>
    <w:rsid w:val="0045664D"/>
    <w:rsid w:val="00461CE3"/>
    <w:rsid w:val="004663BA"/>
    <w:rsid w:val="004707C3"/>
    <w:rsid w:val="0047646D"/>
    <w:rsid w:val="0048039F"/>
    <w:rsid w:val="004813B0"/>
    <w:rsid w:val="00483E2E"/>
    <w:rsid w:val="00487EEB"/>
    <w:rsid w:val="004914E5"/>
    <w:rsid w:val="004943BD"/>
    <w:rsid w:val="004944EC"/>
    <w:rsid w:val="00495530"/>
    <w:rsid w:val="004A47C8"/>
    <w:rsid w:val="004A486B"/>
    <w:rsid w:val="004A508E"/>
    <w:rsid w:val="004A7D16"/>
    <w:rsid w:val="004B127A"/>
    <w:rsid w:val="004C17B7"/>
    <w:rsid w:val="004C4E01"/>
    <w:rsid w:val="004C5CB4"/>
    <w:rsid w:val="004C71E7"/>
    <w:rsid w:val="004C741A"/>
    <w:rsid w:val="004C7ED7"/>
    <w:rsid w:val="004D1B9E"/>
    <w:rsid w:val="004D1F28"/>
    <w:rsid w:val="004D2403"/>
    <w:rsid w:val="004D24B6"/>
    <w:rsid w:val="004D4340"/>
    <w:rsid w:val="004D62BB"/>
    <w:rsid w:val="004D6DC1"/>
    <w:rsid w:val="004E3254"/>
    <w:rsid w:val="004E4DEA"/>
    <w:rsid w:val="004E6B3D"/>
    <w:rsid w:val="004F0EE5"/>
    <w:rsid w:val="004F15DD"/>
    <w:rsid w:val="004F3E88"/>
    <w:rsid w:val="004F3F77"/>
    <w:rsid w:val="004F48E2"/>
    <w:rsid w:val="004F54C5"/>
    <w:rsid w:val="004F7CD4"/>
    <w:rsid w:val="0050028D"/>
    <w:rsid w:val="00500F85"/>
    <w:rsid w:val="005014E3"/>
    <w:rsid w:val="0050319B"/>
    <w:rsid w:val="005032B1"/>
    <w:rsid w:val="00505E8E"/>
    <w:rsid w:val="005108D6"/>
    <w:rsid w:val="0051103A"/>
    <w:rsid w:val="005112E9"/>
    <w:rsid w:val="00511423"/>
    <w:rsid w:val="00511532"/>
    <w:rsid w:val="00511A45"/>
    <w:rsid w:val="00511C79"/>
    <w:rsid w:val="005127CE"/>
    <w:rsid w:val="00512965"/>
    <w:rsid w:val="005138E9"/>
    <w:rsid w:val="00514EAA"/>
    <w:rsid w:val="00515908"/>
    <w:rsid w:val="00517FCD"/>
    <w:rsid w:val="0052019A"/>
    <w:rsid w:val="00522093"/>
    <w:rsid w:val="00522CFB"/>
    <w:rsid w:val="00524124"/>
    <w:rsid w:val="0052599E"/>
    <w:rsid w:val="005333B6"/>
    <w:rsid w:val="00533817"/>
    <w:rsid w:val="0053511E"/>
    <w:rsid w:val="00541D54"/>
    <w:rsid w:val="005431E5"/>
    <w:rsid w:val="00547E96"/>
    <w:rsid w:val="00551759"/>
    <w:rsid w:val="00552B23"/>
    <w:rsid w:val="00552F26"/>
    <w:rsid w:val="005579AA"/>
    <w:rsid w:val="00561BC1"/>
    <w:rsid w:val="00563D2A"/>
    <w:rsid w:val="00565A15"/>
    <w:rsid w:val="0056717F"/>
    <w:rsid w:val="0056737D"/>
    <w:rsid w:val="0057021E"/>
    <w:rsid w:val="00571BB4"/>
    <w:rsid w:val="00571EB7"/>
    <w:rsid w:val="00575216"/>
    <w:rsid w:val="0058129D"/>
    <w:rsid w:val="00582D00"/>
    <w:rsid w:val="005839AF"/>
    <w:rsid w:val="00587E9F"/>
    <w:rsid w:val="00590293"/>
    <w:rsid w:val="00594CD1"/>
    <w:rsid w:val="005950CE"/>
    <w:rsid w:val="005A0411"/>
    <w:rsid w:val="005A276F"/>
    <w:rsid w:val="005A4E45"/>
    <w:rsid w:val="005A6051"/>
    <w:rsid w:val="005A66E9"/>
    <w:rsid w:val="005A730A"/>
    <w:rsid w:val="005B099D"/>
    <w:rsid w:val="005B1959"/>
    <w:rsid w:val="005B2AF9"/>
    <w:rsid w:val="005B4606"/>
    <w:rsid w:val="005B63B3"/>
    <w:rsid w:val="005B76AB"/>
    <w:rsid w:val="005B7C97"/>
    <w:rsid w:val="005C0213"/>
    <w:rsid w:val="005C1314"/>
    <w:rsid w:val="005C2BEB"/>
    <w:rsid w:val="005C39F3"/>
    <w:rsid w:val="005C3DA6"/>
    <w:rsid w:val="005C4103"/>
    <w:rsid w:val="005D374E"/>
    <w:rsid w:val="005D4501"/>
    <w:rsid w:val="005D474C"/>
    <w:rsid w:val="005D5269"/>
    <w:rsid w:val="005E04CE"/>
    <w:rsid w:val="005E3FAA"/>
    <w:rsid w:val="005E431B"/>
    <w:rsid w:val="005E49E4"/>
    <w:rsid w:val="005E59D5"/>
    <w:rsid w:val="005E6712"/>
    <w:rsid w:val="005E6B2D"/>
    <w:rsid w:val="005F2D5F"/>
    <w:rsid w:val="005F3044"/>
    <w:rsid w:val="005F5673"/>
    <w:rsid w:val="00600266"/>
    <w:rsid w:val="006003B2"/>
    <w:rsid w:val="006057A4"/>
    <w:rsid w:val="00605DA4"/>
    <w:rsid w:val="0061377D"/>
    <w:rsid w:val="00615499"/>
    <w:rsid w:val="006158AC"/>
    <w:rsid w:val="00616FF4"/>
    <w:rsid w:val="006172AF"/>
    <w:rsid w:val="006179B7"/>
    <w:rsid w:val="0062028D"/>
    <w:rsid w:val="0062181E"/>
    <w:rsid w:val="00621DBA"/>
    <w:rsid w:val="00622723"/>
    <w:rsid w:val="006233BE"/>
    <w:rsid w:val="00623BB0"/>
    <w:rsid w:val="00626B36"/>
    <w:rsid w:val="00630E69"/>
    <w:rsid w:val="0063283C"/>
    <w:rsid w:val="006369AA"/>
    <w:rsid w:val="00641AF1"/>
    <w:rsid w:val="00646E06"/>
    <w:rsid w:val="0064737F"/>
    <w:rsid w:val="0065079C"/>
    <w:rsid w:val="006606EB"/>
    <w:rsid w:val="00662244"/>
    <w:rsid w:val="006645BA"/>
    <w:rsid w:val="0066597A"/>
    <w:rsid w:val="00665FE2"/>
    <w:rsid w:val="00672267"/>
    <w:rsid w:val="00672B7F"/>
    <w:rsid w:val="00674E25"/>
    <w:rsid w:val="0067755A"/>
    <w:rsid w:val="0067796A"/>
    <w:rsid w:val="00680D56"/>
    <w:rsid w:val="00681DD0"/>
    <w:rsid w:val="00683C53"/>
    <w:rsid w:val="0068404A"/>
    <w:rsid w:val="0068660F"/>
    <w:rsid w:val="006916AD"/>
    <w:rsid w:val="006926DE"/>
    <w:rsid w:val="00693380"/>
    <w:rsid w:val="00694597"/>
    <w:rsid w:val="006948EC"/>
    <w:rsid w:val="006A0082"/>
    <w:rsid w:val="006A226D"/>
    <w:rsid w:val="006A22C2"/>
    <w:rsid w:val="006A4742"/>
    <w:rsid w:val="006A4BDA"/>
    <w:rsid w:val="006A67F9"/>
    <w:rsid w:val="006B4B04"/>
    <w:rsid w:val="006B556A"/>
    <w:rsid w:val="006C1475"/>
    <w:rsid w:val="006C3A70"/>
    <w:rsid w:val="006C51D5"/>
    <w:rsid w:val="006C53F9"/>
    <w:rsid w:val="006C5B81"/>
    <w:rsid w:val="006C621E"/>
    <w:rsid w:val="006C7F1A"/>
    <w:rsid w:val="006D2989"/>
    <w:rsid w:val="006D3ABE"/>
    <w:rsid w:val="006D609B"/>
    <w:rsid w:val="006D639A"/>
    <w:rsid w:val="006E26C4"/>
    <w:rsid w:val="006E3A96"/>
    <w:rsid w:val="006E60F8"/>
    <w:rsid w:val="006E7130"/>
    <w:rsid w:val="006E79F7"/>
    <w:rsid w:val="006E7D59"/>
    <w:rsid w:val="006F162B"/>
    <w:rsid w:val="007018E9"/>
    <w:rsid w:val="00703242"/>
    <w:rsid w:val="0070386D"/>
    <w:rsid w:val="00705397"/>
    <w:rsid w:val="00707166"/>
    <w:rsid w:val="007073CA"/>
    <w:rsid w:val="007117FB"/>
    <w:rsid w:val="007122CF"/>
    <w:rsid w:val="00713591"/>
    <w:rsid w:val="00714C2A"/>
    <w:rsid w:val="0071718E"/>
    <w:rsid w:val="007172AE"/>
    <w:rsid w:val="007205B3"/>
    <w:rsid w:val="00721136"/>
    <w:rsid w:val="007216FC"/>
    <w:rsid w:val="00722DB7"/>
    <w:rsid w:val="00725282"/>
    <w:rsid w:val="00727AA6"/>
    <w:rsid w:val="0073104C"/>
    <w:rsid w:val="00731863"/>
    <w:rsid w:val="00732542"/>
    <w:rsid w:val="007356FD"/>
    <w:rsid w:val="00735B4E"/>
    <w:rsid w:val="00741A91"/>
    <w:rsid w:val="0074618B"/>
    <w:rsid w:val="0074692B"/>
    <w:rsid w:val="00747666"/>
    <w:rsid w:val="0075086C"/>
    <w:rsid w:val="00751921"/>
    <w:rsid w:val="007521B0"/>
    <w:rsid w:val="00753B49"/>
    <w:rsid w:val="00754B40"/>
    <w:rsid w:val="00764FF2"/>
    <w:rsid w:val="00765B9D"/>
    <w:rsid w:val="007662B5"/>
    <w:rsid w:val="0077020E"/>
    <w:rsid w:val="00773115"/>
    <w:rsid w:val="00774DF4"/>
    <w:rsid w:val="0077651B"/>
    <w:rsid w:val="00776C76"/>
    <w:rsid w:val="007829D2"/>
    <w:rsid w:val="00786F28"/>
    <w:rsid w:val="00786FB7"/>
    <w:rsid w:val="007911D2"/>
    <w:rsid w:val="0079241C"/>
    <w:rsid w:val="00793BE3"/>
    <w:rsid w:val="007956EC"/>
    <w:rsid w:val="0079632A"/>
    <w:rsid w:val="00796641"/>
    <w:rsid w:val="00796741"/>
    <w:rsid w:val="007973CE"/>
    <w:rsid w:val="00797D85"/>
    <w:rsid w:val="007A0F50"/>
    <w:rsid w:val="007A1605"/>
    <w:rsid w:val="007A1D54"/>
    <w:rsid w:val="007A2D73"/>
    <w:rsid w:val="007A7D32"/>
    <w:rsid w:val="007B049E"/>
    <w:rsid w:val="007B2357"/>
    <w:rsid w:val="007B3792"/>
    <w:rsid w:val="007B3CF4"/>
    <w:rsid w:val="007B4FFB"/>
    <w:rsid w:val="007B75A5"/>
    <w:rsid w:val="007B762C"/>
    <w:rsid w:val="007C214F"/>
    <w:rsid w:val="007C5BB8"/>
    <w:rsid w:val="007C7810"/>
    <w:rsid w:val="007D1503"/>
    <w:rsid w:val="007D2381"/>
    <w:rsid w:val="007E12B9"/>
    <w:rsid w:val="007E34F2"/>
    <w:rsid w:val="007E3983"/>
    <w:rsid w:val="007E3A31"/>
    <w:rsid w:val="007E72B4"/>
    <w:rsid w:val="007E7A42"/>
    <w:rsid w:val="007F1022"/>
    <w:rsid w:val="007F1425"/>
    <w:rsid w:val="007F2FA4"/>
    <w:rsid w:val="007F5A7D"/>
    <w:rsid w:val="00807D02"/>
    <w:rsid w:val="00813C6D"/>
    <w:rsid w:val="00814A85"/>
    <w:rsid w:val="00820EEB"/>
    <w:rsid w:val="00821BCB"/>
    <w:rsid w:val="00821E86"/>
    <w:rsid w:val="0082652E"/>
    <w:rsid w:val="00831EBE"/>
    <w:rsid w:val="0083426D"/>
    <w:rsid w:val="00834A3E"/>
    <w:rsid w:val="00835E7E"/>
    <w:rsid w:val="00837ABB"/>
    <w:rsid w:val="0084448F"/>
    <w:rsid w:val="008505B2"/>
    <w:rsid w:val="0085529F"/>
    <w:rsid w:val="00860E48"/>
    <w:rsid w:val="0086244E"/>
    <w:rsid w:val="00866A59"/>
    <w:rsid w:val="008670E8"/>
    <w:rsid w:val="00870709"/>
    <w:rsid w:val="008715C8"/>
    <w:rsid w:val="008746E6"/>
    <w:rsid w:val="00875D3B"/>
    <w:rsid w:val="00876371"/>
    <w:rsid w:val="0087741B"/>
    <w:rsid w:val="008808F6"/>
    <w:rsid w:val="00881CD7"/>
    <w:rsid w:val="00881E4B"/>
    <w:rsid w:val="008872EE"/>
    <w:rsid w:val="00893EBF"/>
    <w:rsid w:val="008969BF"/>
    <w:rsid w:val="008A152F"/>
    <w:rsid w:val="008A1B4C"/>
    <w:rsid w:val="008A1C84"/>
    <w:rsid w:val="008A3192"/>
    <w:rsid w:val="008A58B7"/>
    <w:rsid w:val="008A594B"/>
    <w:rsid w:val="008A7828"/>
    <w:rsid w:val="008B031E"/>
    <w:rsid w:val="008B22FA"/>
    <w:rsid w:val="008B754E"/>
    <w:rsid w:val="008C1A2A"/>
    <w:rsid w:val="008C3D98"/>
    <w:rsid w:val="008C40BB"/>
    <w:rsid w:val="008C5917"/>
    <w:rsid w:val="008D027B"/>
    <w:rsid w:val="008D1526"/>
    <w:rsid w:val="008D18FC"/>
    <w:rsid w:val="008D3CCD"/>
    <w:rsid w:val="008D5DF1"/>
    <w:rsid w:val="008D7764"/>
    <w:rsid w:val="008E0049"/>
    <w:rsid w:val="008E0E60"/>
    <w:rsid w:val="008E192A"/>
    <w:rsid w:val="008E1AC7"/>
    <w:rsid w:val="008E3FF5"/>
    <w:rsid w:val="008E4A9F"/>
    <w:rsid w:val="008F2844"/>
    <w:rsid w:val="008F76C1"/>
    <w:rsid w:val="009020E2"/>
    <w:rsid w:val="00902D57"/>
    <w:rsid w:val="0090415B"/>
    <w:rsid w:val="009042F6"/>
    <w:rsid w:val="00906E4A"/>
    <w:rsid w:val="00907677"/>
    <w:rsid w:val="009114D4"/>
    <w:rsid w:val="00912441"/>
    <w:rsid w:val="009130FA"/>
    <w:rsid w:val="009144B9"/>
    <w:rsid w:val="00914AF1"/>
    <w:rsid w:val="00916705"/>
    <w:rsid w:val="0091700A"/>
    <w:rsid w:val="0091742F"/>
    <w:rsid w:val="00922D36"/>
    <w:rsid w:val="0092301F"/>
    <w:rsid w:val="00925F18"/>
    <w:rsid w:val="009266C2"/>
    <w:rsid w:val="009275F7"/>
    <w:rsid w:val="00927DB2"/>
    <w:rsid w:val="00932212"/>
    <w:rsid w:val="00932F13"/>
    <w:rsid w:val="0093405A"/>
    <w:rsid w:val="0093490C"/>
    <w:rsid w:val="00934A56"/>
    <w:rsid w:val="00934AA3"/>
    <w:rsid w:val="00934BE0"/>
    <w:rsid w:val="00935DDE"/>
    <w:rsid w:val="00936DF0"/>
    <w:rsid w:val="009408AE"/>
    <w:rsid w:val="009423E1"/>
    <w:rsid w:val="009430BC"/>
    <w:rsid w:val="009457FD"/>
    <w:rsid w:val="0094627F"/>
    <w:rsid w:val="00947255"/>
    <w:rsid w:val="009508B8"/>
    <w:rsid w:val="00952556"/>
    <w:rsid w:val="00954984"/>
    <w:rsid w:val="009569B4"/>
    <w:rsid w:val="00960348"/>
    <w:rsid w:val="0096088B"/>
    <w:rsid w:val="0096380E"/>
    <w:rsid w:val="00966B01"/>
    <w:rsid w:val="0096785F"/>
    <w:rsid w:val="00972277"/>
    <w:rsid w:val="009760CD"/>
    <w:rsid w:val="00977C72"/>
    <w:rsid w:val="00980062"/>
    <w:rsid w:val="00982DD9"/>
    <w:rsid w:val="00985697"/>
    <w:rsid w:val="00986BEF"/>
    <w:rsid w:val="009875BE"/>
    <w:rsid w:val="0098764E"/>
    <w:rsid w:val="00993C9D"/>
    <w:rsid w:val="009963F5"/>
    <w:rsid w:val="00997939"/>
    <w:rsid w:val="00997B6E"/>
    <w:rsid w:val="009A4073"/>
    <w:rsid w:val="009A56DF"/>
    <w:rsid w:val="009A6ED2"/>
    <w:rsid w:val="009A78DE"/>
    <w:rsid w:val="009B0E2D"/>
    <w:rsid w:val="009B2748"/>
    <w:rsid w:val="009B2C9C"/>
    <w:rsid w:val="009B5AFB"/>
    <w:rsid w:val="009B5EF9"/>
    <w:rsid w:val="009B6638"/>
    <w:rsid w:val="009C0132"/>
    <w:rsid w:val="009C21DE"/>
    <w:rsid w:val="009C27DF"/>
    <w:rsid w:val="009C3E72"/>
    <w:rsid w:val="009C5034"/>
    <w:rsid w:val="009C7BD0"/>
    <w:rsid w:val="009D26A4"/>
    <w:rsid w:val="009D2EA9"/>
    <w:rsid w:val="009D3D9E"/>
    <w:rsid w:val="009D4632"/>
    <w:rsid w:val="009D4CB2"/>
    <w:rsid w:val="009D5220"/>
    <w:rsid w:val="009D7B58"/>
    <w:rsid w:val="009E17E8"/>
    <w:rsid w:val="009E3A3C"/>
    <w:rsid w:val="009E5163"/>
    <w:rsid w:val="009F00FC"/>
    <w:rsid w:val="009F23FD"/>
    <w:rsid w:val="009F2AE8"/>
    <w:rsid w:val="009F49FC"/>
    <w:rsid w:val="009F6A56"/>
    <w:rsid w:val="009F6CBA"/>
    <w:rsid w:val="00A00380"/>
    <w:rsid w:val="00A0050C"/>
    <w:rsid w:val="00A02554"/>
    <w:rsid w:val="00A02669"/>
    <w:rsid w:val="00A03020"/>
    <w:rsid w:val="00A03783"/>
    <w:rsid w:val="00A03BF6"/>
    <w:rsid w:val="00A12963"/>
    <w:rsid w:val="00A157ED"/>
    <w:rsid w:val="00A17D1A"/>
    <w:rsid w:val="00A204BA"/>
    <w:rsid w:val="00A21E19"/>
    <w:rsid w:val="00A227C7"/>
    <w:rsid w:val="00A23FCD"/>
    <w:rsid w:val="00A27420"/>
    <w:rsid w:val="00A3263A"/>
    <w:rsid w:val="00A35AB9"/>
    <w:rsid w:val="00A504D3"/>
    <w:rsid w:val="00A5131D"/>
    <w:rsid w:val="00A519D7"/>
    <w:rsid w:val="00A55013"/>
    <w:rsid w:val="00A609FA"/>
    <w:rsid w:val="00A61FC6"/>
    <w:rsid w:val="00A62D18"/>
    <w:rsid w:val="00A62FD4"/>
    <w:rsid w:val="00A640FC"/>
    <w:rsid w:val="00A648F7"/>
    <w:rsid w:val="00A64C77"/>
    <w:rsid w:val="00A64FC9"/>
    <w:rsid w:val="00A67DB9"/>
    <w:rsid w:val="00A724CF"/>
    <w:rsid w:val="00A726EF"/>
    <w:rsid w:val="00A73B7A"/>
    <w:rsid w:val="00A73C9E"/>
    <w:rsid w:val="00A750AB"/>
    <w:rsid w:val="00A757AA"/>
    <w:rsid w:val="00A75CA8"/>
    <w:rsid w:val="00A80C14"/>
    <w:rsid w:val="00A83E31"/>
    <w:rsid w:val="00A86251"/>
    <w:rsid w:val="00A8728E"/>
    <w:rsid w:val="00A9115E"/>
    <w:rsid w:val="00A93DDE"/>
    <w:rsid w:val="00A945E6"/>
    <w:rsid w:val="00A94F16"/>
    <w:rsid w:val="00A9650B"/>
    <w:rsid w:val="00AA1EC1"/>
    <w:rsid w:val="00AA3177"/>
    <w:rsid w:val="00AA388B"/>
    <w:rsid w:val="00AA60CB"/>
    <w:rsid w:val="00AB05FA"/>
    <w:rsid w:val="00AB0635"/>
    <w:rsid w:val="00AB13BE"/>
    <w:rsid w:val="00AB2798"/>
    <w:rsid w:val="00AB428B"/>
    <w:rsid w:val="00AB4D2C"/>
    <w:rsid w:val="00AC0738"/>
    <w:rsid w:val="00AC2821"/>
    <w:rsid w:val="00AD1D83"/>
    <w:rsid w:val="00AD364F"/>
    <w:rsid w:val="00AD40E5"/>
    <w:rsid w:val="00AD528F"/>
    <w:rsid w:val="00AD71EE"/>
    <w:rsid w:val="00AE1A2A"/>
    <w:rsid w:val="00AE2F26"/>
    <w:rsid w:val="00AE3265"/>
    <w:rsid w:val="00AE454F"/>
    <w:rsid w:val="00AE59C0"/>
    <w:rsid w:val="00AE5AFD"/>
    <w:rsid w:val="00AE5EFB"/>
    <w:rsid w:val="00AE751C"/>
    <w:rsid w:val="00AF0A48"/>
    <w:rsid w:val="00AF241E"/>
    <w:rsid w:val="00AF3410"/>
    <w:rsid w:val="00AF7829"/>
    <w:rsid w:val="00AF7AEA"/>
    <w:rsid w:val="00B00728"/>
    <w:rsid w:val="00B017D8"/>
    <w:rsid w:val="00B0500D"/>
    <w:rsid w:val="00B10FE2"/>
    <w:rsid w:val="00B17182"/>
    <w:rsid w:val="00B20DBD"/>
    <w:rsid w:val="00B22C3D"/>
    <w:rsid w:val="00B23103"/>
    <w:rsid w:val="00B2396E"/>
    <w:rsid w:val="00B23F49"/>
    <w:rsid w:val="00B24265"/>
    <w:rsid w:val="00B2436C"/>
    <w:rsid w:val="00B273B6"/>
    <w:rsid w:val="00B30DF1"/>
    <w:rsid w:val="00B3156C"/>
    <w:rsid w:val="00B31E04"/>
    <w:rsid w:val="00B33BD7"/>
    <w:rsid w:val="00B40811"/>
    <w:rsid w:val="00B42C24"/>
    <w:rsid w:val="00B4421D"/>
    <w:rsid w:val="00B45702"/>
    <w:rsid w:val="00B45D48"/>
    <w:rsid w:val="00B45E44"/>
    <w:rsid w:val="00B45F85"/>
    <w:rsid w:val="00B46EB8"/>
    <w:rsid w:val="00B50D88"/>
    <w:rsid w:val="00B50F0D"/>
    <w:rsid w:val="00B54262"/>
    <w:rsid w:val="00B55629"/>
    <w:rsid w:val="00B55CA7"/>
    <w:rsid w:val="00B63C5E"/>
    <w:rsid w:val="00B67D22"/>
    <w:rsid w:val="00B74590"/>
    <w:rsid w:val="00B763C6"/>
    <w:rsid w:val="00B77F01"/>
    <w:rsid w:val="00B85005"/>
    <w:rsid w:val="00B850A1"/>
    <w:rsid w:val="00B86A08"/>
    <w:rsid w:val="00B875A0"/>
    <w:rsid w:val="00B9132B"/>
    <w:rsid w:val="00B93B0A"/>
    <w:rsid w:val="00B960B5"/>
    <w:rsid w:val="00B971B3"/>
    <w:rsid w:val="00BA0607"/>
    <w:rsid w:val="00BA0FCA"/>
    <w:rsid w:val="00BA1424"/>
    <w:rsid w:val="00BA4C8A"/>
    <w:rsid w:val="00BA5F22"/>
    <w:rsid w:val="00BA7D43"/>
    <w:rsid w:val="00BB3824"/>
    <w:rsid w:val="00BB3FB3"/>
    <w:rsid w:val="00BB716A"/>
    <w:rsid w:val="00BB76A7"/>
    <w:rsid w:val="00BC38FA"/>
    <w:rsid w:val="00BC3CEF"/>
    <w:rsid w:val="00BC50C4"/>
    <w:rsid w:val="00BC72B1"/>
    <w:rsid w:val="00BD0065"/>
    <w:rsid w:val="00BD1EA6"/>
    <w:rsid w:val="00BD2A52"/>
    <w:rsid w:val="00BD3A6C"/>
    <w:rsid w:val="00BD6901"/>
    <w:rsid w:val="00BD6923"/>
    <w:rsid w:val="00BE55A7"/>
    <w:rsid w:val="00BE5631"/>
    <w:rsid w:val="00BE6C53"/>
    <w:rsid w:val="00BE6CE5"/>
    <w:rsid w:val="00BE7324"/>
    <w:rsid w:val="00BF107B"/>
    <w:rsid w:val="00BF180C"/>
    <w:rsid w:val="00BF27FC"/>
    <w:rsid w:val="00BF4447"/>
    <w:rsid w:val="00BF4DB4"/>
    <w:rsid w:val="00BF50CF"/>
    <w:rsid w:val="00BF6131"/>
    <w:rsid w:val="00BF6532"/>
    <w:rsid w:val="00C00445"/>
    <w:rsid w:val="00C00B13"/>
    <w:rsid w:val="00C01294"/>
    <w:rsid w:val="00C0271B"/>
    <w:rsid w:val="00C02B89"/>
    <w:rsid w:val="00C0411E"/>
    <w:rsid w:val="00C05A1C"/>
    <w:rsid w:val="00C1358C"/>
    <w:rsid w:val="00C17334"/>
    <w:rsid w:val="00C22C70"/>
    <w:rsid w:val="00C25A1F"/>
    <w:rsid w:val="00C3031E"/>
    <w:rsid w:val="00C31290"/>
    <w:rsid w:val="00C31650"/>
    <w:rsid w:val="00C31C84"/>
    <w:rsid w:val="00C32807"/>
    <w:rsid w:val="00C33779"/>
    <w:rsid w:val="00C35A99"/>
    <w:rsid w:val="00C374D7"/>
    <w:rsid w:val="00C44103"/>
    <w:rsid w:val="00C44F88"/>
    <w:rsid w:val="00C47C1A"/>
    <w:rsid w:val="00C51910"/>
    <w:rsid w:val="00C539FB"/>
    <w:rsid w:val="00C542E9"/>
    <w:rsid w:val="00C54A84"/>
    <w:rsid w:val="00C56130"/>
    <w:rsid w:val="00C56BD0"/>
    <w:rsid w:val="00C56BEF"/>
    <w:rsid w:val="00C6347B"/>
    <w:rsid w:val="00C63D31"/>
    <w:rsid w:val="00C65242"/>
    <w:rsid w:val="00C671F9"/>
    <w:rsid w:val="00C704E7"/>
    <w:rsid w:val="00C758DC"/>
    <w:rsid w:val="00C75D98"/>
    <w:rsid w:val="00C84D2E"/>
    <w:rsid w:val="00C86AA1"/>
    <w:rsid w:val="00C90230"/>
    <w:rsid w:val="00C9328A"/>
    <w:rsid w:val="00C932A8"/>
    <w:rsid w:val="00C96A61"/>
    <w:rsid w:val="00C97615"/>
    <w:rsid w:val="00C979A7"/>
    <w:rsid w:val="00CA102D"/>
    <w:rsid w:val="00CA1629"/>
    <w:rsid w:val="00CA3E5C"/>
    <w:rsid w:val="00CB0552"/>
    <w:rsid w:val="00CB20C1"/>
    <w:rsid w:val="00CB25F0"/>
    <w:rsid w:val="00CB2B1E"/>
    <w:rsid w:val="00CB3077"/>
    <w:rsid w:val="00CB36FF"/>
    <w:rsid w:val="00CB445A"/>
    <w:rsid w:val="00CB66C0"/>
    <w:rsid w:val="00CB6794"/>
    <w:rsid w:val="00CC4CEA"/>
    <w:rsid w:val="00CC6FE6"/>
    <w:rsid w:val="00CD40B9"/>
    <w:rsid w:val="00CD5A46"/>
    <w:rsid w:val="00CD726B"/>
    <w:rsid w:val="00CE14AF"/>
    <w:rsid w:val="00CE19CC"/>
    <w:rsid w:val="00CE676C"/>
    <w:rsid w:val="00CE71EA"/>
    <w:rsid w:val="00CF0C73"/>
    <w:rsid w:val="00CF4916"/>
    <w:rsid w:val="00CF596C"/>
    <w:rsid w:val="00CF6AFF"/>
    <w:rsid w:val="00CF791A"/>
    <w:rsid w:val="00D0070E"/>
    <w:rsid w:val="00D01563"/>
    <w:rsid w:val="00D01DA0"/>
    <w:rsid w:val="00D02484"/>
    <w:rsid w:val="00D02A1F"/>
    <w:rsid w:val="00D03D76"/>
    <w:rsid w:val="00D12059"/>
    <w:rsid w:val="00D13412"/>
    <w:rsid w:val="00D146C2"/>
    <w:rsid w:val="00D16020"/>
    <w:rsid w:val="00D16A51"/>
    <w:rsid w:val="00D1718C"/>
    <w:rsid w:val="00D22A57"/>
    <w:rsid w:val="00D22E77"/>
    <w:rsid w:val="00D2669A"/>
    <w:rsid w:val="00D31E57"/>
    <w:rsid w:val="00D3242F"/>
    <w:rsid w:val="00D34FF7"/>
    <w:rsid w:val="00D35495"/>
    <w:rsid w:val="00D355EA"/>
    <w:rsid w:val="00D37857"/>
    <w:rsid w:val="00D40847"/>
    <w:rsid w:val="00D40DB3"/>
    <w:rsid w:val="00D42A95"/>
    <w:rsid w:val="00D4726F"/>
    <w:rsid w:val="00D53E4E"/>
    <w:rsid w:val="00D61C5F"/>
    <w:rsid w:val="00D61ED9"/>
    <w:rsid w:val="00D6213E"/>
    <w:rsid w:val="00D62D1A"/>
    <w:rsid w:val="00D66D02"/>
    <w:rsid w:val="00D6766F"/>
    <w:rsid w:val="00D700F1"/>
    <w:rsid w:val="00D71520"/>
    <w:rsid w:val="00D71F7F"/>
    <w:rsid w:val="00D72747"/>
    <w:rsid w:val="00D74251"/>
    <w:rsid w:val="00D742BF"/>
    <w:rsid w:val="00D74DAD"/>
    <w:rsid w:val="00D76AB1"/>
    <w:rsid w:val="00D8432F"/>
    <w:rsid w:val="00D8535A"/>
    <w:rsid w:val="00D8639C"/>
    <w:rsid w:val="00D86CF5"/>
    <w:rsid w:val="00D936CB"/>
    <w:rsid w:val="00D9502F"/>
    <w:rsid w:val="00D95542"/>
    <w:rsid w:val="00D962A9"/>
    <w:rsid w:val="00D974AF"/>
    <w:rsid w:val="00DA286F"/>
    <w:rsid w:val="00DA75E3"/>
    <w:rsid w:val="00DB0550"/>
    <w:rsid w:val="00DB15A1"/>
    <w:rsid w:val="00DB3540"/>
    <w:rsid w:val="00DB3CD9"/>
    <w:rsid w:val="00DB749D"/>
    <w:rsid w:val="00DC5DC1"/>
    <w:rsid w:val="00DC65EF"/>
    <w:rsid w:val="00DC6D68"/>
    <w:rsid w:val="00DD0132"/>
    <w:rsid w:val="00DD1CFF"/>
    <w:rsid w:val="00DD202B"/>
    <w:rsid w:val="00DD25E9"/>
    <w:rsid w:val="00DD4078"/>
    <w:rsid w:val="00DD5343"/>
    <w:rsid w:val="00DD568C"/>
    <w:rsid w:val="00DD7254"/>
    <w:rsid w:val="00DE3630"/>
    <w:rsid w:val="00DE3B36"/>
    <w:rsid w:val="00DE605A"/>
    <w:rsid w:val="00DE726A"/>
    <w:rsid w:val="00DE7683"/>
    <w:rsid w:val="00DF0101"/>
    <w:rsid w:val="00DF1FB4"/>
    <w:rsid w:val="00DF2447"/>
    <w:rsid w:val="00DF7C8B"/>
    <w:rsid w:val="00E0121D"/>
    <w:rsid w:val="00E030C3"/>
    <w:rsid w:val="00E03345"/>
    <w:rsid w:val="00E03420"/>
    <w:rsid w:val="00E102DD"/>
    <w:rsid w:val="00E1049A"/>
    <w:rsid w:val="00E11C84"/>
    <w:rsid w:val="00E13B1E"/>
    <w:rsid w:val="00E1501D"/>
    <w:rsid w:val="00E22C67"/>
    <w:rsid w:val="00E236B4"/>
    <w:rsid w:val="00E275E4"/>
    <w:rsid w:val="00E27864"/>
    <w:rsid w:val="00E27BB7"/>
    <w:rsid w:val="00E27BCE"/>
    <w:rsid w:val="00E30C34"/>
    <w:rsid w:val="00E346BF"/>
    <w:rsid w:val="00E34C7F"/>
    <w:rsid w:val="00E47EA1"/>
    <w:rsid w:val="00E50DFB"/>
    <w:rsid w:val="00E543D8"/>
    <w:rsid w:val="00E54A1B"/>
    <w:rsid w:val="00E561B5"/>
    <w:rsid w:val="00E56AB3"/>
    <w:rsid w:val="00E615E2"/>
    <w:rsid w:val="00E62060"/>
    <w:rsid w:val="00E64D25"/>
    <w:rsid w:val="00E65143"/>
    <w:rsid w:val="00E67CB4"/>
    <w:rsid w:val="00E70DAB"/>
    <w:rsid w:val="00E72C1B"/>
    <w:rsid w:val="00E72FCB"/>
    <w:rsid w:val="00E74D01"/>
    <w:rsid w:val="00E75FB9"/>
    <w:rsid w:val="00E81198"/>
    <w:rsid w:val="00E83AB9"/>
    <w:rsid w:val="00E83B2D"/>
    <w:rsid w:val="00E83FE6"/>
    <w:rsid w:val="00E84936"/>
    <w:rsid w:val="00E871A5"/>
    <w:rsid w:val="00E97AB3"/>
    <w:rsid w:val="00EA0F9E"/>
    <w:rsid w:val="00EA2C4F"/>
    <w:rsid w:val="00EA4D21"/>
    <w:rsid w:val="00EA4D2D"/>
    <w:rsid w:val="00EA66CE"/>
    <w:rsid w:val="00EB0E12"/>
    <w:rsid w:val="00EB408D"/>
    <w:rsid w:val="00EB4597"/>
    <w:rsid w:val="00EB5D74"/>
    <w:rsid w:val="00EB5FB5"/>
    <w:rsid w:val="00EC06B9"/>
    <w:rsid w:val="00EC0737"/>
    <w:rsid w:val="00EC471D"/>
    <w:rsid w:val="00ED10EA"/>
    <w:rsid w:val="00ED2492"/>
    <w:rsid w:val="00ED5716"/>
    <w:rsid w:val="00ED6444"/>
    <w:rsid w:val="00EE2C1E"/>
    <w:rsid w:val="00EE48D0"/>
    <w:rsid w:val="00EE551E"/>
    <w:rsid w:val="00EE5C27"/>
    <w:rsid w:val="00EE5EED"/>
    <w:rsid w:val="00EE5F75"/>
    <w:rsid w:val="00EE6C63"/>
    <w:rsid w:val="00EE7BB0"/>
    <w:rsid w:val="00EF035C"/>
    <w:rsid w:val="00EF17BD"/>
    <w:rsid w:val="00EF1EED"/>
    <w:rsid w:val="00EF490E"/>
    <w:rsid w:val="00EF5939"/>
    <w:rsid w:val="00EF678E"/>
    <w:rsid w:val="00EF7A03"/>
    <w:rsid w:val="00EF7FF0"/>
    <w:rsid w:val="00F0128D"/>
    <w:rsid w:val="00F01341"/>
    <w:rsid w:val="00F0285A"/>
    <w:rsid w:val="00F02C6B"/>
    <w:rsid w:val="00F07FD9"/>
    <w:rsid w:val="00F11057"/>
    <w:rsid w:val="00F110CF"/>
    <w:rsid w:val="00F11AD2"/>
    <w:rsid w:val="00F129FB"/>
    <w:rsid w:val="00F15308"/>
    <w:rsid w:val="00F15468"/>
    <w:rsid w:val="00F15828"/>
    <w:rsid w:val="00F20AD0"/>
    <w:rsid w:val="00F3117B"/>
    <w:rsid w:val="00F33AFE"/>
    <w:rsid w:val="00F35272"/>
    <w:rsid w:val="00F40A0A"/>
    <w:rsid w:val="00F41339"/>
    <w:rsid w:val="00F413D9"/>
    <w:rsid w:val="00F429D8"/>
    <w:rsid w:val="00F42B15"/>
    <w:rsid w:val="00F42FB7"/>
    <w:rsid w:val="00F44AF5"/>
    <w:rsid w:val="00F45853"/>
    <w:rsid w:val="00F4640B"/>
    <w:rsid w:val="00F47E6A"/>
    <w:rsid w:val="00F537C6"/>
    <w:rsid w:val="00F57C54"/>
    <w:rsid w:val="00F61170"/>
    <w:rsid w:val="00F63E7F"/>
    <w:rsid w:val="00F6640A"/>
    <w:rsid w:val="00F674B5"/>
    <w:rsid w:val="00F70441"/>
    <w:rsid w:val="00F712C6"/>
    <w:rsid w:val="00F717D5"/>
    <w:rsid w:val="00F71E55"/>
    <w:rsid w:val="00F74FA7"/>
    <w:rsid w:val="00F77F24"/>
    <w:rsid w:val="00F77FB1"/>
    <w:rsid w:val="00F83966"/>
    <w:rsid w:val="00F83B43"/>
    <w:rsid w:val="00F86C3C"/>
    <w:rsid w:val="00F9429D"/>
    <w:rsid w:val="00F94868"/>
    <w:rsid w:val="00F94DFF"/>
    <w:rsid w:val="00F9621F"/>
    <w:rsid w:val="00F967FF"/>
    <w:rsid w:val="00F96DBE"/>
    <w:rsid w:val="00FA0AD6"/>
    <w:rsid w:val="00FA513B"/>
    <w:rsid w:val="00FA7E74"/>
    <w:rsid w:val="00FB1B67"/>
    <w:rsid w:val="00FB2B93"/>
    <w:rsid w:val="00FB3882"/>
    <w:rsid w:val="00FB5C5A"/>
    <w:rsid w:val="00FB7588"/>
    <w:rsid w:val="00FC0B4E"/>
    <w:rsid w:val="00FC4F6D"/>
    <w:rsid w:val="00FC6901"/>
    <w:rsid w:val="00FD28EF"/>
    <w:rsid w:val="00FD79D3"/>
    <w:rsid w:val="00FE0475"/>
    <w:rsid w:val="00FE0943"/>
    <w:rsid w:val="00FE1185"/>
    <w:rsid w:val="00FE4F6A"/>
    <w:rsid w:val="00FE577C"/>
    <w:rsid w:val="00FF25B5"/>
    <w:rsid w:val="00FF3D68"/>
    <w:rsid w:val="00FF78CC"/>
    <w:rsid w:val="05CF0835"/>
    <w:rsid w:val="161E68D3"/>
    <w:rsid w:val="252B69FE"/>
    <w:rsid w:val="2CAF19E2"/>
    <w:rsid w:val="4FB82AC5"/>
    <w:rsid w:val="6FAE22E2"/>
    <w:rsid w:val="712324FF"/>
    <w:rsid w:val="71FE2AF6"/>
    <w:rsid w:val="73611CE3"/>
    <w:rsid w:val="7E9A3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9332E1-D979-4A1C-BA99-848A752A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Char"/>
    <w:uiPriority w:val="9"/>
    <w:qFormat/>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uiPriority w:val="1"/>
    <w:qFormat/>
    <w:pPr>
      <w:spacing w:before="181"/>
      <w:ind w:left="141"/>
      <w:jc w:val="left"/>
    </w:pPr>
    <w:rPr>
      <w:rFonts w:ascii="宋体" w:hAnsi="宋体" w:cstheme="minorBidi"/>
      <w:kern w:val="0"/>
      <w:sz w:val="24"/>
      <w:lang w:eastAsia="en-US"/>
    </w:rPr>
  </w:style>
  <w:style w:type="paragraph" w:styleId="a5">
    <w:name w:val="Plain Text"/>
    <w:basedOn w:val="a"/>
    <w:link w:val="Char1"/>
    <w:qFormat/>
    <w:rPr>
      <w:rFonts w:ascii="宋体" w:hAnsi="Courier New"/>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Char5"/>
    <w:uiPriority w:val="99"/>
    <w:semiHidden/>
    <w:unhideWhenUsed/>
    <w:rPr>
      <w:b/>
      <w:bCs/>
    </w:rPr>
  </w:style>
  <w:style w:type="character" w:styleId="ab">
    <w:name w:val="Strong"/>
    <w:basedOn w:val="a0"/>
    <w:uiPriority w:val="22"/>
    <w:qFormat/>
    <w:rPr>
      <w:b/>
      <w:bCs/>
    </w:rPr>
  </w:style>
  <w:style w:type="character" w:styleId="ac">
    <w:name w:val="annotation reference"/>
    <w:basedOn w:val="a0"/>
    <w:uiPriority w:val="99"/>
    <w:semiHidden/>
    <w:unhideWhenUsed/>
    <w:rPr>
      <w:sz w:val="21"/>
      <w:szCs w:val="21"/>
    </w:rPr>
  </w:style>
  <w:style w:type="character" w:customStyle="1" w:styleId="Char3">
    <w:name w:val="页脚 Char"/>
    <w:basedOn w:val="a0"/>
    <w:link w:val="a7"/>
    <w:uiPriority w:val="99"/>
    <w:qFormat/>
    <w:rPr>
      <w:rFonts w:ascii="Times New Roman" w:eastAsia="宋体" w:hAnsi="Times New Roman" w:cs="Times New Roman"/>
      <w:sz w:val="18"/>
      <w:szCs w:val="18"/>
    </w:rPr>
  </w:style>
  <w:style w:type="paragraph" w:styleId="ad">
    <w:name w:val="List Paragraph"/>
    <w:basedOn w:val="a"/>
    <w:link w:val="Char6"/>
    <w:uiPriority w:val="99"/>
    <w:qFormat/>
    <w:pPr>
      <w:ind w:firstLineChars="200" w:firstLine="420"/>
    </w:pPr>
  </w:style>
  <w:style w:type="character" w:customStyle="1" w:styleId="Char1">
    <w:name w:val="纯文本 Char"/>
    <w:basedOn w:val="a0"/>
    <w:link w:val="a5"/>
    <w:qFormat/>
    <w:rPr>
      <w:rFonts w:ascii="宋体" w:eastAsia="宋体" w:hAnsi="Courier New" w:cs="Times New Roman"/>
      <w:szCs w:val="24"/>
    </w:rPr>
  </w:style>
  <w:style w:type="character" w:customStyle="1" w:styleId="Char6">
    <w:name w:val="列出段落 Char"/>
    <w:basedOn w:val="a0"/>
    <w:link w:val="ad"/>
    <w:uiPriority w:val="34"/>
    <w:qFormat/>
    <w:rPr>
      <w:rFonts w:ascii="Times New Roman" w:eastAsia="宋体" w:hAnsi="Times New Roman" w:cs="Times New Roman"/>
      <w:szCs w:val="24"/>
    </w:rPr>
  </w:style>
  <w:style w:type="character" w:customStyle="1" w:styleId="Char4">
    <w:name w:val="页眉 Char"/>
    <w:basedOn w:val="a0"/>
    <w:link w:val="a8"/>
    <w:uiPriority w:val="99"/>
    <w:rPr>
      <w:rFonts w:ascii="Times New Roman" w:eastAsia="宋体" w:hAnsi="Times New Roman" w:cs="Times New Roman"/>
      <w:sz w:val="18"/>
      <w:szCs w:val="18"/>
    </w:rPr>
  </w:style>
  <w:style w:type="character" w:customStyle="1" w:styleId="Char2">
    <w:name w:val="批注框文本 Char"/>
    <w:basedOn w:val="a0"/>
    <w:link w:val="a6"/>
    <w:uiPriority w:val="99"/>
    <w:semiHidden/>
    <w:rPr>
      <w:rFonts w:ascii="Times New Roman" w:eastAsia="宋体" w:hAnsi="Times New Roman" w:cs="Times New Roman"/>
      <w:sz w:val="18"/>
      <w:szCs w:val="18"/>
    </w:rPr>
  </w:style>
  <w:style w:type="character" w:customStyle="1" w:styleId="Char">
    <w:name w:val="批注文字 Char"/>
    <w:basedOn w:val="a0"/>
    <w:link w:val="a3"/>
    <w:uiPriority w:val="99"/>
    <w:qFormat/>
    <w:rPr>
      <w:rFonts w:ascii="Times New Roman" w:eastAsia="宋体" w:hAnsi="Times New Roman" w:cs="Times New Roman"/>
      <w:szCs w:val="24"/>
    </w:rPr>
  </w:style>
  <w:style w:type="character" w:customStyle="1" w:styleId="Char5">
    <w:name w:val="批注主题 Char"/>
    <w:basedOn w:val="Char"/>
    <w:link w:val="aa"/>
    <w:uiPriority w:val="99"/>
    <w:semiHidden/>
    <w:rPr>
      <w:rFonts w:ascii="Times New Roman" w:eastAsia="宋体" w:hAnsi="Times New Roman" w:cs="Times New Roman"/>
      <w:b/>
      <w:bCs/>
      <w:szCs w:val="24"/>
    </w:rPr>
  </w:style>
  <w:style w:type="table" w:customStyle="1" w:styleId="TableGrid">
    <w:name w:val="TableGrid"/>
    <w:tblPr>
      <w:tblCellMar>
        <w:top w:w="0" w:type="dxa"/>
        <w:left w:w="0" w:type="dxa"/>
        <w:bottom w:w="0" w:type="dxa"/>
        <w:right w:w="0" w:type="dxa"/>
      </w:tblCellMar>
    </w:tbl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Char0">
    <w:name w:val="正文文本 Char"/>
    <w:basedOn w:val="a0"/>
    <w:link w:val="a4"/>
    <w:uiPriority w:val="1"/>
    <w:rPr>
      <w:rFonts w:ascii="宋体" w:eastAsia="宋体" w:hAnsi="宋体"/>
      <w:kern w:val="0"/>
      <w:sz w:val="24"/>
      <w:szCs w:val="24"/>
      <w:lang w:eastAsia="en-US"/>
    </w:rPr>
  </w:style>
  <w:style w:type="character" w:customStyle="1" w:styleId="1Char">
    <w:name w:val="标题 1 Char"/>
    <w:basedOn w:val="a0"/>
    <w:link w:val="1"/>
    <w:uiPriority w:val="9"/>
    <w:rPr>
      <w:b/>
      <w:bCs/>
      <w:kern w:val="44"/>
      <w:sz w:val="44"/>
      <w:szCs w:val="44"/>
    </w:rPr>
  </w:style>
  <w:style w:type="character" w:customStyle="1" w:styleId="005Char">
    <w:name w:val="005正文 Char"/>
    <w:link w:val="005"/>
    <w:locked/>
  </w:style>
  <w:style w:type="paragraph" w:customStyle="1" w:styleId="005">
    <w:name w:val="005正文"/>
    <w:basedOn w:val="a"/>
    <w:link w:val="005Char"/>
    <w:qFormat/>
    <w:pPr>
      <w:spacing w:beforeLines="50" w:line="360" w:lineRule="auto"/>
      <w:ind w:firstLineChars="200" w:firstLine="200"/>
    </w:pPr>
    <w:rPr>
      <w:rFonts w:asciiTheme="minorHAnsi" w:eastAsiaTheme="minorEastAsia" w:hAnsiTheme="minorHAnsi" w:cstheme="minorBidi"/>
      <w:szCs w:val="22"/>
    </w:rPr>
  </w:style>
  <w:style w:type="paragraph" w:customStyle="1" w:styleId="10">
    <w:name w:val="修订1"/>
    <w:hidden/>
    <w:uiPriority w:val="99"/>
    <w:semiHidden/>
    <w:rPr>
      <w:rFonts w:ascii="Times New Roman" w:eastAsia="宋体" w:hAnsi="Times New Roman" w:cs="Times New Roman"/>
      <w:kern w:val="2"/>
      <w:sz w:val="21"/>
      <w:szCs w:val="24"/>
    </w:rPr>
  </w:style>
  <w:style w:type="character" w:customStyle="1" w:styleId="4Char">
    <w:name w:val="标题 4 Char"/>
    <w:basedOn w:val="a0"/>
    <w:link w:val="4"/>
    <w:uiPriority w:val="9"/>
    <w:rPr>
      <w:rFonts w:ascii="宋体" w:eastAsia="宋体" w:hAnsi="宋体" w:cs="宋体"/>
      <w:b/>
      <w:bCs/>
      <w:kern w:val="0"/>
      <w:sz w:val="24"/>
      <w:szCs w:val="24"/>
    </w:rPr>
  </w:style>
  <w:style w:type="character" w:customStyle="1" w:styleId="HTMLChar">
    <w:name w:val="HTML 预设格式 Char"/>
    <w:basedOn w:val="a0"/>
    <w:link w:val="HTML"/>
    <w:uiPriority w:val="99"/>
    <w:semiHidden/>
    <w:rPr>
      <w:rFonts w:ascii="宋体" w:eastAsia="宋体" w:hAnsi="宋体" w:cs="宋体"/>
      <w:kern w:val="0"/>
      <w:sz w:val="24"/>
      <w:szCs w:val="24"/>
    </w:rPr>
  </w:style>
  <w:style w:type="paragraph" w:customStyle="1" w:styleId="Style6">
    <w:name w:val="_Style 6"/>
    <w:basedOn w:val="a"/>
    <w:uiPriority w:val="34"/>
    <w:qFormat/>
    <w:pPr>
      <w:ind w:firstLineChars="200" w:firstLine="420"/>
    </w:pPr>
    <w:rPr>
      <w:rFonts w:ascii="Calibri" w:hAnsi="Calibri"/>
      <w:szCs w:val="22"/>
    </w:rPr>
  </w:style>
  <w:style w:type="character" w:customStyle="1" w:styleId="wxtextunderline">
    <w:name w:val="wx_text_underline"/>
    <w:basedOn w:val="a0"/>
  </w:style>
  <w:style w:type="character" w:customStyle="1" w:styleId="wxsearchkeywordwrap">
    <w:name w:val="wx_search_keyword_wra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06D14-3B7A-4579-B55A-9D11CB45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 ch</dc:creator>
  <cp:lastModifiedBy>余萱</cp:lastModifiedBy>
  <cp:revision>3</cp:revision>
  <cp:lastPrinted>2024-08-21T06:15:00Z</cp:lastPrinted>
  <dcterms:created xsi:type="dcterms:W3CDTF">2025-03-04T08:28:00Z</dcterms:created>
  <dcterms:modified xsi:type="dcterms:W3CDTF">2025-03-04T08:35:00Z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eyJoZGlkIjoiZDcyNDZhNGI3MzA2ODg5ZjA3NTU0OGZjNWEzMGZkYTYiLCJ1c2VySWQiOiIzNjE5MDk5MTQifQ==</vt:lpwstr>
  </property>
  <property fmtid="{D5CDD505-2E9C-101B-9397-08002B2CF9AE}" pid="3" name="KSOProductBuildVer">
    <vt:lpwstr>2052-12.1.0.19770</vt:lpwstr>
  </property>
  <property fmtid="{D5CDD505-2E9C-101B-9397-08002B2CF9AE}" pid="4" name="ICV">
    <vt:lpwstr>E067C2D67CF0433F8A93C6E9B874C4FA_12</vt:lpwstr>
  </property>
</Properties>
</file>