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56EA6">
      <w:pPr>
        <w:pStyle w:val="14"/>
        <w:jc w:val="center"/>
        <w:rPr>
          <w:rFonts w:hint="eastAsia" w:ascii="宋体" w:hAnsi="宋体" w:eastAsia="宋体" w:cs="宋体"/>
          <w:b/>
          <w:bCs/>
          <w:color w:val="auto"/>
          <w:szCs w:val="28"/>
        </w:rPr>
      </w:pPr>
      <w:r>
        <w:rPr>
          <w:rFonts w:hint="eastAsia" w:ascii="宋体" w:hAnsi="宋体" w:eastAsia="宋体" w:cs="宋体"/>
          <w:b/>
          <w:bCs/>
          <w:color w:val="auto"/>
          <w:szCs w:val="28"/>
          <w:lang w:eastAsia="zh-Hans"/>
        </w:rPr>
        <w:t>金科环境</w:t>
      </w:r>
      <w:r>
        <w:rPr>
          <w:rFonts w:hint="eastAsia" w:ascii="宋体" w:hAnsi="宋体" w:eastAsia="宋体" w:cs="宋体"/>
          <w:b/>
          <w:bCs/>
          <w:color w:val="auto"/>
          <w:szCs w:val="28"/>
        </w:rPr>
        <w:t>股份有限公司</w:t>
      </w:r>
    </w:p>
    <w:p w14:paraId="29E2CA38">
      <w:pPr>
        <w:pStyle w:val="14"/>
        <w:jc w:val="center"/>
        <w:rPr>
          <w:rFonts w:hint="eastAsia" w:ascii="宋体" w:hAnsi="宋体" w:eastAsia="宋体" w:cs="宋体"/>
          <w:b/>
          <w:bCs/>
          <w:color w:val="auto"/>
          <w:szCs w:val="28"/>
        </w:rPr>
      </w:pPr>
      <w:r>
        <w:rPr>
          <w:rFonts w:hint="eastAsia" w:ascii="宋体" w:hAnsi="宋体" w:eastAsia="宋体" w:cs="宋体"/>
          <w:b/>
          <w:bCs/>
          <w:color w:val="auto"/>
          <w:szCs w:val="28"/>
        </w:rPr>
        <w:t>投资者关系活动记录表</w:t>
      </w:r>
    </w:p>
    <w:p w14:paraId="7C74A02E">
      <w:pPr>
        <w:wordWrap w:val="0"/>
        <w:jc w:val="right"/>
        <w:rPr>
          <w:rFonts w:hint="eastAsia" w:ascii="宋体" w:hAnsi="宋体" w:eastAsia="宋体" w:cs="Times New Roman"/>
          <w:sz w:val="24"/>
        </w:rPr>
      </w:pPr>
      <w:r>
        <w:rPr>
          <w:rFonts w:hint="eastAsia" w:ascii="宋体" w:hAnsi="宋体" w:eastAsia="宋体" w:cs="Times New Roman"/>
        </w:rPr>
        <w:t xml:space="preserve"> </w:t>
      </w:r>
      <w:r>
        <w:rPr>
          <w:rFonts w:ascii="宋体" w:hAnsi="宋体" w:eastAsia="宋体" w:cs="Times New Roman"/>
        </w:rPr>
        <w:t xml:space="preserve"> </w:t>
      </w:r>
      <w:r>
        <w:rPr>
          <w:rFonts w:hint="eastAsia" w:ascii="宋体" w:hAnsi="宋体" w:eastAsia="宋体" w:cs="Times New Roman"/>
        </w:rPr>
        <w:t>编号</w:t>
      </w:r>
      <w:r>
        <w:rPr>
          <w:rFonts w:ascii="宋体" w:hAnsi="宋体" w:eastAsia="宋体" w:cs="Times New Roman"/>
        </w:rPr>
        <w:t>：</w:t>
      </w:r>
      <w:r>
        <w:rPr>
          <w:rFonts w:hint="eastAsia" w:ascii="宋体" w:hAnsi="宋体" w:eastAsia="宋体" w:cs="Times New Roman"/>
        </w:rPr>
        <w:t>2</w:t>
      </w:r>
      <w:r>
        <w:rPr>
          <w:rFonts w:ascii="宋体" w:hAnsi="宋体" w:eastAsia="宋体" w:cs="Times New Roman"/>
        </w:rPr>
        <w:t>02</w:t>
      </w:r>
      <w:r>
        <w:rPr>
          <w:rFonts w:hint="eastAsia" w:ascii="宋体" w:hAnsi="宋体" w:eastAsia="宋体" w:cs="Times New Roman"/>
        </w:rPr>
        <w:t>5-01</w:t>
      </w:r>
    </w:p>
    <w:tbl>
      <w:tblPr>
        <w:tblStyle w:val="15"/>
        <w:tblW w:w="907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4"/>
        <w:gridCol w:w="7229"/>
      </w:tblGrid>
      <w:tr w14:paraId="3C3C5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trPr>
        <w:tc>
          <w:tcPr>
            <w:tcW w:w="1844" w:type="dxa"/>
            <w:vAlign w:val="center"/>
          </w:tcPr>
          <w:p w14:paraId="2131FCC0">
            <w:pPr>
              <w:jc w:val="center"/>
              <w:rPr>
                <w:rFonts w:hint="eastAsia" w:ascii="宋体" w:hAnsi="宋体" w:eastAsia="宋体" w:cs="Times New Roman"/>
                <w:b/>
                <w:bCs/>
                <w:szCs w:val="21"/>
              </w:rPr>
            </w:pPr>
            <w:r>
              <w:rPr>
                <w:rFonts w:hint="eastAsia" w:ascii="宋体" w:hAnsi="宋体" w:eastAsia="宋体" w:cs="Times New Roman"/>
                <w:b/>
                <w:bCs/>
                <w:szCs w:val="21"/>
              </w:rPr>
              <w:t>投资者关系活动类别</w:t>
            </w:r>
          </w:p>
        </w:tc>
        <w:tc>
          <w:tcPr>
            <w:tcW w:w="7229" w:type="dxa"/>
            <w:vAlign w:val="center"/>
          </w:tcPr>
          <w:p w14:paraId="15BA04EE">
            <w:pPr>
              <w:rPr>
                <w:rFonts w:hint="eastAsia" w:ascii="宋体" w:hAnsi="宋体" w:eastAsia="宋体" w:cs="Times New Roman"/>
                <w:szCs w:val="21"/>
              </w:rPr>
            </w:pPr>
            <w:r>
              <w:rPr>
                <w:rFonts w:hint="eastAsia" w:ascii="宋体" w:hAnsi="宋体" w:eastAsia="宋体" w:cs="Times New Roman"/>
                <w:szCs w:val="21"/>
              </w:rPr>
              <w:t xml:space="preserve">□特定对象调研 </w:t>
            </w:r>
            <w:r>
              <w:rPr>
                <w:rFonts w:ascii="宋体" w:hAnsi="宋体" w:eastAsia="宋体" w:cs="Times New Roman"/>
                <w:szCs w:val="21"/>
              </w:rPr>
              <w:t xml:space="preserve">     </w:t>
            </w:r>
            <w:r>
              <w:rPr>
                <w:rFonts w:hint="eastAsia" w:ascii="宋体" w:hAnsi="宋体" w:eastAsia="宋体" w:cs="Times New Roman"/>
                <w:szCs w:val="21"/>
              </w:rPr>
              <w:t>□分析师会议</w:t>
            </w:r>
          </w:p>
          <w:p w14:paraId="1C5BD443">
            <w:pPr>
              <w:autoSpaceDE w:val="0"/>
              <w:autoSpaceDN w:val="0"/>
              <w:rPr>
                <w:rFonts w:hint="eastAsia" w:ascii="宋体" w:hAnsi="宋体" w:eastAsia="宋体" w:cs="Noto Sans CJK JP Regular"/>
                <w:kern w:val="0"/>
                <w:szCs w:val="21"/>
              </w:rPr>
            </w:pPr>
            <w:r>
              <w:rPr>
                <w:rFonts w:hint="eastAsia" w:ascii="宋体" w:hAnsi="宋体" w:eastAsia="宋体" w:cs="Times New Roman"/>
                <w:szCs w:val="21"/>
              </w:rPr>
              <w:t>□</w:t>
            </w:r>
            <w:r>
              <w:rPr>
                <w:rFonts w:hint="eastAsia" w:ascii="宋体" w:hAnsi="宋体" w:eastAsia="宋体" w:cs="Noto Sans CJK JP Regular"/>
                <w:kern w:val="0"/>
                <w:szCs w:val="21"/>
              </w:rPr>
              <w:t xml:space="preserve">媒体采访 </w:t>
            </w:r>
            <w:r>
              <w:rPr>
                <w:rFonts w:ascii="宋体" w:hAnsi="宋体" w:eastAsia="宋体" w:cs="Noto Sans CJK JP Regular"/>
                <w:kern w:val="0"/>
                <w:szCs w:val="21"/>
              </w:rPr>
              <w:t xml:space="preserve">         </w:t>
            </w:r>
            <w:r>
              <w:rPr>
                <w:rFonts w:hint="eastAsia" w:ascii="宋体" w:hAnsi="宋体" w:eastAsia="宋体" w:cs="Times New Roman"/>
                <w:szCs w:val="21"/>
              </w:rPr>
              <w:t>□</w:t>
            </w:r>
            <w:r>
              <w:rPr>
                <w:rFonts w:hint="eastAsia" w:ascii="宋体" w:hAnsi="宋体" w:eastAsia="宋体" w:cs="Noto Sans CJK JP Regular"/>
                <w:kern w:val="0"/>
                <w:szCs w:val="21"/>
              </w:rPr>
              <w:t>业绩说明会</w:t>
            </w:r>
          </w:p>
          <w:p w14:paraId="09EAD1DB">
            <w:pPr>
              <w:autoSpaceDE w:val="0"/>
              <w:autoSpaceDN w:val="0"/>
              <w:rPr>
                <w:rFonts w:hint="eastAsia" w:ascii="宋体" w:hAnsi="宋体" w:eastAsia="宋体" w:cs="Noto Sans CJK JP Regular"/>
                <w:kern w:val="0"/>
                <w:szCs w:val="21"/>
              </w:rPr>
            </w:pPr>
            <w:r>
              <w:rPr>
                <w:rFonts w:hint="eastAsia" w:ascii="宋体" w:hAnsi="宋体" w:eastAsia="宋体" w:cs="Noto Sans CJK JP Regular"/>
                <w:kern w:val="0"/>
                <w:szCs w:val="21"/>
              </w:rPr>
              <w:t xml:space="preserve">□新闻发布会 </w:t>
            </w:r>
            <w:r>
              <w:rPr>
                <w:rFonts w:ascii="宋体" w:hAnsi="宋体" w:eastAsia="宋体" w:cs="Noto Sans CJK JP Regular"/>
                <w:kern w:val="0"/>
                <w:szCs w:val="21"/>
              </w:rPr>
              <w:t xml:space="preserve">       </w:t>
            </w:r>
            <w:r>
              <w:rPr>
                <w:rFonts w:hint="eastAsia" w:ascii="宋体" w:hAnsi="宋体" w:eastAsia="宋体" w:cs="Times New Roman"/>
                <w:szCs w:val="21"/>
              </w:rPr>
              <w:t>□</w:t>
            </w:r>
            <w:r>
              <w:rPr>
                <w:rFonts w:hint="eastAsia" w:ascii="宋体" w:hAnsi="宋体" w:eastAsia="宋体" w:cs="Noto Sans CJK JP Regular"/>
                <w:kern w:val="0"/>
                <w:szCs w:val="21"/>
              </w:rPr>
              <w:t>路演活动</w:t>
            </w:r>
          </w:p>
          <w:p w14:paraId="108164ED">
            <w:pPr>
              <w:rPr>
                <w:rFonts w:hint="eastAsia" w:ascii="宋体" w:hAnsi="宋体" w:eastAsia="宋体" w:cs="Times New Roman"/>
                <w:szCs w:val="21"/>
              </w:rPr>
            </w:pPr>
            <w:r>
              <w:rPr>
                <w:rFonts w:hint="eastAsia" w:ascii="宋体" w:hAnsi="宋体" w:eastAsia="宋体" w:cs="Times New Roman"/>
                <w:szCs w:val="21"/>
              </w:rPr>
              <w:t>□现场参观</w:t>
            </w:r>
          </w:p>
          <w:p w14:paraId="4F098B93">
            <w:pPr>
              <w:rPr>
                <w:rFonts w:hint="eastAsia" w:ascii="宋体" w:hAnsi="宋体" w:eastAsia="宋体" w:cs="Times New Roman"/>
                <w:szCs w:val="21"/>
              </w:rPr>
            </w:pPr>
            <w:r>
              <w:rPr>
                <w:rFonts w:hint="eastAsia" w:ascii="宋体" w:hAnsi="宋体" w:eastAsia="宋体" w:cs="Times New Roman"/>
                <w:szCs w:val="21"/>
              </w:rPr>
              <w:t>√其他（券商策略会）</w:t>
            </w:r>
          </w:p>
        </w:tc>
      </w:tr>
      <w:tr w14:paraId="02276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2" w:hRule="atLeast"/>
        </w:trPr>
        <w:tc>
          <w:tcPr>
            <w:tcW w:w="1844" w:type="dxa"/>
            <w:vAlign w:val="center"/>
          </w:tcPr>
          <w:p w14:paraId="720BAA4A">
            <w:pPr>
              <w:jc w:val="center"/>
              <w:rPr>
                <w:rFonts w:hint="eastAsia" w:ascii="宋体" w:hAnsi="宋体" w:eastAsia="宋体" w:cs="Times New Roman"/>
                <w:b/>
                <w:bCs/>
                <w:szCs w:val="21"/>
              </w:rPr>
            </w:pPr>
            <w:r>
              <w:rPr>
                <w:rFonts w:hint="eastAsia" w:ascii="宋体" w:hAnsi="宋体" w:eastAsia="宋体" w:cs="Times New Roman"/>
                <w:b/>
                <w:bCs/>
                <w:szCs w:val="21"/>
              </w:rPr>
              <w:t>参与</w:t>
            </w:r>
            <w:r>
              <w:rPr>
                <w:rFonts w:ascii="宋体" w:hAnsi="宋体" w:eastAsia="宋体" w:cs="Times New Roman"/>
                <w:b/>
                <w:bCs/>
                <w:szCs w:val="21"/>
              </w:rPr>
              <w:t>单位</w:t>
            </w:r>
          </w:p>
        </w:tc>
        <w:tc>
          <w:tcPr>
            <w:tcW w:w="7229" w:type="dxa"/>
            <w:vAlign w:val="center"/>
          </w:tcPr>
          <w:p w14:paraId="2D2A5204">
            <w:pPr>
              <w:rPr>
                <w:rFonts w:hint="eastAsia" w:ascii="宋体" w:hAnsi="宋体" w:eastAsia="宋体" w:cs="Times New Roman"/>
                <w:szCs w:val="21"/>
              </w:rPr>
            </w:pPr>
            <w:r>
              <w:rPr>
                <w:rFonts w:hint="eastAsia" w:ascii="宋体" w:hAnsi="宋体" w:eastAsia="宋体" w:cs="Times New Roman"/>
                <w:szCs w:val="21"/>
              </w:rPr>
              <w:t>广发证券股份有限公司、银华基金管理股份有限公司、博远基金管理有限公司、同泰基金管理有限公司、上海勤辰私募基金管理合伙企业（有限合伙）、中英人寿保险有限公司</w:t>
            </w:r>
            <w:r>
              <w:rPr>
                <w:rFonts w:hint="eastAsia" w:ascii="宋体" w:hAnsi="宋体" w:eastAsia="宋体" w:cs="Times New Roman"/>
                <w:szCs w:val="21"/>
                <w:lang w:eastAsia="zh-CN"/>
              </w:rPr>
              <w:t>、</w:t>
            </w:r>
            <w:r>
              <w:rPr>
                <w:rFonts w:hint="eastAsia" w:ascii="宋体" w:hAnsi="宋体" w:eastAsia="宋体" w:cs="Times New Roman"/>
                <w:szCs w:val="21"/>
              </w:rPr>
              <w:t>上海泾溪投资管理合伙企业（有限合伙）、海富通基金管理有限公司、厚坡资本（以上排名不分先后）</w:t>
            </w:r>
          </w:p>
        </w:tc>
      </w:tr>
      <w:tr w14:paraId="075D0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844" w:type="dxa"/>
            <w:vAlign w:val="center"/>
          </w:tcPr>
          <w:p w14:paraId="3C9C2018">
            <w:pPr>
              <w:jc w:val="center"/>
              <w:rPr>
                <w:rFonts w:hint="eastAsia" w:ascii="宋体" w:hAnsi="宋体" w:eastAsia="宋体" w:cs="Times New Roman"/>
                <w:b/>
                <w:bCs/>
                <w:szCs w:val="21"/>
              </w:rPr>
            </w:pPr>
            <w:r>
              <w:rPr>
                <w:rFonts w:hint="eastAsia" w:ascii="宋体" w:hAnsi="宋体" w:eastAsia="宋体" w:cs="Times New Roman"/>
                <w:b/>
                <w:bCs/>
                <w:szCs w:val="21"/>
              </w:rPr>
              <w:t>公司</w:t>
            </w:r>
            <w:r>
              <w:rPr>
                <w:rFonts w:ascii="宋体" w:hAnsi="宋体" w:eastAsia="宋体" w:cs="Times New Roman"/>
                <w:b/>
                <w:bCs/>
                <w:szCs w:val="21"/>
              </w:rPr>
              <w:t>接待人员姓名</w:t>
            </w:r>
            <w:r>
              <w:rPr>
                <w:rFonts w:hint="eastAsia" w:ascii="宋体" w:hAnsi="宋体" w:eastAsia="宋体" w:cs="Times New Roman"/>
                <w:b/>
                <w:bCs/>
                <w:szCs w:val="21"/>
              </w:rPr>
              <w:t>及职务</w:t>
            </w:r>
          </w:p>
        </w:tc>
        <w:tc>
          <w:tcPr>
            <w:tcW w:w="7229" w:type="dxa"/>
            <w:vAlign w:val="center"/>
          </w:tcPr>
          <w:p w14:paraId="592E7268">
            <w:pPr>
              <w:rPr>
                <w:rFonts w:hint="eastAsia" w:ascii="宋体" w:hAnsi="宋体" w:eastAsia="宋体" w:cs="Times New Roman"/>
                <w:szCs w:val="21"/>
              </w:rPr>
            </w:pPr>
            <w:r>
              <w:rPr>
                <w:rFonts w:hint="eastAsia" w:ascii="宋体" w:hAnsi="宋体" w:eastAsia="宋体" w:cs="Times New Roman"/>
                <w:szCs w:val="21"/>
              </w:rPr>
              <w:t>公司副总经理、董事会秘书</w:t>
            </w:r>
            <w:r>
              <w:rPr>
                <w:rFonts w:hint="eastAsia" w:ascii="宋体" w:hAnsi="宋体" w:eastAsia="宋体" w:cs="Times New Roman"/>
                <w:szCs w:val="21"/>
                <w:lang w:eastAsia="zh-Hans"/>
              </w:rPr>
              <w:t>陈安娜</w:t>
            </w:r>
            <w:r>
              <w:rPr>
                <w:rFonts w:hint="eastAsia" w:ascii="宋体" w:hAnsi="宋体" w:eastAsia="宋体" w:cs="Times New Roman"/>
                <w:szCs w:val="21"/>
              </w:rPr>
              <w:t>女士，</w:t>
            </w:r>
          </w:p>
          <w:p w14:paraId="1C4B1478">
            <w:pPr>
              <w:rPr>
                <w:rFonts w:hint="eastAsia" w:ascii="宋体" w:hAnsi="宋体" w:eastAsia="宋体" w:cs="Times New Roman"/>
                <w:szCs w:val="21"/>
              </w:rPr>
            </w:pPr>
            <w:r>
              <w:rPr>
                <w:rFonts w:hint="eastAsia" w:ascii="宋体" w:hAnsi="宋体" w:eastAsia="宋体" w:cs="Times New Roman"/>
                <w:szCs w:val="21"/>
              </w:rPr>
              <w:t>数字科技事业部负责人王晓宇先生；</w:t>
            </w:r>
          </w:p>
        </w:tc>
      </w:tr>
      <w:tr w14:paraId="1996F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844" w:type="dxa"/>
            <w:vAlign w:val="center"/>
          </w:tcPr>
          <w:p w14:paraId="17A8BFE4">
            <w:pPr>
              <w:jc w:val="center"/>
              <w:rPr>
                <w:rFonts w:hint="eastAsia" w:ascii="宋体" w:hAnsi="宋体" w:eastAsia="宋体" w:cs="Times New Roman"/>
                <w:b/>
                <w:bCs/>
                <w:szCs w:val="21"/>
              </w:rPr>
            </w:pPr>
            <w:r>
              <w:rPr>
                <w:rFonts w:hint="eastAsia" w:ascii="宋体" w:hAnsi="宋体" w:eastAsia="宋体" w:cs="Times New Roman"/>
                <w:b/>
                <w:bCs/>
                <w:szCs w:val="21"/>
              </w:rPr>
              <w:t>时间</w:t>
            </w:r>
          </w:p>
        </w:tc>
        <w:tc>
          <w:tcPr>
            <w:tcW w:w="7229" w:type="dxa"/>
            <w:vAlign w:val="center"/>
          </w:tcPr>
          <w:p w14:paraId="3FD64161">
            <w:pPr>
              <w:rPr>
                <w:rFonts w:hint="eastAsia" w:ascii="宋体" w:hAnsi="宋体" w:eastAsia="宋体" w:cs="Times New Roman"/>
                <w:szCs w:val="21"/>
              </w:rPr>
            </w:pPr>
            <w:bookmarkStart w:id="0" w:name="OLE_LINK2"/>
            <w:bookmarkStart w:id="1" w:name="OLE_LINK1"/>
            <w:r>
              <w:rPr>
                <w:rFonts w:hint="eastAsia" w:ascii="宋体" w:hAnsi="宋体" w:eastAsia="宋体" w:cs="Times New Roman"/>
                <w:szCs w:val="21"/>
              </w:rPr>
              <w:t>2</w:t>
            </w:r>
            <w:r>
              <w:rPr>
                <w:rFonts w:ascii="宋体" w:hAnsi="宋体" w:eastAsia="宋体" w:cs="Times New Roman"/>
                <w:szCs w:val="21"/>
              </w:rPr>
              <w:t>02</w:t>
            </w:r>
            <w:r>
              <w:rPr>
                <w:rFonts w:hint="eastAsia" w:ascii="宋体" w:hAnsi="宋体" w:eastAsia="宋体" w:cs="Times New Roman"/>
                <w:szCs w:val="21"/>
              </w:rPr>
              <w:t>5年2月</w:t>
            </w:r>
            <w:bookmarkEnd w:id="0"/>
            <w:bookmarkEnd w:id="1"/>
            <w:r>
              <w:rPr>
                <w:rFonts w:ascii="宋体" w:hAnsi="宋体" w:eastAsia="宋体" w:cs="Times New Roman"/>
                <w:szCs w:val="21"/>
              </w:rPr>
              <w:t>2</w:t>
            </w:r>
            <w:r>
              <w:rPr>
                <w:rFonts w:hint="eastAsia" w:ascii="宋体" w:hAnsi="宋体" w:eastAsia="宋体" w:cs="Times New Roman"/>
                <w:szCs w:val="21"/>
              </w:rPr>
              <w:t>7</w:t>
            </w:r>
            <w:r>
              <w:rPr>
                <w:rFonts w:ascii="宋体" w:hAnsi="宋体" w:eastAsia="宋体" w:cs="Times New Roman"/>
                <w:szCs w:val="21"/>
              </w:rPr>
              <w:t>日</w:t>
            </w:r>
          </w:p>
        </w:tc>
      </w:tr>
      <w:tr w14:paraId="19E6D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844" w:type="dxa"/>
            <w:vAlign w:val="center"/>
          </w:tcPr>
          <w:p w14:paraId="50BCD302">
            <w:pPr>
              <w:jc w:val="center"/>
              <w:rPr>
                <w:rFonts w:hint="eastAsia" w:ascii="宋体" w:hAnsi="宋体" w:eastAsia="宋体" w:cs="Times New Roman"/>
                <w:b/>
                <w:bCs/>
                <w:szCs w:val="21"/>
              </w:rPr>
            </w:pPr>
            <w:r>
              <w:rPr>
                <w:rFonts w:hint="eastAsia" w:ascii="宋体" w:hAnsi="宋体" w:eastAsia="宋体" w:cs="Times New Roman"/>
                <w:b/>
                <w:bCs/>
                <w:szCs w:val="21"/>
              </w:rPr>
              <w:t>地点</w:t>
            </w:r>
          </w:p>
        </w:tc>
        <w:tc>
          <w:tcPr>
            <w:tcW w:w="7229" w:type="dxa"/>
            <w:vAlign w:val="center"/>
          </w:tcPr>
          <w:p w14:paraId="76F7C253">
            <w:pPr>
              <w:rPr>
                <w:rFonts w:hint="eastAsia" w:ascii="宋体" w:hAnsi="宋体" w:eastAsia="宋体" w:cs="Times New Roman"/>
                <w:szCs w:val="21"/>
              </w:rPr>
            </w:pPr>
            <w:r>
              <w:rPr>
                <w:rFonts w:hint="eastAsia" w:ascii="宋体" w:hAnsi="宋体" w:eastAsia="宋体" w:cs="Times New Roman"/>
                <w:szCs w:val="21"/>
              </w:rPr>
              <w:t>电话会议</w:t>
            </w:r>
          </w:p>
        </w:tc>
      </w:tr>
      <w:tr w14:paraId="3A0AC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44" w:type="dxa"/>
            <w:vAlign w:val="center"/>
          </w:tcPr>
          <w:p w14:paraId="4815F51F">
            <w:pPr>
              <w:jc w:val="center"/>
              <w:rPr>
                <w:rFonts w:hint="eastAsia" w:ascii="宋体" w:hAnsi="宋体" w:eastAsia="宋体" w:cs="Times New Roman"/>
                <w:b/>
                <w:bCs/>
                <w:szCs w:val="21"/>
              </w:rPr>
            </w:pPr>
            <w:r>
              <w:rPr>
                <w:rFonts w:hint="eastAsia" w:ascii="宋体" w:hAnsi="宋体" w:eastAsia="宋体" w:cs="Times New Roman"/>
                <w:b/>
                <w:bCs/>
                <w:szCs w:val="21"/>
              </w:rPr>
              <w:t>投资</w:t>
            </w:r>
            <w:r>
              <w:rPr>
                <w:rFonts w:ascii="宋体" w:hAnsi="宋体" w:eastAsia="宋体" w:cs="Times New Roman"/>
                <w:b/>
                <w:bCs/>
                <w:szCs w:val="21"/>
              </w:rPr>
              <w:t>者关系活动</w:t>
            </w:r>
            <w:r>
              <w:rPr>
                <w:rFonts w:hint="eastAsia" w:ascii="宋体" w:hAnsi="宋体" w:eastAsia="宋体" w:cs="Times New Roman"/>
                <w:b/>
                <w:bCs/>
                <w:szCs w:val="21"/>
              </w:rPr>
              <w:t>主要</w:t>
            </w:r>
            <w:r>
              <w:rPr>
                <w:rFonts w:ascii="宋体" w:hAnsi="宋体" w:eastAsia="宋体" w:cs="Times New Roman"/>
                <w:b/>
                <w:bCs/>
                <w:szCs w:val="21"/>
              </w:rPr>
              <w:t>内容</w:t>
            </w:r>
            <w:r>
              <w:rPr>
                <w:rFonts w:hint="eastAsia" w:ascii="宋体" w:hAnsi="宋体" w:eastAsia="宋体" w:cs="Times New Roman"/>
                <w:b/>
                <w:bCs/>
                <w:szCs w:val="21"/>
              </w:rPr>
              <w:t>介绍</w:t>
            </w:r>
          </w:p>
        </w:tc>
        <w:tc>
          <w:tcPr>
            <w:tcW w:w="7229" w:type="dxa"/>
          </w:tcPr>
          <w:p w14:paraId="2C9578DC">
            <w:pPr>
              <w:spacing w:before="120" w:after="120"/>
              <w:ind w:firstLine="422" w:firstLineChars="200"/>
              <w:jc w:val="left"/>
              <w:outlineLvl w:val="0"/>
              <w:rPr>
                <w:rFonts w:hint="eastAsia" w:ascii="宋体" w:hAnsi="宋体" w:eastAsia="宋体"/>
                <w:b/>
                <w:szCs w:val="21"/>
              </w:rPr>
            </w:pPr>
            <w:r>
              <w:rPr>
                <w:rFonts w:hint="eastAsia" w:ascii="宋体" w:hAnsi="宋体" w:eastAsia="宋体"/>
                <w:b/>
                <w:szCs w:val="21"/>
              </w:rPr>
              <w:t>一、公司介绍</w:t>
            </w:r>
          </w:p>
          <w:p w14:paraId="7555355A">
            <w:pPr>
              <w:widowControl/>
              <w:spacing w:line="276"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金科环境股份有限公司（以下简称“公司”）</w:t>
            </w:r>
            <w:r>
              <w:rPr>
                <w:rFonts w:ascii="宋体" w:hAnsi="宋体" w:eastAsia="宋体" w:cs="宋体"/>
                <w:kern w:val="0"/>
                <w:szCs w:val="21"/>
              </w:rPr>
              <w:t>定位“水的深度处理和污废水资源化专家”，围绕“安全+高效”即“水质达标、水量达标、投资成本低、运行成本低”的核心目标，对软件及硬件产品持续研发迭代，不断提升装备产品智能化水平，为客户水系统提供专业解决方案、智能装备</w:t>
            </w:r>
            <w:r>
              <w:rPr>
                <w:rFonts w:hint="eastAsia" w:ascii="宋体" w:hAnsi="宋体" w:eastAsia="宋体" w:cs="宋体"/>
                <w:kern w:val="0"/>
                <w:szCs w:val="21"/>
                <w:lang w:eastAsia="zh-CN"/>
              </w:rPr>
              <w:t>，</w:t>
            </w:r>
            <w:r>
              <w:rPr>
                <w:rFonts w:ascii="宋体" w:hAnsi="宋体" w:eastAsia="宋体" w:cs="宋体"/>
                <w:kern w:val="0"/>
                <w:szCs w:val="21"/>
              </w:rPr>
              <w:t>以及线上&amp;线下运维服务。</w:t>
            </w:r>
          </w:p>
          <w:p w14:paraId="5F91CD5D">
            <w:pPr>
              <w:widowControl/>
              <w:spacing w:line="276"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公司是国内最早一批采用BIM做设计的企业，</w:t>
            </w:r>
            <w:r>
              <w:rPr>
                <w:rFonts w:ascii="宋体" w:hAnsi="宋体" w:eastAsia="宋体" w:cs="宋体"/>
                <w:kern w:val="0"/>
                <w:szCs w:val="21"/>
              </w:rPr>
              <w:t>从2014年</w:t>
            </w:r>
            <w:r>
              <w:rPr>
                <w:rFonts w:hint="eastAsia" w:ascii="宋体" w:hAnsi="宋体" w:eastAsia="宋体" w:cs="宋体"/>
                <w:kern w:val="0"/>
                <w:szCs w:val="21"/>
              </w:rPr>
              <w:t>开始采用BIM设计之后</w:t>
            </w:r>
            <w:r>
              <w:rPr>
                <w:rFonts w:hint="eastAsia" w:ascii="宋体" w:hAnsi="宋体" w:eastAsia="宋体" w:cs="宋体"/>
                <w:kern w:val="0"/>
                <w:szCs w:val="21"/>
                <w:lang w:eastAsia="zh-CN"/>
              </w:rPr>
              <w:t>，</w:t>
            </w:r>
            <w:r>
              <w:rPr>
                <w:rFonts w:hint="eastAsia" w:ascii="宋体" w:hAnsi="宋体" w:eastAsia="宋体" w:cs="宋体"/>
                <w:kern w:val="0"/>
                <w:szCs w:val="21"/>
              </w:rPr>
              <w:t>公司交付的水厂都包含数字水厂，即水厂的全量全要素数字镜像；2017年公司开始研发使用水厂数字孪生系统；2021年，公司引入人工智能相关技术，基于数据深度挖掘人工智能在水厂运营端的应用场景，水厂双胞胎软件开始向无人值守、AI运营的方向发展。</w:t>
            </w:r>
          </w:p>
          <w:p w14:paraId="7F18C9D9">
            <w:pPr>
              <w:widowControl/>
              <w:spacing w:line="276" w:lineRule="auto"/>
              <w:ind w:firstLine="420" w:firstLineChars="200"/>
              <w:jc w:val="left"/>
              <w:rPr>
                <w:rFonts w:hint="eastAsia" w:ascii="宋体" w:hAnsi="宋体" w:eastAsia="宋体"/>
                <w:bCs/>
                <w:szCs w:val="21"/>
              </w:rPr>
            </w:pPr>
            <w:r>
              <w:rPr>
                <w:rFonts w:hint="eastAsia" w:ascii="宋体" w:hAnsi="宋体" w:eastAsia="宋体"/>
                <w:bCs/>
                <w:szCs w:val="21"/>
              </w:rPr>
              <w:t>有了AI技术的加持，公司以工业产品思维颠覆传统水厂的工程建设模式，基于在水深度处理和污废水资源化领域的20年百余个项目的实施经验和数据积累，将水厂设计、设备制造、工程建设和运营管理的knowhow固化在新水岛产品中，应用自主开发基于AI算法的多模态智慧软件，将全厂的设备、设施和建/构筑物集成为一个产品化的智能机组，实现无人值守、高效运行，为工业企业、工业园区、城镇提供高品质水，解决水资源短缺、环境容量不足、水安全、成本高等问题。</w:t>
            </w:r>
          </w:p>
          <w:p w14:paraId="5CD9E6A1">
            <w:pPr>
              <w:widowControl/>
              <w:spacing w:line="276" w:lineRule="auto"/>
              <w:ind w:firstLine="420" w:firstLineChars="200"/>
              <w:jc w:val="left"/>
              <w:rPr>
                <w:rFonts w:hint="eastAsia" w:ascii="宋体" w:hAnsi="宋体" w:eastAsia="宋体"/>
                <w:bCs/>
                <w:szCs w:val="21"/>
              </w:rPr>
            </w:pPr>
            <w:r>
              <w:rPr>
                <w:rFonts w:hint="eastAsia" w:ascii="宋体" w:hAnsi="宋体" w:eastAsia="宋体" w:cs="宋体"/>
                <w:kern w:val="0"/>
                <w:szCs w:val="21"/>
              </w:rPr>
              <w:t>今年，公司把DeepSeek</w:t>
            </w:r>
            <w:r>
              <w:rPr>
                <w:rFonts w:hint="eastAsia" w:ascii="宋体" w:hAnsi="宋体" w:eastAsia="宋体" w:cs="宋体"/>
                <w:kern w:val="0"/>
                <w:szCs w:val="21"/>
                <w:lang w:val="en-US" w:eastAsia="zh-CN"/>
              </w:rPr>
              <w:t>与</w:t>
            </w:r>
            <w:r>
              <w:rPr>
                <w:rFonts w:hint="eastAsia" w:ascii="宋体" w:hAnsi="宋体" w:eastAsia="宋体" w:cs="宋体"/>
                <w:kern w:val="0"/>
                <w:szCs w:val="21"/>
              </w:rPr>
              <w:t>公司自研的模型进行融合，形成了水厂多模态管理大模型</w:t>
            </w: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推出</w:t>
            </w:r>
            <w:r>
              <w:rPr>
                <w:rFonts w:hint="eastAsia" w:ascii="宋体" w:hAnsi="宋体" w:eastAsia="宋体" w:cs="宋体"/>
                <w:kern w:val="0"/>
                <w:szCs w:val="21"/>
              </w:rPr>
              <w:t>“水萝卜”</w:t>
            </w:r>
            <w:r>
              <w:rPr>
                <w:rFonts w:hint="eastAsia" w:ascii="宋体" w:hAnsi="宋体" w:eastAsia="宋体" w:cs="宋体"/>
                <w:kern w:val="0"/>
                <w:szCs w:val="21"/>
                <w:lang w:val="en-US" w:eastAsia="zh-CN"/>
              </w:rPr>
              <w:t>AI智能体。“水萝卜”的</w:t>
            </w:r>
            <w:r>
              <w:rPr>
                <w:rFonts w:hint="eastAsia" w:ascii="宋体" w:hAnsi="宋体" w:eastAsia="宋体" w:cs="宋体"/>
                <w:kern w:val="0"/>
                <w:szCs w:val="21"/>
              </w:rPr>
              <w:t>上线进一步提升了新水岛产品的全天候无人值守运营的能力，从系统的日常自主运行、风险预报、维护到故障处理的每一个环节都无需人工决策，彻底改变了传统水厂的运营模式，在减少运营成本的同时，提升了运营的可靠性和效率。</w:t>
            </w:r>
          </w:p>
          <w:p w14:paraId="15B1FC31">
            <w:pPr>
              <w:widowControl/>
              <w:spacing w:line="276"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新水岛</w:t>
            </w:r>
            <w:r>
              <w:rPr>
                <w:rFonts w:ascii="宋体" w:hAnsi="宋体" w:eastAsia="宋体" w:cs="宋体"/>
                <w:kern w:val="0"/>
                <w:szCs w:val="21"/>
              </w:rPr>
              <w:t>2.0推出后，广受行业及国内外客户关注。公司积极构建新水岛产品销售网络，与浙江新奥能源发展有限公司、锡山环保能源集团有限公司、江苏蓝创智能科技股份有限公司、巴中发展控股集团有限公司、巴中优渥新材料科技有限公司、舟山高新技术产业园区开发建设（集团）有限公司、京津冀国家技术创新中心河北中心、湖南航天环保产业基金管理有限公司、中工环境科技有限公司、山西山安碧泉海绵城市科技有限公司、山西转型综合改革示范区、土耳其Vatek Environmental Technologies、印度尼西亚PT Gapura Liqua Solutions (GLS)等单位达成了合作意向，携手推广新水岛，共同促进政策、产业、金融、科技等方面的深度融合，持续推动环保智能装备的创新发展。</w:t>
            </w:r>
            <w:r>
              <w:rPr>
                <w:rFonts w:hint="eastAsia" w:ascii="宋体" w:hAnsi="宋体" w:eastAsia="宋体" w:cs="宋体"/>
                <w:kern w:val="0"/>
                <w:szCs w:val="21"/>
              </w:rPr>
              <w:t xml:space="preserve"> </w:t>
            </w:r>
          </w:p>
          <w:p w14:paraId="21A185B0">
            <w:pPr>
              <w:widowControl/>
              <w:spacing w:line="276" w:lineRule="auto"/>
              <w:ind w:firstLine="420" w:firstLineChars="200"/>
              <w:jc w:val="left"/>
              <w:rPr>
                <w:rFonts w:hint="eastAsia" w:ascii="宋体" w:hAnsi="宋体" w:eastAsia="宋体" w:cs="宋体"/>
                <w:kern w:val="0"/>
                <w:szCs w:val="21"/>
              </w:rPr>
            </w:pPr>
          </w:p>
          <w:p w14:paraId="4B5E1F2B">
            <w:pPr>
              <w:pStyle w:val="7"/>
              <w:numPr>
                <w:ilvl w:val="0"/>
                <w:numId w:val="1"/>
              </w:numPr>
              <w:ind w:firstLine="422"/>
              <w:rPr>
                <w:rFonts w:hint="eastAsia" w:ascii="宋体" w:hAnsi="宋体" w:eastAsia="宋体"/>
                <w:szCs w:val="21"/>
              </w:rPr>
            </w:pPr>
            <w:r>
              <w:rPr>
                <w:rFonts w:hint="eastAsia" w:ascii="宋体" w:hAnsi="宋体" w:eastAsia="宋体"/>
                <w:b/>
                <w:bCs w:val="0"/>
                <w:szCs w:val="21"/>
              </w:rPr>
              <w:t>交流问答环节</w:t>
            </w:r>
          </w:p>
          <w:p w14:paraId="620E2D08">
            <w:pPr>
              <w:ind w:firstLine="422" w:firstLineChars="200"/>
              <w:rPr>
                <w:rFonts w:hint="eastAsia" w:ascii="宋体" w:hAnsi="宋体" w:eastAsia="宋体"/>
                <w:b/>
                <w:szCs w:val="21"/>
              </w:rPr>
            </w:pPr>
            <w:r>
              <w:rPr>
                <w:rFonts w:hint="eastAsia" w:ascii="宋体" w:hAnsi="宋体" w:eastAsia="宋体"/>
                <w:b/>
                <w:szCs w:val="21"/>
                <w:lang w:val="en-US" w:eastAsia="zh-CN"/>
              </w:rPr>
              <w:t>1.</w:t>
            </w:r>
            <w:r>
              <w:rPr>
                <w:rFonts w:hint="eastAsia" w:ascii="宋体" w:hAnsi="宋体" w:eastAsia="宋体"/>
                <w:b/>
                <w:szCs w:val="21"/>
              </w:rPr>
              <w:t>公司多模态管理模型有什么特点？</w:t>
            </w:r>
          </w:p>
          <w:p w14:paraId="2869F5AF">
            <w:pPr>
              <w:ind w:firstLine="420" w:firstLineChars="200"/>
              <w:rPr>
                <w:rFonts w:hint="eastAsia" w:ascii="宋体" w:hAnsi="宋体" w:eastAsia="宋体"/>
                <w:bCs/>
                <w:szCs w:val="21"/>
              </w:rPr>
            </w:pPr>
            <w:r>
              <w:rPr>
                <w:rFonts w:hint="eastAsia" w:ascii="宋体" w:hAnsi="宋体" w:eastAsia="宋体"/>
                <w:bCs/>
                <w:szCs w:val="21"/>
              </w:rPr>
              <w:t>答：公司多模态管理模型的设计目标是实现水厂的无人值守运营，采用多模型集成的架构设计，即对于重点数据单独设计神经网络模型结构，独立满足相关应用场景。</w:t>
            </w:r>
          </w:p>
          <w:p w14:paraId="336B4001">
            <w:pPr>
              <w:ind w:firstLine="420" w:firstLineChars="200"/>
              <w:rPr>
                <w:rFonts w:hint="eastAsia" w:ascii="宋体" w:hAnsi="宋体" w:eastAsia="宋体"/>
                <w:bCs/>
                <w:szCs w:val="21"/>
              </w:rPr>
            </w:pPr>
            <w:r>
              <w:rPr>
                <w:rFonts w:hint="eastAsia" w:ascii="宋体" w:hAnsi="宋体" w:eastAsia="宋体"/>
                <w:bCs/>
                <w:szCs w:val="21"/>
              </w:rPr>
              <w:t>双膜工艺预报与决策模型主要处理工艺数据，旨在代替工艺技术人员日常工作，保障双膜系统的安全、高效运行；计算机视觉识别模型用于识别水厂内的漏水以及部分人员违规行为事件等；计算机听觉识别模型用于识别加药间泵组工作异常以及双膜车间内的异响事件等，视觉和听觉模型旨在用于代替巡检人员的日常工作。</w:t>
            </w:r>
          </w:p>
          <w:p w14:paraId="7FBCB162">
            <w:pPr>
              <w:ind w:firstLine="420" w:firstLineChars="200"/>
              <w:rPr>
                <w:rFonts w:hint="eastAsia" w:ascii="宋体" w:hAnsi="宋体" w:eastAsia="宋体"/>
                <w:bCs/>
                <w:szCs w:val="21"/>
              </w:rPr>
            </w:pPr>
            <w:r>
              <w:rPr>
                <w:rFonts w:hint="eastAsia" w:ascii="宋体" w:hAnsi="宋体" w:eastAsia="宋体"/>
                <w:bCs/>
                <w:szCs w:val="21"/>
              </w:rPr>
              <w:t>对于其他模态的数据，例如运维数据、电耗数据、药耗数据、成本数据、红外数据、环境数据、产品信息以及行业相关的领域知识等，我们将其与大语言模型融合，更灵活的进行组织和调用。</w:t>
            </w:r>
          </w:p>
          <w:p w14:paraId="5B90EFC9">
            <w:pPr>
              <w:ind w:firstLine="420" w:firstLineChars="200"/>
              <w:rPr>
                <w:rFonts w:hint="eastAsia" w:ascii="宋体" w:hAnsi="宋体" w:eastAsia="宋体"/>
                <w:bCs/>
                <w:szCs w:val="21"/>
              </w:rPr>
            </w:pPr>
            <w:r>
              <w:rPr>
                <w:rFonts w:hint="eastAsia" w:ascii="宋体" w:hAnsi="宋体" w:eastAsia="宋体"/>
                <w:bCs/>
                <w:szCs w:val="21"/>
              </w:rPr>
              <w:t>在与DeepSeek融合后，对于组织调用各模型、理解和使用其他模态数据的效率与品质均得到了提高。总体而言，公司多模态管理模型的特点是多模型集成、数据模态覆盖全、数据与模型调用更高效更灵活，</w:t>
            </w:r>
            <w:r>
              <w:rPr>
                <w:rFonts w:hint="eastAsia" w:ascii="宋体" w:hAnsi="宋体" w:eastAsia="宋体"/>
                <w:bCs/>
                <w:szCs w:val="21"/>
                <w:lang w:val="en-US" w:eastAsia="zh-CN"/>
              </w:rPr>
              <w:t>进一步提升了</w:t>
            </w:r>
            <w:r>
              <w:rPr>
                <w:rFonts w:hint="eastAsia" w:ascii="宋体" w:hAnsi="宋体" w:eastAsia="宋体"/>
                <w:bCs/>
                <w:szCs w:val="21"/>
              </w:rPr>
              <w:t>水厂无人值守运营管理能力。</w:t>
            </w:r>
          </w:p>
          <w:p w14:paraId="5B13768E">
            <w:pPr>
              <w:rPr>
                <w:rFonts w:hint="eastAsia" w:ascii="宋体" w:hAnsi="宋体" w:eastAsia="宋体"/>
                <w:b/>
                <w:szCs w:val="21"/>
              </w:rPr>
            </w:pPr>
          </w:p>
          <w:p w14:paraId="2C3DEA40">
            <w:pPr>
              <w:ind w:firstLine="422" w:firstLineChars="200"/>
              <w:rPr>
                <w:rFonts w:hint="eastAsia" w:ascii="宋体" w:hAnsi="宋体" w:eastAsia="宋体"/>
                <w:b/>
                <w:szCs w:val="21"/>
              </w:rPr>
            </w:pPr>
            <w:r>
              <w:rPr>
                <w:rFonts w:hint="eastAsia" w:ascii="宋体" w:hAnsi="宋体" w:eastAsia="宋体"/>
                <w:b/>
                <w:szCs w:val="21"/>
              </w:rPr>
              <w:t>2.公司的多模态运营管理平台和传统的</w:t>
            </w:r>
            <w:r>
              <w:rPr>
                <w:rFonts w:hint="eastAsia" w:ascii="宋体" w:hAnsi="宋体" w:eastAsia="宋体"/>
                <w:bCs/>
                <w:szCs w:val="21"/>
              </w:rPr>
              <w:t>Scada</w:t>
            </w:r>
            <w:r>
              <w:rPr>
                <w:rFonts w:hint="eastAsia" w:ascii="宋体" w:hAnsi="宋体" w:eastAsia="宋体"/>
                <w:b/>
                <w:szCs w:val="21"/>
              </w:rPr>
              <w:t>软件有什么区别？与其他智能软件有什么区别？</w:t>
            </w:r>
          </w:p>
          <w:p w14:paraId="298A7435">
            <w:pPr>
              <w:ind w:firstLine="420" w:firstLineChars="200"/>
              <w:rPr>
                <w:rFonts w:hint="eastAsia" w:ascii="宋体" w:hAnsi="宋体" w:eastAsia="宋体"/>
                <w:szCs w:val="21"/>
              </w:rPr>
            </w:pPr>
            <w:r>
              <w:rPr>
                <w:rFonts w:hint="eastAsia" w:ascii="宋体" w:hAnsi="宋体" w:eastAsia="宋体"/>
                <w:bCs/>
                <w:szCs w:val="21"/>
              </w:rPr>
              <w:t>答：传统的Scada</w:t>
            </w:r>
            <w:r>
              <w:rPr>
                <w:rFonts w:hint="eastAsia" w:ascii="宋体" w:hAnsi="宋体" w:eastAsia="宋体"/>
                <w:szCs w:val="21"/>
              </w:rPr>
              <w:t>软件，类似于汽车的车机系统，驾驶员通过车机系统去驾驶车辆，我们的水厂运营管理人员通过</w:t>
            </w:r>
            <w:r>
              <w:rPr>
                <w:rFonts w:hint="eastAsia" w:ascii="宋体" w:hAnsi="宋体" w:eastAsia="宋体"/>
                <w:bCs/>
                <w:szCs w:val="21"/>
              </w:rPr>
              <w:t>Scada</w:t>
            </w:r>
            <w:r>
              <w:rPr>
                <w:rFonts w:hint="eastAsia" w:ascii="宋体" w:hAnsi="宋体" w:eastAsia="宋体"/>
                <w:szCs w:val="21"/>
              </w:rPr>
              <w:t>软件去管理生产调度和优化水厂的运行。</w:t>
            </w:r>
            <w:bookmarkStart w:id="2" w:name="_GoBack"/>
            <w:bookmarkEnd w:id="2"/>
          </w:p>
          <w:p w14:paraId="5B648939">
            <w:pPr>
              <w:ind w:firstLine="420" w:firstLineChars="200"/>
              <w:rPr>
                <w:rFonts w:hint="eastAsia" w:ascii="宋体" w:hAnsi="宋体" w:eastAsia="宋体"/>
                <w:szCs w:val="21"/>
              </w:rPr>
            </w:pPr>
            <w:r>
              <w:rPr>
                <w:rFonts w:hint="eastAsia" w:ascii="宋体" w:hAnsi="宋体" w:eastAsia="宋体"/>
                <w:szCs w:val="21"/>
              </w:rPr>
              <w:t>而公司的多模态管理平台目标是做无人值守运营，我们对标的不是车机系统，并非是做更好的</w:t>
            </w:r>
            <w:r>
              <w:rPr>
                <w:rFonts w:hint="eastAsia" w:ascii="宋体" w:hAnsi="宋体" w:eastAsia="宋体"/>
                <w:bCs/>
                <w:szCs w:val="21"/>
              </w:rPr>
              <w:t>Scada</w:t>
            </w:r>
            <w:r>
              <w:rPr>
                <w:rFonts w:hint="eastAsia" w:ascii="宋体" w:hAnsi="宋体" w:eastAsia="宋体"/>
                <w:szCs w:val="21"/>
              </w:rPr>
              <w:t>软件，我们对标的是驾驶员，是在做无人驾驶的系统，我们要用人工智能的技术来代替运营人员的判断决策，实现水厂的自主运行。</w:t>
            </w:r>
          </w:p>
          <w:p w14:paraId="28114D80">
            <w:pPr>
              <w:ind w:firstLine="420" w:firstLineChars="200"/>
              <w:rPr>
                <w:rFonts w:hint="eastAsia" w:ascii="宋体" w:hAnsi="宋体" w:eastAsia="宋体"/>
                <w:bCs/>
                <w:szCs w:val="21"/>
              </w:rPr>
            </w:pPr>
            <w:r>
              <w:rPr>
                <w:rFonts w:hint="eastAsia" w:ascii="宋体" w:hAnsi="宋体" w:eastAsia="宋体"/>
                <w:bCs/>
                <w:szCs w:val="21"/>
              </w:rPr>
              <w:t>公司推出的水萝卜AI智能体，不仅可以理解用户意图，灵活调用模型和软件能力，给用户提供针对性的数据和信息反馈，利用人工智能技术代替水厂运营人员日常工作部分，代替工艺技术人员保障水处理工艺系统安全高效运行，代替巡检人员检查车间内是否有漏水情况或泵组是否有工况异常等情况。</w:t>
            </w:r>
          </w:p>
          <w:p w14:paraId="1FEBAAB3">
            <w:pPr>
              <w:ind w:firstLine="420" w:firstLineChars="200"/>
              <w:rPr>
                <w:rFonts w:hint="eastAsia" w:ascii="宋体" w:hAnsi="宋体" w:eastAsia="宋体"/>
                <w:bCs/>
                <w:szCs w:val="21"/>
              </w:rPr>
            </w:pPr>
            <w:r>
              <w:rPr>
                <w:rFonts w:hint="eastAsia" w:ascii="宋体" w:hAnsi="宋体" w:eastAsia="宋体"/>
                <w:bCs/>
                <w:szCs w:val="21"/>
              </w:rPr>
              <w:t>目前主要搭载在公司的新水岛产品上使用，使新水岛产品整体上变成了自主运行，安全高效，可与用户直接“交流”的，软硬一体化的智能体产品。</w:t>
            </w:r>
          </w:p>
          <w:p w14:paraId="63E509FE">
            <w:pPr>
              <w:rPr>
                <w:rFonts w:hint="eastAsia" w:ascii="宋体" w:hAnsi="宋体" w:eastAsia="宋体"/>
                <w:szCs w:val="21"/>
              </w:rPr>
            </w:pPr>
          </w:p>
          <w:p w14:paraId="35781D16">
            <w:pPr>
              <w:ind w:firstLine="422" w:firstLineChars="200"/>
              <w:rPr>
                <w:rFonts w:hint="eastAsia" w:ascii="宋体" w:hAnsi="宋体" w:eastAsia="宋体"/>
                <w:b/>
                <w:bCs/>
                <w:szCs w:val="21"/>
              </w:rPr>
            </w:pPr>
            <w:r>
              <w:rPr>
                <w:rFonts w:hint="eastAsia" w:ascii="宋体" w:hAnsi="宋体" w:eastAsia="宋体"/>
                <w:b/>
                <w:bCs/>
                <w:szCs w:val="21"/>
              </w:rPr>
              <w:t>3.公司数字化方面是否有和科研院校开展合作？</w:t>
            </w:r>
          </w:p>
          <w:p w14:paraId="2422C73C">
            <w:pPr>
              <w:ind w:firstLine="420" w:firstLineChars="200"/>
              <w:rPr>
                <w:rFonts w:hint="eastAsia" w:ascii="宋体" w:hAnsi="宋体" w:eastAsia="宋体"/>
                <w:szCs w:val="21"/>
              </w:rPr>
            </w:pPr>
            <w:r>
              <w:rPr>
                <w:rFonts w:ascii="宋体" w:hAnsi="宋体" w:eastAsia="宋体"/>
                <w:szCs w:val="21"/>
              </w:rPr>
              <w:t>答：</w:t>
            </w:r>
            <w:r>
              <w:rPr>
                <w:rFonts w:hint="eastAsia" w:ascii="宋体" w:hAnsi="宋体" w:eastAsia="宋体"/>
                <w:szCs w:val="21"/>
              </w:rPr>
              <w:t>2024年，</w:t>
            </w:r>
            <w:r>
              <w:rPr>
                <w:rFonts w:ascii="宋体" w:hAnsi="宋体" w:eastAsia="宋体"/>
                <w:szCs w:val="21"/>
              </w:rPr>
              <w:t>公司与武汉大学已正式签署合作协议，公司充分发挥在水处理工艺、水厂运维和数据积累等方面的优势，与武汉大学共同采用前沿的人工智能模型框架，进行新一代的运营预测决策模型开发，对智慧平台进行深度迭代与优化。目前，智慧平台的模型算法已进入严格的测试阶段。人工智能模型精度是一个关键的评估指标，用于衡量模型在预测或分类任务中的准确性。初步测试结果显示，公司人工智能模型精度已达到90%，标志着公司在实现全自动化决策支持方面取得了显著进展。</w:t>
            </w:r>
          </w:p>
          <w:p w14:paraId="489FFA8C">
            <w:pPr>
              <w:ind w:firstLine="420" w:firstLineChars="200"/>
              <w:rPr>
                <w:rFonts w:hint="eastAsia" w:ascii="宋体" w:hAnsi="宋体" w:eastAsia="宋体"/>
                <w:szCs w:val="21"/>
              </w:rPr>
            </w:pPr>
            <w:r>
              <w:rPr>
                <w:rFonts w:ascii="宋体" w:hAnsi="宋体" w:eastAsia="宋体"/>
                <w:szCs w:val="21"/>
              </w:rPr>
              <w:t>自动化决策支持涵盖了视觉判断、安全生产、运行状态预测、运行调整决策等多个关键领域，其中部分模型由公司自主研发并持续迭代，而与武汉大学的合作则聚焦于系统运行工艺相关的预测决策功能模块的模型开发。</w:t>
            </w:r>
          </w:p>
          <w:p w14:paraId="4DC5A17E">
            <w:pPr>
              <w:widowControl/>
              <w:spacing w:line="276" w:lineRule="auto"/>
              <w:jc w:val="left"/>
              <w:rPr>
                <w:rFonts w:hint="eastAsia" w:ascii="宋体" w:hAnsi="宋体" w:eastAsia="宋体"/>
                <w:b/>
                <w:szCs w:val="21"/>
              </w:rPr>
            </w:pPr>
          </w:p>
          <w:p w14:paraId="55E55EDE">
            <w:pPr>
              <w:widowControl/>
              <w:spacing w:line="276" w:lineRule="auto"/>
              <w:ind w:firstLine="421"/>
              <w:jc w:val="left"/>
              <w:rPr>
                <w:rFonts w:hint="eastAsia" w:ascii="宋体" w:hAnsi="宋体" w:eastAsia="宋体"/>
                <w:b/>
                <w:szCs w:val="21"/>
              </w:rPr>
            </w:pPr>
            <w:r>
              <w:rPr>
                <w:rFonts w:hint="eastAsia" w:ascii="宋体" w:hAnsi="宋体" w:eastAsia="宋体"/>
                <w:b/>
                <w:szCs w:val="21"/>
              </w:rPr>
              <w:t>4.请介绍下公司数字科技团队情况？</w:t>
            </w:r>
          </w:p>
          <w:p w14:paraId="0BEFD7FE">
            <w:pPr>
              <w:widowControl/>
              <w:spacing w:line="276" w:lineRule="auto"/>
              <w:ind w:firstLine="421"/>
              <w:jc w:val="left"/>
              <w:rPr>
                <w:rFonts w:hint="eastAsia" w:ascii="宋体" w:hAnsi="宋体" w:eastAsia="宋体"/>
                <w:bCs/>
                <w:szCs w:val="21"/>
              </w:rPr>
            </w:pPr>
            <w:r>
              <w:rPr>
                <w:rFonts w:hint="eastAsia" w:ascii="宋体" w:hAnsi="宋体" w:eastAsia="宋体"/>
                <w:szCs w:val="21"/>
              </w:rPr>
              <w:t>答：</w:t>
            </w:r>
            <w:r>
              <w:rPr>
                <w:rFonts w:hint="eastAsia" w:ascii="宋体" w:hAnsi="宋体" w:eastAsia="宋体"/>
                <w:bCs/>
                <w:szCs w:val="21"/>
              </w:rPr>
              <w:t>金科环境数字化团队的人员组成包括数据专家、算法专家、水处理工艺及运营技术专家、系统开发工程师和高级产品经理，是一个融合了多领域综合能力的人工智能技术与产品研发团队，形成了属于金科环境自己的AI科技创新研发产能，独立自主开发了AI产品系统架构，建立了科学合理的研发制度和流程，可以高效实现“水萝卜”AI智能体的产品的持续迭代，同时不断深入探索AI人工智能相关技术在水处理行业内的创新应用场景。</w:t>
            </w:r>
          </w:p>
          <w:p w14:paraId="3C61C057">
            <w:pPr>
              <w:rPr>
                <w:rFonts w:hint="eastAsia" w:ascii="宋体" w:hAnsi="宋体" w:eastAsia="宋体"/>
                <w:szCs w:val="21"/>
                <w:highlight w:val="yellow"/>
              </w:rPr>
            </w:pPr>
          </w:p>
          <w:p w14:paraId="392812AC">
            <w:pPr>
              <w:ind w:firstLine="422" w:firstLineChars="200"/>
              <w:rPr>
                <w:rFonts w:hint="eastAsia" w:ascii="宋体" w:hAnsi="宋体" w:eastAsia="宋体"/>
                <w:b/>
                <w:szCs w:val="21"/>
              </w:rPr>
            </w:pPr>
            <w:r>
              <w:rPr>
                <w:rFonts w:hint="eastAsia" w:ascii="宋体" w:hAnsi="宋体" w:eastAsia="宋体"/>
                <w:b/>
                <w:szCs w:val="21"/>
              </w:rPr>
              <w:t>5</w:t>
            </w:r>
            <w:r>
              <w:rPr>
                <w:rFonts w:ascii="宋体" w:hAnsi="宋体" w:eastAsia="宋体"/>
                <w:b/>
                <w:szCs w:val="21"/>
              </w:rPr>
              <w:t xml:space="preserve">.To B端的下游客户主要为哪些行业？ </w:t>
            </w:r>
          </w:p>
          <w:p w14:paraId="51613077">
            <w:pPr>
              <w:ind w:firstLine="420" w:firstLineChars="200"/>
              <w:rPr>
                <w:rFonts w:hint="eastAsia" w:ascii="宋体" w:hAnsi="宋体" w:eastAsia="宋体"/>
                <w:szCs w:val="21"/>
              </w:rPr>
            </w:pPr>
            <w:r>
              <w:rPr>
                <w:rFonts w:hint="eastAsia" w:ascii="宋体" w:hAnsi="宋体" w:eastAsia="宋体"/>
                <w:szCs w:val="21"/>
              </w:rPr>
              <w:t>答：公司重点围绕包括</w:t>
            </w:r>
            <w:r>
              <w:rPr>
                <w:rFonts w:ascii="宋体" w:hAnsi="宋体" w:eastAsia="宋体"/>
                <w:szCs w:val="21"/>
              </w:rPr>
              <w:t>PCB、光伏等新兴产业，以及高耗水、高污染的化纤、印染等民生产业。随着新水岛的迭代及功能升级，公司也在持续拓展</w:t>
            </w:r>
            <w:r>
              <w:rPr>
                <w:rFonts w:hint="eastAsia" w:ascii="宋体" w:hAnsi="宋体" w:eastAsia="宋体"/>
                <w:szCs w:val="21"/>
                <w:lang w:val="en-US" w:eastAsia="zh-CN"/>
              </w:rPr>
              <w:t>其他</w:t>
            </w:r>
            <w:r>
              <w:rPr>
                <w:rFonts w:ascii="宋体" w:hAnsi="宋体" w:eastAsia="宋体"/>
                <w:szCs w:val="21"/>
              </w:rPr>
              <w:t>应用行业。</w:t>
            </w:r>
          </w:p>
          <w:p w14:paraId="336622D8">
            <w:pPr>
              <w:ind w:firstLine="420" w:firstLineChars="200"/>
              <w:rPr>
                <w:rFonts w:hint="eastAsia" w:ascii="宋体" w:hAnsi="宋体" w:eastAsia="宋体"/>
                <w:szCs w:val="21"/>
              </w:rPr>
            </w:pPr>
          </w:p>
          <w:p w14:paraId="5025B686">
            <w:pPr>
              <w:ind w:firstLine="422" w:firstLineChars="200"/>
              <w:rPr>
                <w:rFonts w:hint="eastAsia" w:ascii="宋体" w:hAnsi="宋体" w:eastAsia="宋体"/>
                <w:b/>
                <w:szCs w:val="21"/>
              </w:rPr>
            </w:pPr>
            <w:r>
              <w:rPr>
                <w:rFonts w:hint="eastAsia" w:ascii="宋体" w:hAnsi="宋体" w:eastAsia="宋体"/>
                <w:b/>
                <w:szCs w:val="21"/>
              </w:rPr>
              <w:t>6.公司与光伏企业有哪些合作模式？</w:t>
            </w:r>
            <w:r>
              <w:rPr>
                <w:rFonts w:ascii="宋体" w:hAnsi="宋体" w:eastAsia="宋体"/>
                <w:b/>
                <w:szCs w:val="21"/>
              </w:rPr>
              <w:t xml:space="preserve"> </w:t>
            </w:r>
          </w:p>
          <w:p w14:paraId="656E2538">
            <w:pPr>
              <w:ind w:firstLine="420" w:firstLineChars="200"/>
              <w:rPr>
                <w:rFonts w:hint="eastAsia" w:ascii="宋体" w:hAnsi="宋体" w:eastAsia="宋体"/>
                <w:szCs w:val="21"/>
              </w:rPr>
            </w:pPr>
            <w:r>
              <w:rPr>
                <w:rFonts w:hint="eastAsia" w:ascii="宋体" w:hAnsi="宋体" w:eastAsia="宋体"/>
                <w:szCs w:val="21"/>
              </w:rPr>
              <w:t>答：针对光伏生产制造各个流程，公司开发了拥有自主产权的废水再生回用技术、产品和一系列专业解决方案，公司可以采用投资、建设、运营、租赁等灵活的模式为光伏行业企业提供一站式解决方案，让客户省钱、省心、省力的实现行业新标准。</w:t>
            </w:r>
          </w:p>
          <w:p w14:paraId="17216567">
            <w:pPr>
              <w:ind w:firstLine="420" w:firstLineChars="200"/>
              <w:rPr>
                <w:rFonts w:hint="eastAsia" w:ascii="宋体" w:hAnsi="宋体" w:eastAsia="宋体"/>
                <w:szCs w:val="21"/>
              </w:rPr>
            </w:pPr>
            <w:r>
              <w:rPr>
                <w:rFonts w:hint="eastAsia" w:ascii="宋体" w:hAnsi="宋体" w:eastAsia="宋体"/>
                <w:szCs w:val="21"/>
              </w:rPr>
              <w:t>公司实施</w:t>
            </w:r>
            <w:r>
              <w:rPr>
                <w:rFonts w:hint="eastAsia" w:ascii="宋体" w:hAnsi="宋体" w:eastAsia="宋体"/>
                <w:szCs w:val="21"/>
                <w:lang w:eastAsia="zh-CN"/>
              </w:rPr>
              <w:t>的</w:t>
            </w:r>
            <w:r>
              <w:rPr>
                <w:rFonts w:ascii="宋体" w:hAnsi="宋体" w:eastAsia="宋体"/>
                <w:szCs w:val="21"/>
              </w:rPr>
              <w:t>锡东工业污水处理项目</w:t>
            </w:r>
            <w:r>
              <w:rPr>
                <w:rFonts w:hint="eastAsia" w:ascii="宋体" w:hAnsi="宋体" w:eastAsia="宋体"/>
                <w:szCs w:val="21"/>
              </w:rPr>
              <w:t>是对光伏异质结电池项目生产废水进行深度处理，公司突破除氟技术难点，大幅降低氟化物浓度，工艺流程稳定、高效、抗冲击负荷能力强，运行灵活，进一步丰富了公司光伏行业废水处理及再生利用全价值链解决方案。</w:t>
            </w:r>
          </w:p>
          <w:p w14:paraId="69BAB04F">
            <w:pPr>
              <w:ind w:firstLine="420" w:firstLineChars="200"/>
              <w:rPr>
                <w:rFonts w:hint="eastAsia" w:ascii="宋体" w:hAnsi="宋体" w:eastAsia="宋体" w:cstheme="majorBidi"/>
                <w:szCs w:val="21"/>
              </w:rPr>
            </w:pPr>
            <w:r>
              <w:rPr>
                <w:rFonts w:hint="eastAsia" w:ascii="宋体" w:hAnsi="宋体" w:eastAsia="宋体"/>
                <w:szCs w:val="21"/>
                <w:lang w:val="en-US" w:eastAsia="zh-CN"/>
              </w:rPr>
              <w:t>公司实施的</w:t>
            </w:r>
            <w:r>
              <w:rPr>
                <w:rFonts w:ascii="宋体" w:hAnsi="宋体" w:eastAsia="宋体"/>
                <w:szCs w:val="21"/>
              </w:rPr>
              <w:t>无锡安镇新水岛1.0再生水项目</w:t>
            </w:r>
            <w:r>
              <w:rPr>
                <w:rFonts w:hint="eastAsia" w:ascii="宋体" w:hAnsi="宋体" w:eastAsia="宋体"/>
                <w:szCs w:val="21"/>
                <w:lang w:eastAsia="zh-CN"/>
              </w:rPr>
              <w:t>，</w:t>
            </w:r>
            <w:r>
              <w:rPr>
                <w:rFonts w:hint="eastAsia" w:ascii="宋体" w:hAnsi="宋体" w:eastAsia="宋体"/>
                <w:szCs w:val="21"/>
              </w:rPr>
              <w:t>应用新水岛产品，以污水处理厂达标尾水为水源制成高品质再生水，供给光伏新能源、半导体等企业，包括无锡芯动半导体科技有限公司、无锡华晟光伏科技有限公司、极电光能</w:t>
            </w:r>
            <w:r>
              <w:rPr>
                <w:rFonts w:ascii="宋体" w:hAnsi="宋体" w:eastAsia="宋体"/>
                <w:szCs w:val="21"/>
              </w:rPr>
              <w:t>(无锡)新能源有限公司等。通过污废水资源化的方式，置换出环境容量，提高了再生水利用率，缓解了区域水资源短缺的现状。</w:t>
            </w:r>
          </w:p>
        </w:tc>
      </w:tr>
      <w:tr w14:paraId="3B951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1844" w:type="dxa"/>
            <w:vAlign w:val="center"/>
          </w:tcPr>
          <w:p w14:paraId="4AAB5B85">
            <w:pPr>
              <w:jc w:val="center"/>
              <w:rPr>
                <w:rFonts w:hint="eastAsia" w:ascii="宋体" w:hAnsi="宋体" w:eastAsia="宋体" w:cs="Times New Roman"/>
                <w:b/>
                <w:bCs/>
                <w:szCs w:val="21"/>
              </w:rPr>
            </w:pPr>
            <w:r>
              <w:rPr>
                <w:rFonts w:hint="eastAsia" w:ascii="宋体" w:hAnsi="宋体" w:eastAsia="宋体" w:cs="Times New Roman"/>
                <w:b/>
                <w:bCs/>
                <w:szCs w:val="21"/>
              </w:rPr>
              <w:t>附件</w:t>
            </w:r>
            <w:r>
              <w:rPr>
                <w:rFonts w:ascii="宋体" w:hAnsi="宋体" w:eastAsia="宋体" w:cs="Times New Roman"/>
                <w:b/>
                <w:bCs/>
                <w:szCs w:val="21"/>
              </w:rPr>
              <w:t>清单</w:t>
            </w:r>
          </w:p>
          <w:p w14:paraId="2AE2E17F">
            <w:pPr>
              <w:jc w:val="center"/>
              <w:rPr>
                <w:rFonts w:hint="eastAsia" w:ascii="宋体" w:hAnsi="宋体" w:eastAsia="宋体" w:cs="Times New Roman"/>
                <w:szCs w:val="21"/>
              </w:rPr>
            </w:pPr>
            <w:r>
              <w:rPr>
                <w:rFonts w:hint="eastAsia" w:ascii="宋体" w:hAnsi="宋体" w:eastAsia="宋体" w:cs="Times New Roman"/>
                <w:b/>
                <w:bCs/>
                <w:szCs w:val="21"/>
              </w:rPr>
              <w:t>（</w:t>
            </w:r>
            <w:r>
              <w:rPr>
                <w:rFonts w:ascii="宋体" w:hAnsi="宋体" w:eastAsia="宋体" w:cs="Times New Roman"/>
                <w:b/>
                <w:bCs/>
                <w:szCs w:val="21"/>
              </w:rPr>
              <w:t>如有）</w:t>
            </w:r>
          </w:p>
        </w:tc>
        <w:tc>
          <w:tcPr>
            <w:tcW w:w="7229" w:type="dxa"/>
            <w:vAlign w:val="center"/>
          </w:tcPr>
          <w:p w14:paraId="5CF1995B">
            <w:pPr>
              <w:rPr>
                <w:rFonts w:hint="eastAsia" w:ascii="宋体" w:hAnsi="宋体" w:eastAsia="宋体" w:cs="Times New Roman"/>
                <w:szCs w:val="21"/>
              </w:rPr>
            </w:pPr>
            <w:r>
              <w:rPr>
                <w:rFonts w:hint="eastAsia" w:ascii="宋体" w:hAnsi="宋体" w:eastAsia="宋体" w:cs="Times New Roman"/>
                <w:szCs w:val="21"/>
              </w:rPr>
              <w:t>无</w:t>
            </w:r>
          </w:p>
        </w:tc>
      </w:tr>
      <w:tr w14:paraId="13AE9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1844" w:type="dxa"/>
            <w:vAlign w:val="center"/>
          </w:tcPr>
          <w:p w14:paraId="61CDEB5D">
            <w:pPr>
              <w:jc w:val="center"/>
              <w:rPr>
                <w:rFonts w:hint="eastAsia" w:ascii="宋体" w:hAnsi="宋体" w:eastAsia="宋体" w:cs="Times New Roman"/>
                <w:b/>
                <w:bCs/>
                <w:szCs w:val="21"/>
              </w:rPr>
            </w:pPr>
            <w:r>
              <w:rPr>
                <w:rFonts w:hint="eastAsia" w:ascii="宋体" w:hAnsi="宋体" w:eastAsia="宋体" w:cs="Times New Roman"/>
                <w:b/>
                <w:bCs/>
                <w:szCs w:val="21"/>
              </w:rPr>
              <w:t>日期</w:t>
            </w:r>
          </w:p>
        </w:tc>
        <w:tc>
          <w:tcPr>
            <w:tcW w:w="7229" w:type="dxa"/>
            <w:vAlign w:val="center"/>
          </w:tcPr>
          <w:p w14:paraId="33CB2747">
            <w:pPr>
              <w:rPr>
                <w:rFonts w:hint="eastAsia" w:ascii="宋体" w:hAnsi="宋体" w:eastAsia="宋体" w:cs="Times New Roman"/>
                <w:szCs w:val="21"/>
              </w:rPr>
            </w:pPr>
            <w:r>
              <w:rPr>
                <w:rFonts w:hint="eastAsia" w:ascii="宋体" w:hAnsi="宋体" w:eastAsia="宋体" w:cs="Times New Roman"/>
                <w:szCs w:val="21"/>
              </w:rPr>
              <w:t>2</w:t>
            </w:r>
            <w:r>
              <w:rPr>
                <w:rFonts w:ascii="宋体" w:hAnsi="宋体" w:eastAsia="宋体" w:cs="Times New Roman"/>
                <w:szCs w:val="21"/>
              </w:rPr>
              <w:t>02</w:t>
            </w:r>
            <w:r>
              <w:rPr>
                <w:rFonts w:hint="eastAsia" w:ascii="宋体" w:hAnsi="宋体" w:eastAsia="宋体" w:cs="Times New Roman"/>
                <w:szCs w:val="21"/>
              </w:rPr>
              <w:t>5年3月</w:t>
            </w:r>
            <w:r>
              <w:rPr>
                <w:rFonts w:hint="eastAsia" w:ascii="宋体" w:hAnsi="宋体" w:eastAsia="宋体" w:cs="Times New Roman"/>
                <w:szCs w:val="21"/>
                <w:lang w:val="en-US" w:eastAsia="zh-CN"/>
              </w:rPr>
              <w:t>7</w:t>
            </w:r>
            <w:r>
              <w:rPr>
                <w:rFonts w:hint="eastAsia" w:ascii="宋体" w:hAnsi="宋体" w:eastAsia="宋体" w:cs="Times New Roman"/>
                <w:szCs w:val="21"/>
              </w:rPr>
              <w:t>日</w:t>
            </w:r>
          </w:p>
        </w:tc>
      </w:tr>
    </w:tbl>
    <w:p w14:paraId="2BC22078">
      <w:pPr>
        <w:rPr>
          <w:rFonts w:hint="eastAsia" w:ascii="宋体" w:hAnsi="宋体" w:eastAsia="宋体"/>
          <w:sz w:val="20"/>
        </w:rPr>
      </w:pPr>
    </w:p>
    <w:sectPr>
      <w:head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Noto Sans CJK JP Regular">
    <w:altName w:val="宋体"/>
    <w:panose1 w:val="00000000000000000000"/>
    <w:charset w:val="86"/>
    <w:family w:val="swiss"/>
    <w:pitch w:val="default"/>
    <w:sig w:usb0="00000000" w:usb1="00000000" w:usb2="00000016" w:usb3="00000000" w:csb0="002E0107"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BE048">
    <w:pPr>
      <w:pStyle w:val="5"/>
      <w:rPr>
        <w:rFonts w:hint="eastAsia" w:ascii="宋体" w:hAnsi="宋体" w:eastAsia="宋体"/>
      </w:rPr>
    </w:pPr>
    <w:r>
      <w:rPr>
        <w:rFonts w:hint="eastAsia" w:ascii="宋体" w:hAnsi="宋体" w:eastAsia="宋体"/>
      </w:rPr>
      <w:t>证券代码：6</w:t>
    </w:r>
    <w:r>
      <w:rPr>
        <w:rFonts w:ascii="宋体" w:hAnsi="宋体" w:eastAsia="宋体"/>
      </w:rPr>
      <w:t>88466</w:t>
    </w:r>
    <w:r>
      <w:rPr>
        <w:rFonts w:ascii="宋体" w:hAnsi="宋体" w:eastAsia="宋体"/>
      </w:rPr>
      <w:ptab w:relativeTo="margin" w:alignment="center" w:leader="none"/>
    </w:r>
    <w:r>
      <w:rPr>
        <w:rFonts w:ascii="宋体" w:hAnsi="宋体" w:eastAsia="宋体"/>
      </w:rPr>
      <w:ptab w:relativeTo="margin" w:alignment="right" w:leader="none"/>
    </w:r>
    <w:r>
      <w:rPr>
        <w:rFonts w:hint="eastAsia" w:ascii="宋体" w:hAnsi="宋体" w:eastAsia="宋体"/>
      </w:rPr>
      <w:t>证券简称：</w:t>
    </w:r>
    <w:r>
      <w:rPr>
        <w:rFonts w:hint="eastAsia" w:ascii="宋体" w:hAnsi="宋体" w:eastAsia="宋体"/>
        <w:lang w:eastAsia="zh-Hans"/>
      </w:rPr>
      <w:t>金科环境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31EE24"/>
    <w:multiLevelType w:val="singleLevel"/>
    <w:tmpl w:val="7E31EE2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BF6"/>
    <w:rsid w:val="000035D7"/>
    <w:rsid w:val="0001078F"/>
    <w:rsid w:val="00011C93"/>
    <w:rsid w:val="0001340F"/>
    <w:rsid w:val="00014375"/>
    <w:rsid w:val="00027983"/>
    <w:rsid w:val="00030255"/>
    <w:rsid w:val="000442AF"/>
    <w:rsid w:val="000565EF"/>
    <w:rsid w:val="00056D76"/>
    <w:rsid w:val="00065B8D"/>
    <w:rsid w:val="00065DB5"/>
    <w:rsid w:val="00071508"/>
    <w:rsid w:val="00072EFF"/>
    <w:rsid w:val="00076595"/>
    <w:rsid w:val="00076BD8"/>
    <w:rsid w:val="00082E2E"/>
    <w:rsid w:val="00095562"/>
    <w:rsid w:val="000971E0"/>
    <w:rsid w:val="00097DEE"/>
    <w:rsid w:val="000A33AC"/>
    <w:rsid w:val="000B0FD6"/>
    <w:rsid w:val="000D1531"/>
    <w:rsid w:val="000D2076"/>
    <w:rsid w:val="000D346F"/>
    <w:rsid w:val="000D632A"/>
    <w:rsid w:val="000E1BCA"/>
    <w:rsid w:val="000E370A"/>
    <w:rsid w:val="000E591F"/>
    <w:rsid w:val="000E6404"/>
    <w:rsid w:val="000F1269"/>
    <w:rsid w:val="000F135B"/>
    <w:rsid w:val="000F2333"/>
    <w:rsid w:val="000F78F5"/>
    <w:rsid w:val="00101B38"/>
    <w:rsid w:val="0010454E"/>
    <w:rsid w:val="00104F5B"/>
    <w:rsid w:val="001127F4"/>
    <w:rsid w:val="00116CAB"/>
    <w:rsid w:val="00120213"/>
    <w:rsid w:val="001217AD"/>
    <w:rsid w:val="00121F24"/>
    <w:rsid w:val="001221B2"/>
    <w:rsid w:val="00124A62"/>
    <w:rsid w:val="00125CBE"/>
    <w:rsid w:val="001276AE"/>
    <w:rsid w:val="0013199C"/>
    <w:rsid w:val="00133E52"/>
    <w:rsid w:val="00134AF2"/>
    <w:rsid w:val="001413A8"/>
    <w:rsid w:val="001546BD"/>
    <w:rsid w:val="00162C87"/>
    <w:rsid w:val="001648E4"/>
    <w:rsid w:val="001664B0"/>
    <w:rsid w:val="00172004"/>
    <w:rsid w:val="00172570"/>
    <w:rsid w:val="00192CF0"/>
    <w:rsid w:val="001A19CE"/>
    <w:rsid w:val="001A37B1"/>
    <w:rsid w:val="001A3BD7"/>
    <w:rsid w:val="001B0E3F"/>
    <w:rsid w:val="001B2F8E"/>
    <w:rsid w:val="001B4BAC"/>
    <w:rsid w:val="001B5391"/>
    <w:rsid w:val="001B66A6"/>
    <w:rsid w:val="001C295B"/>
    <w:rsid w:val="001C431B"/>
    <w:rsid w:val="001C6429"/>
    <w:rsid w:val="001D71AA"/>
    <w:rsid w:val="001E02E1"/>
    <w:rsid w:val="001E3743"/>
    <w:rsid w:val="001E4762"/>
    <w:rsid w:val="001E4764"/>
    <w:rsid w:val="001E55CE"/>
    <w:rsid w:val="001E616A"/>
    <w:rsid w:val="001E7A36"/>
    <w:rsid w:val="001F3569"/>
    <w:rsid w:val="001F610A"/>
    <w:rsid w:val="002015B6"/>
    <w:rsid w:val="00203F23"/>
    <w:rsid w:val="00207D0F"/>
    <w:rsid w:val="00216477"/>
    <w:rsid w:val="00216582"/>
    <w:rsid w:val="00217D95"/>
    <w:rsid w:val="00221BB6"/>
    <w:rsid w:val="00223383"/>
    <w:rsid w:val="00230FC6"/>
    <w:rsid w:val="002378D8"/>
    <w:rsid w:val="00242F65"/>
    <w:rsid w:val="00250DEF"/>
    <w:rsid w:val="002638A1"/>
    <w:rsid w:val="00263FE5"/>
    <w:rsid w:val="002663B8"/>
    <w:rsid w:val="00267620"/>
    <w:rsid w:val="00270E7E"/>
    <w:rsid w:val="00277CB8"/>
    <w:rsid w:val="0028017B"/>
    <w:rsid w:val="00282EC3"/>
    <w:rsid w:val="0028660C"/>
    <w:rsid w:val="0029105D"/>
    <w:rsid w:val="00293E9E"/>
    <w:rsid w:val="002A025F"/>
    <w:rsid w:val="002A0966"/>
    <w:rsid w:val="002B7308"/>
    <w:rsid w:val="002D2510"/>
    <w:rsid w:val="002D26B4"/>
    <w:rsid w:val="002D42FE"/>
    <w:rsid w:val="002D518A"/>
    <w:rsid w:val="002E0EE2"/>
    <w:rsid w:val="002E1ABA"/>
    <w:rsid w:val="002E273A"/>
    <w:rsid w:val="002E56B0"/>
    <w:rsid w:val="002E7E82"/>
    <w:rsid w:val="002F12C1"/>
    <w:rsid w:val="002F726C"/>
    <w:rsid w:val="002F7E43"/>
    <w:rsid w:val="00306492"/>
    <w:rsid w:val="00306E8D"/>
    <w:rsid w:val="003126C1"/>
    <w:rsid w:val="0033152E"/>
    <w:rsid w:val="00333EFB"/>
    <w:rsid w:val="00335C90"/>
    <w:rsid w:val="00350BAF"/>
    <w:rsid w:val="00350E37"/>
    <w:rsid w:val="00355AC8"/>
    <w:rsid w:val="00362922"/>
    <w:rsid w:val="00364AB3"/>
    <w:rsid w:val="00367F53"/>
    <w:rsid w:val="003716F9"/>
    <w:rsid w:val="00383C35"/>
    <w:rsid w:val="00390F65"/>
    <w:rsid w:val="00396B0C"/>
    <w:rsid w:val="003A01A7"/>
    <w:rsid w:val="003A4DDB"/>
    <w:rsid w:val="003B1E5C"/>
    <w:rsid w:val="003B30F1"/>
    <w:rsid w:val="003C0BAE"/>
    <w:rsid w:val="003C2E12"/>
    <w:rsid w:val="003C3103"/>
    <w:rsid w:val="003D664C"/>
    <w:rsid w:val="003E61F0"/>
    <w:rsid w:val="003F2AE0"/>
    <w:rsid w:val="003F669C"/>
    <w:rsid w:val="003F74F9"/>
    <w:rsid w:val="00401373"/>
    <w:rsid w:val="00401817"/>
    <w:rsid w:val="00403292"/>
    <w:rsid w:val="0040374D"/>
    <w:rsid w:val="004104AE"/>
    <w:rsid w:val="0041156D"/>
    <w:rsid w:val="004120D8"/>
    <w:rsid w:val="00413AAA"/>
    <w:rsid w:val="00421980"/>
    <w:rsid w:val="00424ECA"/>
    <w:rsid w:val="00425670"/>
    <w:rsid w:val="004279BE"/>
    <w:rsid w:val="00432EED"/>
    <w:rsid w:val="00437423"/>
    <w:rsid w:val="0044643C"/>
    <w:rsid w:val="004523E5"/>
    <w:rsid w:val="004561F6"/>
    <w:rsid w:val="004575CD"/>
    <w:rsid w:val="004630A7"/>
    <w:rsid w:val="0046353E"/>
    <w:rsid w:val="00473152"/>
    <w:rsid w:val="004914DB"/>
    <w:rsid w:val="0049469C"/>
    <w:rsid w:val="004A1210"/>
    <w:rsid w:val="004A4107"/>
    <w:rsid w:val="004A6937"/>
    <w:rsid w:val="004B143B"/>
    <w:rsid w:val="004C2D11"/>
    <w:rsid w:val="004C2DAC"/>
    <w:rsid w:val="004C3CCF"/>
    <w:rsid w:val="004D11BB"/>
    <w:rsid w:val="004D4B02"/>
    <w:rsid w:val="004F2B6C"/>
    <w:rsid w:val="004F4A5D"/>
    <w:rsid w:val="004F55FC"/>
    <w:rsid w:val="0050678E"/>
    <w:rsid w:val="00507F63"/>
    <w:rsid w:val="005114CD"/>
    <w:rsid w:val="00512384"/>
    <w:rsid w:val="00513FBA"/>
    <w:rsid w:val="0052664D"/>
    <w:rsid w:val="0053128B"/>
    <w:rsid w:val="00532EEE"/>
    <w:rsid w:val="00533E1B"/>
    <w:rsid w:val="00534C1C"/>
    <w:rsid w:val="00543305"/>
    <w:rsid w:val="005445F5"/>
    <w:rsid w:val="00562D66"/>
    <w:rsid w:val="00565297"/>
    <w:rsid w:val="005839F5"/>
    <w:rsid w:val="005841A3"/>
    <w:rsid w:val="00586AB0"/>
    <w:rsid w:val="00587F6A"/>
    <w:rsid w:val="00590094"/>
    <w:rsid w:val="00590208"/>
    <w:rsid w:val="005978B8"/>
    <w:rsid w:val="00597A59"/>
    <w:rsid w:val="005A1BCA"/>
    <w:rsid w:val="005A6AD7"/>
    <w:rsid w:val="005B37E3"/>
    <w:rsid w:val="005B4595"/>
    <w:rsid w:val="005B4BF0"/>
    <w:rsid w:val="005B55AC"/>
    <w:rsid w:val="005B6123"/>
    <w:rsid w:val="005B7952"/>
    <w:rsid w:val="005C04D0"/>
    <w:rsid w:val="005C0D11"/>
    <w:rsid w:val="005C0EAD"/>
    <w:rsid w:val="005C3CEC"/>
    <w:rsid w:val="005C6999"/>
    <w:rsid w:val="005D6956"/>
    <w:rsid w:val="005D76D0"/>
    <w:rsid w:val="005E1706"/>
    <w:rsid w:val="005E2633"/>
    <w:rsid w:val="005E693D"/>
    <w:rsid w:val="006017D6"/>
    <w:rsid w:val="00601E1A"/>
    <w:rsid w:val="006139C4"/>
    <w:rsid w:val="00615609"/>
    <w:rsid w:val="0062025D"/>
    <w:rsid w:val="00620F2F"/>
    <w:rsid w:val="00622C51"/>
    <w:rsid w:val="00622CFD"/>
    <w:rsid w:val="00627061"/>
    <w:rsid w:val="0063081D"/>
    <w:rsid w:val="00630FA6"/>
    <w:rsid w:val="00633381"/>
    <w:rsid w:val="006364F2"/>
    <w:rsid w:val="00637038"/>
    <w:rsid w:val="00643A33"/>
    <w:rsid w:val="0065021A"/>
    <w:rsid w:val="00651F36"/>
    <w:rsid w:val="006555DD"/>
    <w:rsid w:val="00662091"/>
    <w:rsid w:val="006646BC"/>
    <w:rsid w:val="0066615A"/>
    <w:rsid w:val="006726E0"/>
    <w:rsid w:val="006766F5"/>
    <w:rsid w:val="00677480"/>
    <w:rsid w:val="00687211"/>
    <w:rsid w:val="00690C7A"/>
    <w:rsid w:val="00691884"/>
    <w:rsid w:val="0069765E"/>
    <w:rsid w:val="006A05AF"/>
    <w:rsid w:val="006A1B6A"/>
    <w:rsid w:val="006B415A"/>
    <w:rsid w:val="006B7B02"/>
    <w:rsid w:val="006C7BB1"/>
    <w:rsid w:val="006D0EB1"/>
    <w:rsid w:val="006D5B34"/>
    <w:rsid w:val="006D5F17"/>
    <w:rsid w:val="006E3DFD"/>
    <w:rsid w:val="006E67BB"/>
    <w:rsid w:val="006F1C9C"/>
    <w:rsid w:val="006F29C4"/>
    <w:rsid w:val="006F7643"/>
    <w:rsid w:val="007002D9"/>
    <w:rsid w:val="00700C10"/>
    <w:rsid w:val="00703F23"/>
    <w:rsid w:val="00705B63"/>
    <w:rsid w:val="007065B9"/>
    <w:rsid w:val="00707759"/>
    <w:rsid w:val="0072061B"/>
    <w:rsid w:val="007276CB"/>
    <w:rsid w:val="007328AA"/>
    <w:rsid w:val="00743CD2"/>
    <w:rsid w:val="00750EAB"/>
    <w:rsid w:val="007614AC"/>
    <w:rsid w:val="007718C6"/>
    <w:rsid w:val="0077224B"/>
    <w:rsid w:val="00774BFA"/>
    <w:rsid w:val="00780AB7"/>
    <w:rsid w:val="00787A50"/>
    <w:rsid w:val="00790A89"/>
    <w:rsid w:val="007942F4"/>
    <w:rsid w:val="007A180F"/>
    <w:rsid w:val="007A76E3"/>
    <w:rsid w:val="007B1165"/>
    <w:rsid w:val="007B30B4"/>
    <w:rsid w:val="007B4C3F"/>
    <w:rsid w:val="007C3789"/>
    <w:rsid w:val="007C3D18"/>
    <w:rsid w:val="007C3D73"/>
    <w:rsid w:val="007C48E3"/>
    <w:rsid w:val="007C60DE"/>
    <w:rsid w:val="007C6146"/>
    <w:rsid w:val="007D1B32"/>
    <w:rsid w:val="007D6CD9"/>
    <w:rsid w:val="007E0003"/>
    <w:rsid w:val="007E4B90"/>
    <w:rsid w:val="007E556F"/>
    <w:rsid w:val="007F2499"/>
    <w:rsid w:val="007F3E49"/>
    <w:rsid w:val="0080490D"/>
    <w:rsid w:val="00804BD5"/>
    <w:rsid w:val="00804DE4"/>
    <w:rsid w:val="00805951"/>
    <w:rsid w:val="00814A05"/>
    <w:rsid w:val="008206D0"/>
    <w:rsid w:val="00823D01"/>
    <w:rsid w:val="008250DE"/>
    <w:rsid w:val="00827A8F"/>
    <w:rsid w:val="008324A0"/>
    <w:rsid w:val="00837FAC"/>
    <w:rsid w:val="008431D3"/>
    <w:rsid w:val="008534E5"/>
    <w:rsid w:val="00855380"/>
    <w:rsid w:val="00863245"/>
    <w:rsid w:val="00865BC6"/>
    <w:rsid w:val="00867E8E"/>
    <w:rsid w:val="00871ECC"/>
    <w:rsid w:val="0087297A"/>
    <w:rsid w:val="00876EBC"/>
    <w:rsid w:val="00882D4C"/>
    <w:rsid w:val="00882EBD"/>
    <w:rsid w:val="00885B40"/>
    <w:rsid w:val="0089105A"/>
    <w:rsid w:val="0089250B"/>
    <w:rsid w:val="008950FE"/>
    <w:rsid w:val="00895FCF"/>
    <w:rsid w:val="00897A9D"/>
    <w:rsid w:val="008B18A0"/>
    <w:rsid w:val="008B27FB"/>
    <w:rsid w:val="008B4218"/>
    <w:rsid w:val="008B4B8F"/>
    <w:rsid w:val="008B58AC"/>
    <w:rsid w:val="008B741F"/>
    <w:rsid w:val="008C027A"/>
    <w:rsid w:val="008C1D2A"/>
    <w:rsid w:val="008C46C8"/>
    <w:rsid w:val="008C67F4"/>
    <w:rsid w:val="008D2F49"/>
    <w:rsid w:val="008D570A"/>
    <w:rsid w:val="008E3189"/>
    <w:rsid w:val="008F0280"/>
    <w:rsid w:val="008F1A39"/>
    <w:rsid w:val="008F26EC"/>
    <w:rsid w:val="008F2CFF"/>
    <w:rsid w:val="008F3912"/>
    <w:rsid w:val="008F63AD"/>
    <w:rsid w:val="00906893"/>
    <w:rsid w:val="0091193C"/>
    <w:rsid w:val="0092325E"/>
    <w:rsid w:val="00932058"/>
    <w:rsid w:val="00933FFC"/>
    <w:rsid w:val="00940F7C"/>
    <w:rsid w:val="009413A3"/>
    <w:rsid w:val="00943CF7"/>
    <w:rsid w:val="00963367"/>
    <w:rsid w:val="00965EAE"/>
    <w:rsid w:val="0097000F"/>
    <w:rsid w:val="00970EF0"/>
    <w:rsid w:val="009955CA"/>
    <w:rsid w:val="00996753"/>
    <w:rsid w:val="009A34A7"/>
    <w:rsid w:val="009A6FE9"/>
    <w:rsid w:val="009B64F6"/>
    <w:rsid w:val="009C17C6"/>
    <w:rsid w:val="009C6013"/>
    <w:rsid w:val="009C70D1"/>
    <w:rsid w:val="009D2DAA"/>
    <w:rsid w:val="009D3485"/>
    <w:rsid w:val="009D5683"/>
    <w:rsid w:val="009E28D7"/>
    <w:rsid w:val="009E3C92"/>
    <w:rsid w:val="009E6AC9"/>
    <w:rsid w:val="009F5E4D"/>
    <w:rsid w:val="00A02E91"/>
    <w:rsid w:val="00A03FF6"/>
    <w:rsid w:val="00A06A5F"/>
    <w:rsid w:val="00A07BC9"/>
    <w:rsid w:val="00A136BA"/>
    <w:rsid w:val="00A16515"/>
    <w:rsid w:val="00A244B0"/>
    <w:rsid w:val="00A308FD"/>
    <w:rsid w:val="00A31DAD"/>
    <w:rsid w:val="00A41632"/>
    <w:rsid w:val="00A44791"/>
    <w:rsid w:val="00A5109B"/>
    <w:rsid w:val="00A52F30"/>
    <w:rsid w:val="00A57596"/>
    <w:rsid w:val="00A62B73"/>
    <w:rsid w:val="00A644DC"/>
    <w:rsid w:val="00A656BE"/>
    <w:rsid w:val="00A6713B"/>
    <w:rsid w:val="00A7095B"/>
    <w:rsid w:val="00A7391B"/>
    <w:rsid w:val="00A747DF"/>
    <w:rsid w:val="00A75834"/>
    <w:rsid w:val="00A80CB0"/>
    <w:rsid w:val="00A81C51"/>
    <w:rsid w:val="00A82B24"/>
    <w:rsid w:val="00A83BE0"/>
    <w:rsid w:val="00A97D70"/>
    <w:rsid w:val="00AA6622"/>
    <w:rsid w:val="00AB40C8"/>
    <w:rsid w:val="00AC69C4"/>
    <w:rsid w:val="00AC6DD6"/>
    <w:rsid w:val="00AC7277"/>
    <w:rsid w:val="00AC76C9"/>
    <w:rsid w:val="00AD3A09"/>
    <w:rsid w:val="00AE09CC"/>
    <w:rsid w:val="00AE3BEF"/>
    <w:rsid w:val="00AE5C21"/>
    <w:rsid w:val="00AE6E7E"/>
    <w:rsid w:val="00B06C95"/>
    <w:rsid w:val="00B07E89"/>
    <w:rsid w:val="00B10A42"/>
    <w:rsid w:val="00B161D3"/>
    <w:rsid w:val="00B2287F"/>
    <w:rsid w:val="00B23791"/>
    <w:rsid w:val="00B306A5"/>
    <w:rsid w:val="00B30C9D"/>
    <w:rsid w:val="00B318EF"/>
    <w:rsid w:val="00B36D64"/>
    <w:rsid w:val="00B42F3D"/>
    <w:rsid w:val="00B47DFE"/>
    <w:rsid w:val="00B516CB"/>
    <w:rsid w:val="00B53E6C"/>
    <w:rsid w:val="00B541EF"/>
    <w:rsid w:val="00B56783"/>
    <w:rsid w:val="00B6213D"/>
    <w:rsid w:val="00B62825"/>
    <w:rsid w:val="00B63392"/>
    <w:rsid w:val="00B641FD"/>
    <w:rsid w:val="00B7558D"/>
    <w:rsid w:val="00B76ECC"/>
    <w:rsid w:val="00B91F5B"/>
    <w:rsid w:val="00BA33B5"/>
    <w:rsid w:val="00BA4F14"/>
    <w:rsid w:val="00BA6751"/>
    <w:rsid w:val="00BB0085"/>
    <w:rsid w:val="00BC0989"/>
    <w:rsid w:val="00BC1550"/>
    <w:rsid w:val="00BC7B87"/>
    <w:rsid w:val="00BD044B"/>
    <w:rsid w:val="00BD2790"/>
    <w:rsid w:val="00BE00B1"/>
    <w:rsid w:val="00BE0EED"/>
    <w:rsid w:val="00BE5089"/>
    <w:rsid w:val="00BE65A4"/>
    <w:rsid w:val="00BF2AC6"/>
    <w:rsid w:val="00BF603E"/>
    <w:rsid w:val="00BF6A58"/>
    <w:rsid w:val="00BF78A8"/>
    <w:rsid w:val="00C01B19"/>
    <w:rsid w:val="00C036D6"/>
    <w:rsid w:val="00C038FE"/>
    <w:rsid w:val="00C051EE"/>
    <w:rsid w:val="00C05792"/>
    <w:rsid w:val="00C0724F"/>
    <w:rsid w:val="00C15B17"/>
    <w:rsid w:val="00C15CD5"/>
    <w:rsid w:val="00C165F4"/>
    <w:rsid w:val="00C21F36"/>
    <w:rsid w:val="00C24E88"/>
    <w:rsid w:val="00C253D9"/>
    <w:rsid w:val="00C260C1"/>
    <w:rsid w:val="00C3257E"/>
    <w:rsid w:val="00C35DFE"/>
    <w:rsid w:val="00C500E8"/>
    <w:rsid w:val="00C51214"/>
    <w:rsid w:val="00C515F1"/>
    <w:rsid w:val="00C6126C"/>
    <w:rsid w:val="00C64711"/>
    <w:rsid w:val="00C71E0C"/>
    <w:rsid w:val="00C73F21"/>
    <w:rsid w:val="00C93138"/>
    <w:rsid w:val="00C93874"/>
    <w:rsid w:val="00C95507"/>
    <w:rsid w:val="00CA05E7"/>
    <w:rsid w:val="00CA4DB0"/>
    <w:rsid w:val="00CA5C16"/>
    <w:rsid w:val="00CB1323"/>
    <w:rsid w:val="00CB2C2C"/>
    <w:rsid w:val="00CB7649"/>
    <w:rsid w:val="00CC1830"/>
    <w:rsid w:val="00CC27F0"/>
    <w:rsid w:val="00CC6701"/>
    <w:rsid w:val="00CE2BF6"/>
    <w:rsid w:val="00CE311C"/>
    <w:rsid w:val="00CE5AD1"/>
    <w:rsid w:val="00CF09B9"/>
    <w:rsid w:val="00CF13D7"/>
    <w:rsid w:val="00CF5DAF"/>
    <w:rsid w:val="00D105AF"/>
    <w:rsid w:val="00D11961"/>
    <w:rsid w:val="00D15234"/>
    <w:rsid w:val="00D159F1"/>
    <w:rsid w:val="00D172E2"/>
    <w:rsid w:val="00D20A01"/>
    <w:rsid w:val="00D21B68"/>
    <w:rsid w:val="00D232D2"/>
    <w:rsid w:val="00D24FCE"/>
    <w:rsid w:val="00D26244"/>
    <w:rsid w:val="00D26DBF"/>
    <w:rsid w:val="00D312DE"/>
    <w:rsid w:val="00D341FD"/>
    <w:rsid w:val="00D34471"/>
    <w:rsid w:val="00D34A33"/>
    <w:rsid w:val="00D3615F"/>
    <w:rsid w:val="00D406DE"/>
    <w:rsid w:val="00D41DAA"/>
    <w:rsid w:val="00D433F3"/>
    <w:rsid w:val="00D517DB"/>
    <w:rsid w:val="00D6128F"/>
    <w:rsid w:val="00D6476F"/>
    <w:rsid w:val="00D64E47"/>
    <w:rsid w:val="00D6613A"/>
    <w:rsid w:val="00D706B5"/>
    <w:rsid w:val="00D72F73"/>
    <w:rsid w:val="00D747E9"/>
    <w:rsid w:val="00D81EAF"/>
    <w:rsid w:val="00D84BA2"/>
    <w:rsid w:val="00D84D9D"/>
    <w:rsid w:val="00D85AF2"/>
    <w:rsid w:val="00D90E2C"/>
    <w:rsid w:val="00D96FF4"/>
    <w:rsid w:val="00D972CA"/>
    <w:rsid w:val="00DA1B06"/>
    <w:rsid w:val="00DA2801"/>
    <w:rsid w:val="00DA3DB3"/>
    <w:rsid w:val="00DB2A85"/>
    <w:rsid w:val="00DB6B9D"/>
    <w:rsid w:val="00DB6D23"/>
    <w:rsid w:val="00DC13E5"/>
    <w:rsid w:val="00DC16A6"/>
    <w:rsid w:val="00DC49DF"/>
    <w:rsid w:val="00DC7823"/>
    <w:rsid w:val="00DD01CE"/>
    <w:rsid w:val="00DD1361"/>
    <w:rsid w:val="00DD4AC4"/>
    <w:rsid w:val="00DD66D5"/>
    <w:rsid w:val="00DE3AA1"/>
    <w:rsid w:val="00DE6FCD"/>
    <w:rsid w:val="00DF6423"/>
    <w:rsid w:val="00E00594"/>
    <w:rsid w:val="00E03C3A"/>
    <w:rsid w:val="00E0612D"/>
    <w:rsid w:val="00E11464"/>
    <w:rsid w:val="00E20781"/>
    <w:rsid w:val="00E40E51"/>
    <w:rsid w:val="00E425A1"/>
    <w:rsid w:val="00E42829"/>
    <w:rsid w:val="00E448D9"/>
    <w:rsid w:val="00E456C1"/>
    <w:rsid w:val="00E47721"/>
    <w:rsid w:val="00E77D85"/>
    <w:rsid w:val="00E87A78"/>
    <w:rsid w:val="00E90D0D"/>
    <w:rsid w:val="00EB14B2"/>
    <w:rsid w:val="00EB22D9"/>
    <w:rsid w:val="00EB2D2B"/>
    <w:rsid w:val="00EB478F"/>
    <w:rsid w:val="00EB62E3"/>
    <w:rsid w:val="00EC0A6E"/>
    <w:rsid w:val="00EC11DC"/>
    <w:rsid w:val="00EC2EB8"/>
    <w:rsid w:val="00EC3922"/>
    <w:rsid w:val="00EE1F6B"/>
    <w:rsid w:val="00EE2025"/>
    <w:rsid w:val="00EE6956"/>
    <w:rsid w:val="00EF6AEF"/>
    <w:rsid w:val="00F0175E"/>
    <w:rsid w:val="00F14DF7"/>
    <w:rsid w:val="00F179C2"/>
    <w:rsid w:val="00F21215"/>
    <w:rsid w:val="00F214CD"/>
    <w:rsid w:val="00F229D9"/>
    <w:rsid w:val="00F27C2E"/>
    <w:rsid w:val="00F302D5"/>
    <w:rsid w:val="00F32CB8"/>
    <w:rsid w:val="00F340D0"/>
    <w:rsid w:val="00F542E4"/>
    <w:rsid w:val="00F55D07"/>
    <w:rsid w:val="00F56CF5"/>
    <w:rsid w:val="00F57369"/>
    <w:rsid w:val="00F70CA7"/>
    <w:rsid w:val="00F71081"/>
    <w:rsid w:val="00F71553"/>
    <w:rsid w:val="00F740C3"/>
    <w:rsid w:val="00F75341"/>
    <w:rsid w:val="00F85411"/>
    <w:rsid w:val="00F87C48"/>
    <w:rsid w:val="00F93EE2"/>
    <w:rsid w:val="00F94A55"/>
    <w:rsid w:val="00FA12D1"/>
    <w:rsid w:val="00FA432B"/>
    <w:rsid w:val="00FA45C1"/>
    <w:rsid w:val="00FA73EB"/>
    <w:rsid w:val="00FB0864"/>
    <w:rsid w:val="00FB13AC"/>
    <w:rsid w:val="00FB19DB"/>
    <w:rsid w:val="00FB3E0E"/>
    <w:rsid w:val="00FB5338"/>
    <w:rsid w:val="00FE3D97"/>
    <w:rsid w:val="00FE60AD"/>
    <w:rsid w:val="00FF35B4"/>
    <w:rsid w:val="00FF44A8"/>
    <w:rsid w:val="03FF3601"/>
    <w:rsid w:val="0666580E"/>
    <w:rsid w:val="116669ED"/>
    <w:rsid w:val="18F054A7"/>
    <w:rsid w:val="1EB15DEE"/>
    <w:rsid w:val="26140437"/>
    <w:rsid w:val="324E00CB"/>
    <w:rsid w:val="456555DC"/>
    <w:rsid w:val="46BF6A4A"/>
    <w:rsid w:val="47AA2B40"/>
    <w:rsid w:val="493B5F7D"/>
    <w:rsid w:val="50F759BC"/>
    <w:rsid w:val="52B33ED2"/>
    <w:rsid w:val="534851C2"/>
    <w:rsid w:val="5FB279FA"/>
    <w:rsid w:val="6BE00A0E"/>
    <w:rsid w:val="6E096F3D"/>
    <w:rsid w:val="6FF9E366"/>
    <w:rsid w:val="711E1213"/>
    <w:rsid w:val="725700A9"/>
    <w:rsid w:val="79773AEF"/>
    <w:rsid w:val="7BBB54E4"/>
    <w:rsid w:val="7F1973D7"/>
    <w:rsid w:val="CEEFA1B1"/>
    <w:rsid w:val="F6633EF2"/>
    <w:rsid w:val="FFFD3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semiHidden/>
    <w:unhideWhenUsed/>
    <w:qFormat/>
    <w:uiPriority w:val="99"/>
    <w:pPr>
      <w:jc w:val="left"/>
    </w:pPr>
  </w:style>
  <w:style w:type="paragraph" w:styleId="3">
    <w:name w:val="Balloon Text"/>
    <w:basedOn w:val="1"/>
    <w:link w:val="17"/>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Title"/>
    <w:basedOn w:val="1"/>
    <w:next w:val="1"/>
    <w:link w:val="19"/>
    <w:qFormat/>
    <w:uiPriority w:val="10"/>
    <w:pPr>
      <w:spacing w:before="120" w:after="120"/>
      <w:ind w:firstLine="200" w:firstLineChars="200"/>
      <w:jc w:val="left"/>
      <w:outlineLvl w:val="0"/>
    </w:pPr>
    <w:rPr>
      <w:rFonts w:asciiTheme="majorHAnsi" w:hAnsiTheme="majorHAnsi" w:cstheme="majorBidi"/>
      <w:bCs/>
      <w:szCs w:val="32"/>
    </w:rPr>
  </w:style>
  <w:style w:type="paragraph" w:styleId="8">
    <w:name w:val="annotation subject"/>
    <w:basedOn w:val="2"/>
    <w:next w:val="2"/>
    <w:link w:val="21"/>
    <w:semiHidden/>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qFormat/>
    <w:uiPriority w:val="99"/>
    <w:rPr>
      <w:sz w:val="21"/>
      <w:szCs w:val="21"/>
    </w:rPr>
  </w:style>
  <w:style w:type="character" w:customStyle="1" w:styleId="13">
    <w:name w:val="页脚 字符"/>
    <w:basedOn w:val="11"/>
    <w:link w:val="4"/>
    <w:qFormat/>
    <w:uiPriority w:val="99"/>
    <w:rPr>
      <w:sz w:val="18"/>
      <w:szCs w:val="18"/>
    </w:rPr>
  </w:style>
  <w:style w:type="paragraph" w:customStyle="1" w:styleId="14">
    <w:name w:val="Default"/>
    <w:qFormat/>
    <w:uiPriority w:val="0"/>
    <w:pPr>
      <w:widowControl w:val="0"/>
      <w:autoSpaceDE w:val="0"/>
      <w:autoSpaceDN w:val="0"/>
      <w:adjustRightInd w:val="0"/>
    </w:pPr>
    <w:rPr>
      <w:rFonts w:ascii="Calibri" w:hAnsi="Calibri" w:cs="Calibri" w:eastAsiaTheme="minorEastAsia"/>
      <w:color w:val="000000"/>
      <w:sz w:val="24"/>
      <w:szCs w:val="24"/>
      <w:lang w:val="en-US" w:eastAsia="zh-CN" w:bidi="ar-SA"/>
    </w:rPr>
  </w:style>
  <w:style w:type="table" w:customStyle="1" w:styleId="15">
    <w:name w:val="网格型1"/>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页眉 字符"/>
    <w:basedOn w:val="11"/>
    <w:link w:val="5"/>
    <w:qFormat/>
    <w:uiPriority w:val="99"/>
    <w:rPr>
      <w:sz w:val="18"/>
      <w:szCs w:val="18"/>
    </w:rPr>
  </w:style>
  <w:style w:type="character" w:customStyle="1" w:styleId="17">
    <w:name w:val="批注框文本 字符"/>
    <w:basedOn w:val="11"/>
    <w:link w:val="3"/>
    <w:semiHidden/>
    <w:qFormat/>
    <w:uiPriority w:val="99"/>
    <w:rPr>
      <w:sz w:val="18"/>
      <w:szCs w:val="18"/>
    </w:rPr>
  </w:style>
  <w:style w:type="paragraph" w:customStyle="1" w:styleId="18">
    <w:name w:val="列出段落1"/>
    <w:basedOn w:val="1"/>
    <w:qFormat/>
    <w:uiPriority w:val="34"/>
    <w:pPr>
      <w:ind w:firstLine="420" w:firstLineChars="200"/>
    </w:pPr>
  </w:style>
  <w:style w:type="character" w:customStyle="1" w:styleId="19">
    <w:name w:val="标题 字符"/>
    <w:basedOn w:val="11"/>
    <w:link w:val="7"/>
    <w:qFormat/>
    <w:uiPriority w:val="10"/>
    <w:rPr>
      <w:rFonts w:asciiTheme="majorHAnsi" w:hAnsiTheme="majorHAnsi" w:cstheme="majorBidi"/>
      <w:bCs/>
      <w:szCs w:val="32"/>
    </w:rPr>
  </w:style>
  <w:style w:type="character" w:customStyle="1" w:styleId="20">
    <w:name w:val="批注文字 字符"/>
    <w:basedOn w:val="11"/>
    <w:link w:val="2"/>
    <w:semiHidden/>
    <w:qFormat/>
    <w:uiPriority w:val="99"/>
    <w:rPr>
      <w:kern w:val="2"/>
      <w:sz w:val="21"/>
      <w:szCs w:val="22"/>
    </w:rPr>
  </w:style>
  <w:style w:type="character" w:customStyle="1" w:styleId="21">
    <w:name w:val="批注主题 字符"/>
    <w:basedOn w:val="20"/>
    <w:link w:val="8"/>
    <w:semiHidden/>
    <w:qFormat/>
    <w:uiPriority w:val="99"/>
    <w:rPr>
      <w:b/>
      <w:bCs/>
      <w:kern w:val="2"/>
      <w:sz w:val="21"/>
      <w:szCs w:val="22"/>
    </w:rPr>
  </w:style>
  <w:style w:type="paragraph" w:customStyle="1" w:styleId="22">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2E6BD-E9B7-47DC-86EF-AEDA42F4E5D0}">
  <ds:schemaRefs/>
</ds:datastoreItem>
</file>

<file path=docProps/app.xml><?xml version="1.0" encoding="utf-8"?>
<Properties xmlns="http://schemas.openxmlformats.org/officeDocument/2006/extended-properties" xmlns:vt="http://schemas.openxmlformats.org/officeDocument/2006/docPropsVTypes">
  <Template>Normal.dotm</Template>
  <Pages>4</Pages>
  <Words>3076</Words>
  <Characters>3215</Characters>
  <Lines>23</Lines>
  <Paragraphs>6</Paragraphs>
  <TotalTime>51</TotalTime>
  <ScaleCrop>false</ScaleCrop>
  <LinksUpToDate>false</LinksUpToDate>
  <CharactersWithSpaces>3251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2023-05-06T03:21:00Z</dcterms:created>
  <dc:creator>mao olivia</dc:creator>
  <cp:lastModifiedBy>Z</cp:lastModifiedBy>
  <cp:lastPrinted>2020-06-19T09:05:00Z</cp:lastPrinted>
  <dcterms:modified xsi:type="dcterms:W3CDTF">2025-03-07T10:20:30Z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eyJoZGlkIjoiNTg3YWI2ZGM2NjRlMWQxMmE0MmRjZjU2MTNlOWQ4ZDIiLCJ1c2VySWQiOiIzODI0ODA0MDcifQ==</vt:lpwstr>
  </property>
  <property fmtid="{D5CDD505-2E9C-101B-9397-08002B2CF9AE}" pid="4" name="ICV">
    <vt:lpwstr>C0B4E400BDE6439CB7060786044B6DCF_12</vt:lpwstr>
  </property>
</Properties>
</file>