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94C8A">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14:paraId="7AEA5B4E">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14:paraId="52414F73">
      <w:pPr>
        <w:snapToGrid w:val="0"/>
        <w:spacing w:before="156" w:beforeLines="50" w:after="156" w:afterLines="50"/>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5年3月7日）</w:t>
      </w:r>
    </w:p>
    <w:p w14:paraId="2A01A29F">
      <w:pPr>
        <w:snapToGrid w:val="0"/>
        <w:spacing w:before="156" w:beforeLines="50" w:after="156" w:afterLines="50" w:line="240" w:lineRule="atLeast"/>
        <w:ind w:firstLine="420" w:firstLineChars="200"/>
        <w:jc w:val="right"/>
        <w:rPr>
          <w:rFonts w:ascii="宋体" w:hAnsi="宋体" w:eastAsia="宋体" w:cs="Times New Roman"/>
          <w:color w:val="000000"/>
          <w:szCs w:val="21"/>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5</w:t>
      </w:r>
      <w:r>
        <w:rPr>
          <w:rFonts w:ascii="宋体" w:hAnsi="宋体" w:eastAsia="宋体" w:cs="Times New Roman"/>
          <w:color w:val="000000"/>
          <w:szCs w:val="21"/>
        </w:rPr>
        <w:t>-</w:t>
      </w:r>
      <w:r>
        <w:rPr>
          <w:rFonts w:hint="eastAsia" w:ascii="宋体" w:hAnsi="宋体" w:eastAsia="宋体" w:cs="Times New Roman"/>
          <w:color w:val="000000"/>
          <w:szCs w:val="21"/>
        </w:rPr>
        <w:t>002</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069"/>
      </w:tblGrid>
      <w:tr w14:paraId="2651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452" w:type="dxa"/>
            <w:vAlign w:val="center"/>
          </w:tcPr>
          <w:p w14:paraId="03E3F586">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投资者关系活动类别</w:t>
            </w:r>
          </w:p>
        </w:tc>
        <w:tc>
          <w:tcPr>
            <w:tcW w:w="6069" w:type="dxa"/>
            <w:vAlign w:val="center"/>
          </w:tcPr>
          <w:p w14:paraId="2E2E71A7">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☑特定对象调研          □分析师会议</w:t>
            </w:r>
          </w:p>
          <w:p w14:paraId="49CE1BB8">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□媒体采访              □业绩说明会</w:t>
            </w:r>
          </w:p>
          <w:p w14:paraId="2EC32E45">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□新闻发布会            □路演活动</w:t>
            </w:r>
          </w:p>
          <w:p w14:paraId="47583F0C">
            <w:pPr>
              <w:snapToGrid w:val="0"/>
              <w:spacing w:before="156" w:beforeLines="50" w:after="156" w:afterLines="50" w:line="240" w:lineRule="atLeast"/>
              <w:ind w:left="3120" w:hanging="3120" w:hangingChars="13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□现场参观              ☑其他（长江证券策略会）</w:t>
            </w:r>
          </w:p>
        </w:tc>
      </w:tr>
      <w:tr w14:paraId="2EC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52" w:type="dxa"/>
            <w:vAlign w:val="center"/>
          </w:tcPr>
          <w:p w14:paraId="603799D7">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参与单位名称</w:t>
            </w:r>
          </w:p>
        </w:tc>
        <w:tc>
          <w:tcPr>
            <w:tcW w:w="6069" w:type="dxa"/>
            <w:vAlign w:val="center"/>
          </w:tcPr>
          <w:p w14:paraId="74B7E82C">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信达澳亚 鹏华基金 嘉信基金 博时基金 中信证券</w:t>
            </w:r>
          </w:p>
          <w:p w14:paraId="2D56BE8F">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天风证券 华夏证券 万泰华瑞基金 长江证券 华夏基金</w:t>
            </w:r>
          </w:p>
          <w:p w14:paraId="3AC470AA">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长盛基金 红筹投资等多家机构</w:t>
            </w:r>
          </w:p>
        </w:tc>
      </w:tr>
      <w:tr w14:paraId="62EB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452" w:type="dxa"/>
            <w:vAlign w:val="center"/>
          </w:tcPr>
          <w:p w14:paraId="5AA08FB6">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会议时间</w:t>
            </w:r>
          </w:p>
        </w:tc>
        <w:tc>
          <w:tcPr>
            <w:tcW w:w="6069" w:type="dxa"/>
            <w:vAlign w:val="center"/>
          </w:tcPr>
          <w:p w14:paraId="535B6F8B">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2025年3月3日、3月4日、3月7日</w:t>
            </w:r>
          </w:p>
        </w:tc>
      </w:tr>
      <w:tr w14:paraId="079F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452" w:type="dxa"/>
            <w:vAlign w:val="center"/>
          </w:tcPr>
          <w:p w14:paraId="35D30BB5">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会议地点</w:t>
            </w:r>
          </w:p>
        </w:tc>
        <w:tc>
          <w:tcPr>
            <w:tcW w:w="6069" w:type="dxa"/>
            <w:vAlign w:val="center"/>
          </w:tcPr>
          <w:p w14:paraId="3916CD38">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线上会议、公司会议室</w:t>
            </w:r>
          </w:p>
          <w:p w14:paraId="48B94E95">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武汉万达瑞华酒店</w:t>
            </w:r>
          </w:p>
        </w:tc>
      </w:tr>
      <w:tr w14:paraId="2F2C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452" w:type="dxa"/>
            <w:vAlign w:val="center"/>
          </w:tcPr>
          <w:p w14:paraId="6EC49FB8">
            <w:pPr>
              <w:snapToGrid w:val="0"/>
              <w:spacing w:before="156" w:beforeLines="50" w:after="156" w:afterLines="50" w:line="240" w:lineRule="atLeast"/>
              <w:ind w:firstLine="482" w:firstLineChars="200"/>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公司接待人员</w:t>
            </w:r>
          </w:p>
        </w:tc>
        <w:tc>
          <w:tcPr>
            <w:tcW w:w="6069" w:type="dxa"/>
            <w:vAlign w:val="center"/>
          </w:tcPr>
          <w:p w14:paraId="064B3DE1">
            <w:pPr>
              <w:snapToGrid w:val="0"/>
              <w:spacing w:before="78" w:beforeLines="25" w:after="78" w:afterLines="25"/>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董事、董事会秘书：杨子嫣女士</w:t>
            </w:r>
          </w:p>
        </w:tc>
      </w:tr>
      <w:tr w14:paraId="6837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2" w:type="dxa"/>
            <w:vAlign w:val="center"/>
          </w:tcPr>
          <w:p w14:paraId="35970286">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1CB21DC1">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2FC289E">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50D22523">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6E849AED">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006D595">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p>
          <w:p w14:paraId="088D5B24">
            <w:pPr>
              <w:snapToGrid w:val="0"/>
              <w:spacing w:before="156" w:beforeLines="50" w:after="156" w:afterLines="50" w:line="240" w:lineRule="atLeast"/>
              <w:rPr>
                <w:rFonts w:ascii="宋体" w:hAnsi="宋体" w:eastAsia="宋体" w:cs="Times New Roman"/>
                <w:b/>
                <w:bCs/>
                <w:color w:val="000000" w:themeColor="text1"/>
                <w:kern w:val="0"/>
                <w:sz w:val="24"/>
                <w:szCs w:val="24"/>
                <w14:textFill>
                  <w14:solidFill>
                    <w14:schemeClr w14:val="tx1"/>
                  </w14:solidFill>
                </w14:textFill>
              </w:rPr>
            </w:pPr>
          </w:p>
          <w:p w14:paraId="63EFE0FA">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投资者关系</w:t>
            </w:r>
          </w:p>
          <w:p w14:paraId="137A59CC">
            <w:pPr>
              <w:snapToGrid w:val="0"/>
              <w:spacing w:before="156" w:beforeLines="50" w:after="156" w:afterLines="50" w:line="240" w:lineRule="atLeast"/>
              <w:jc w:val="center"/>
              <w:rPr>
                <w:rFonts w:ascii="宋体" w:hAnsi="宋体" w:eastAsia="宋体" w:cs="Times New Roman"/>
                <w:b/>
                <w:bCs/>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活动主要内容介绍</w:t>
            </w:r>
          </w:p>
        </w:tc>
        <w:tc>
          <w:tcPr>
            <w:tcW w:w="6069" w:type="dxa"/>
            <w:vAlign w:val="center"/>
          </w:tcPr>
          <w:p w14:paraId="7A69A0D7">
            <w:pPr>
              <w:spacing w:before="157" w:beforeLines="50" w:after="157" w:afterLines="50"/>
              <w:ind w:firstLine="482" w:firstLineChars="200"/>
              <w:rPr>
                <w:rFonts w:ascii="宋体" w:hAnsi="宋体" w:eastAsia="宋体" w:cs="宋体"/>
                <w:b/>
                <w:bCs/>
                <w:sz w:val="24"/>
                <w:szCs w:val="24"/>
              </w:rPr>
            </w:pPr>
            <w:r>
              <w:rPr>
                <w:rFonts w:hint="eastAsia" w:ascii="宋体" w:hAnsi="宋体" w:eastAsia="宋体" w:cs="宋体"/>
                <w:b/>
                <w:bCs/>
                <w:sz w:val="24"/>
                <w:szCs w:val="24"/>
              </w:rPr>
              <w:t>问题1</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近期公司操作系统业务在电力、政务等民口行业的发展情况如何？ </w:t>
            </w:r>
          </w:p>
          <w:p w14:paraId="7224294C">
            <w:pPr>
              <w:ind w:firstLine="480" w:firstLineChars="200"/>
              <w:rPr>
                <w:rFonts w:ascii="宋体" w:hAnsi="宋体" w:eastAsia="宋体" w:cs="宋体"/>
                <w:sz w:val="24"/>
                <w:szCs w:val="24"/>
              </w:rPr>
            </w:pPr>
            <w:r>
              <w:rPr>
                <w:rFonts w:hint="eastAsia" w:ascii="宋体" w:hAnsi="宋体" w:eastAsia="宋体" w:cs="宋体"/>
                <w:sz w:val="24"/>
                <w:szCs w:val="24"/>
              </w:rPr>
              <w:t>回复：随着新型电力系统建设纵深推进，能源电力安全、能源数字化转型、新能源高质量发展等需求更加突出，公司操作系统等产品及解决方案的应用场景在电力行业得到进一步延伸，目前公司操作系统应用细分领域覆盖电力发电、变电、输电、配电、用电、储能等多个关键领域，并不断拓展延伸新能源等业务应用场景。此外，公司积极布局并参与了电力新一代调度、配电、变电等系统建设，充分发挥麒麟信安操作系统作为电力行业主流国产操作系统的优势，2024年电力行业的操作系统业务收入实现了较快增长。</w:t>
            </w:r>
          </w:p>
          <w:p w14:paraId="62FD6E9F">
            <w:pPr>
              <w:ind w:firstLine="480" w:firstLineChars="200"/>
              <w:rPr>
                <w:rFonts w:ascii="宋体" w:hAnsi="宋体" w:eastAsia="宋体" w:cs="宋体"/>
                <w:sz w:val="24"/>
                <w:szCs w:val="24"/>
              </w:rPr>
            </w:pPr>
            <w:r>
              <w:rPr>
                <w:rFonts w:hint="eastAsia" w:ascii="宋体" w:hAnsi="宋体" w:eastAsia="宋体" w:cs="宋体"/>
                <w:sz w:val="24"/>
                <w:szCs w:val="24"/>
              </w:rPr>
              <w:t>此外，受CentOS停服</w:t>
            </w:r>
            <w:bookmarkStart w:id="0" w:name="_GoBack"/>
            <w:bookmarkEnd w:id="0"/>
            <w:r>
              <w:rPr>
                <w:rFonts w:hint="eastAsia" w:ascii="宋体" w:hAnsi="宋体" w:eastAsia="宋体" w:cs="宋体"/>
                <w:sz w:val="24"/>
                <w:szCs w:val="24"/>
              </w:rPr>
              <w:t>催化，公司深入融合行业客户需求，及时推出系统迁移和系统安全加固两套针对性解决方案，为关键行业用户面临的CentOS停服挑战提供安全、高效的应对措施，助力电力、金融、运营商、政务、交通、教育等关键行业客户顺利完成CentOS向国产操作系统的平滑过渡。</w:t>
            </w:r>
          </w:p>
          <w:p w14:paraId="6F8B061E">
            <w:pPr>
              <w:ind w:firstLine="480" w:firstLineChars="200"/>
              <w:rPr>
                <w:rFonts w:ascii="宋体" w:hAnsi="宋体" w:eastAsia="宋体" w:cs="宋体"/>
                <w:sz w:val="24"/>
                <w:szCs w:val="24"/>
              </w:rPr>
            </w:pPr>
            <w:r>
              <w:rPr>
                <w:rFonts w:hint="eastAsia" w:ascii="宋体" w:hAnsi="宋体" w:eastAsia="宋体" w:cs="宋体"/>
                <w:sz w:val="24"/>
                <w:szCs w:val="24"/>
              </w:rPr>
              <w:t>2024年5月，公司核心产品麒麟信安服务器操作系统通过了中国信息安全测评中心的安全可靠测评，标志着公司服务器操作系统产品能力和自主研发实力得到了国家权威机构的进一步认可，公司在政务、能源、金融、交通及教育等领域的业务拓展机会明显增多并落地一系列标杆案例。近期，公司还相继入围了中央国家机关及多地2024年操作系统框架协议采购项目，这也将有利于进一步加速后续公司操作系统产品在政务、金融、交通、医疗及教育等关键领域的应用。</w:t>
            </w:r>
          </w:p>
          <w:p w14:paraId="1E065D92">
            <w:pPr>
              <w:ind w:firstLine="480" w:firstLineChars="200"/>
              <w:rPr>
                <w:rFonts w:ascii="宋体" w:hAnsi="宋体" w:eastAsia="宋体" w:cs="宋体"/>
                <w:sz w:val="24"/>
                <w:szCs w:val="24"/>
              </w:rPr>
            </w:pPr>
            <w:r>
              <w:rPr>
                <w:rFonts w:hint="eastAsia" w:ascii="宋体" w:hAnsi="宋体" w:eastAsia="宋体" w:cs="宋体"/>
                <w:sz w:val="24"/>
                <w:szCs w:val="24"/>
              </w:rPr>
              <w:t>总的来说，公司持续深耕关键行业客户需求，不断推动产品与技术创新，促进了重点行业的突破和业务增长；同时紧抓信息技术应用创新在能源、金融、运营商、交通、教育及医疗等行业的市场机会，全力以赴开拓新市场，不断优化营销策略，打造满足行业用户需求的产品解决方案，完善渠道体系建设，提升了公司整体市场竞争力。</w:t>
            </w:r>
          </w:p>
          <w:p w14:paraId="1AF334E8">
            <w:pPr>
              <w:ind w:firstLine="480" w:firstLineChars="200"/>
              <w:rPr>
                <w:rFonts w:ascii="宋体" w:hAnsi="宋体" w:eastAsia="宋体" w:cs="宋体"/>
                <w:sz w:val="24"/>
                <w:szCs w:val="24"/>
              </w:rPr>
            </w:pPr>
          </w:p>
          <w:p w14:paraId="60E58C60">
            <w:pPr>
              <w:pStyle w:val="8"/>
              <w:widowControl/>
              <w:tabs>
                <w:tab w:val="left" w:pos="400"/>
                <w:tab w:val="clear" w:pos="916"/>
                <w:tab w:val="clear" w:pos="2748"/>
                <w:tab w:val="clear" w:pos="4580"/>
                <w:tab w:val="clear" w:pos="6412"/>
                <w:tab w:val="clear" w:pos="8244"/>
                <w:tab w:val="clear" w:pos="10076"/>
                <w:tab w:val="clear" w:pos="11908"/>
                <w:tab w:val="clear" w:pos="13740"/>
              </w:tabs>
              <w:spacing w:before="157" w:beforeLines="50" w:after="157" w:afterLines="50"/>
              <w:ind w:firstLine="482" w:firstLineChars="200"/>
              <w:rPr>
                <w:rFonts w:hint="default"/>
                <w:b/>
                <w:bCs/>
                <w:color w:val="000000"/>
              </w:rPr>
            </w:pPr>
            <w:r>
              <w:rPr>
                <w:rFonts w:hint="default"/>
                <w:b/>
                <w:bCs/>
                <w:color w:val="000000"/>
              </w:rPr>
              <w:t>问题</w:t>
            </w:r>
            <w:r>
              <w:rPr>
                <w:b/>
                <w:bCs/>
                <w:color w:val="000000"/>
              </w:rPr>
              <w:t>2</w:t>
            </w:r>
            <w:r>
              <w:rPr>
                <w:rFonts w:hint="default"/>
                <w:b/>
                <w:bCs/>
                <w:color w:val="000000"/>
              </w:rPr>
              <w:t>：请问公司</w:t>
            </w:r>
            <w:r>
              <w:rPr>
                <w:b/>
                <w:bCs/>
                <w:color w:val="000000"/>
              </w:rPr>
              <w:t>操作系统</w:t>
            </w:r>
            <w:r>
              <w:rPr>
                <w:rFonts w:hint="default"/>
                <w:b/>
                <w:bCs/>
                <w:color w:val="000000"/>
              </w:rPr>
              <w:t>产品的</w:t>
            </w:r>
            <w:r>
              <w:rPr>
                <w:b/>
                <w:bCs/>
                <w:color w:val="000000"/>
              </w:rPr>
              <w:t>核心竞争力</w:t>
            </w:r>
            <w:r>
              <w:rPr>
                <w:rFonts w:hint="default"/>
                <w:b/>
                <w:bCs/>
                <w:color w:val="000000"/>
              </w:rPr>
              <w:t>如何？</w:t>
            </w:r>
          </w:p>
          <w:p w14:paraId="2182C296">
            <w:pPr>
              <w:pStyle w:val="8"/>
              <w:widowControl/>
              <w:tabs>
                <w:tab w:val="left" w:pos="400"/>
                <w:tab w:val="clear" w:pos="916"/>
                <w:tab w:val="clear" w:pos="2748"/>
                <w:tab w:val="clear" w:pos="4580"/>
                <w:tab w:val="clear" w:pos="6412"/>
                <w:tab w:val="clear" w:pos="8244"/>
                <w:tab w:val="clear" w:pos="10076"/>
                <w:tab w:val="clear" w:pos="11908"/>
                <w:tab w:val="clear" w:pos="13740"/>
              </w:tabs>
              <w:ind w:firstLine="480" w:firstLineChars="200"/>
              <w:rPr>
                <w:rFonts w:hint="default"/>
                <w:color w:val="000000"/>
              </w:rPr>
            </w:pPr>
            <w:r>
              <w:rPr>
                <w:rFonts w:hint="default"/>
                <w:color w:val="000000"/>
              </w:rPr>
              <w:t>回复：公司是国家发改委批复的高可信操作系统国家地方联合工程研究中心的依托实体，自成立以来秉承“推进国产化安全应用”的使命，持续专注于国产操作系统的研发与产业化应用。麒麟信安操作系统是基于国内自主根社区openEuler研制，确保全要素、全链条安全可靠；系统基于openEuler进行生态建设，形成全栈全量适配的统一生态；系统持续在安全性、实时性、可靠性、易用性、智能运维等方面迭代技术优势，率先且连续8次通过公安部信息安全产品检测中心等保四级安全认证，并获得了中国电力科学研究院、中国信息安全测评中心、中国软件评测中心等多个国家和行业权威机构的测试认证，符合政府《采购需求标准》和关键领域的安全可靠等相关要求；系统同源兼容鲲鹏、飞腾、龙芯、海光、兆芯、申威等国产CPU，覆盖IT、CT、OT全场景应用，可为重要行业提供满足自主安全可靠要求的商业版本和解决方案。</w:t>
            </w:r>
          </w:p>
          <w:p w14:paraId="6DE7DCFB">
            <w:pPr>
              <w:pStyle w:val="8"/>
              <w:widowControl/>
              <w:tabs>
                <w:tab w:val="left" w:pos="400"/>
                <w:tab w:val="clear" w:pos="916"/>
                <w:tab w:val="clear" w:pos="2748"/>
                <w:tab w:val="clear" w:pos="4580"/>
                <w:tab w:val="clear" w:pos="6412"/>
                <w:tab w:val="clear" w:pos="8244"/>
                <w:tab w:val="clear" w:pos="10076"/>
                <w:tab w:val="clear" w:pos="11908"/>
                <w:tab w:val="clear" w:pos="13740"/>
              </w:tabs>
              <w:ind w:firstLine="480" w:firstLineChars="200"/>
              <w:rPr>
                <w:rFonts w:hint="default"/>
                <w:color w:val="000000"/>
              </w:rPr>
            </w:pPr>
            <w:r>
              <w:rPr>
                <w:rFonts w:hint="default"/>
                <w:color w:val="000000"/>
              </w:rPr>
              <w:t xml:space="preserve">同时，公司以操作系统为根技术创新发展信息安全和云计算等产品及服务业务，公司三块业务都以安全为“魂”，技术上紧密关联，形成了具有“三位一体”业务优势的核心产品体系，应用部署上安全协同、适配最优、运维高效、性价比高，并从操作系统到云桌面到数据存储实现信息系统原生安全。 </w:t>
            </w:r>
          </w:p>
          <w:p w14:paraId="17F0E50C">
            <w:pPr>
              <w:pStyle w:val="8"/>
              <w:widowControl/>
              <w:tabs>
                <w:tab w:val="left" w:pos="400"/>
                <w:tab w:val="clear" w:pos="916"/>
                <w:tab w:val="clear" w:pos="2748"/>
                <w:tab w:val="clear" w:pos="4580"/>
                <w:tab w:val="clear" w:pos="6412"/>
                <w:tab w:val="clear" w:pos="8244"/>
                <w:tab w:val="clear" w:pos="10076"/>
                <w:tab w:val="clear" w:pos="11908"/>
                <w:tab w:val="clear" w:pos="13740"/>
              </w:tabs>
              <w:ind w:firstLine="480" w:firstLineChars="200"/>
              <w:rPr>
                <w:color w:val="000000"/>
              </w:rPr>
            </w:pPr>
            <w:r>
              <w:rPr>
                <w:rFonts w:hint="default"/>
                <w:color w:val="000000"/>
              </w:rPr>
              <w:t>公司产品经过多年在电力、国防行业用户生产及关键业务系统的应用部署和技术迭代升级，在安全性、可靠性、可用性、实时性等性能、实践经验及专业服务响应能力方面形成了良好的竞争力及品牌影响力</w:t>
            </w:r>
            <w:r>
              <w:rPr>
                <w:color w:val="000000"/>
              </w:rPr>
              <w:t>。</w:t>
            </w:r>
          </w:p>
          <w:p w14:paraId="3AAF1DEF">
            <w:pPr>
              <w:pStyle w:val="8"/>
              <w:widowControl/>
              <w:spacing w:before="156" w:beforeLines="50" w:after="156" w:afterLines="50"/>
              <w:ind w:firstLine="482" w:firstLineChars="200"/>
              <w:rPr>
                <w:rFonts w:cs="宋体"/>
                <w:b/>
                <w:bCs/>
                <w:kern w:val="2"/>
              </w:rPr>
            </w:pPr>
          </w:p>
          <w:p w14:paraId="1F151FB0">
            <w:pPr>
              <w:pStyle w:val="8"/>
              <w:widowControl/>
              <w:spacing w:before="156" w:beforeLines="50" w:after="156" w:afterLines="50"/>
              <w:ind w:firstLine="482" w:firstLineChars="200"/>
              <w:rPr>
                <w:rFonts w:hint="default" w:cs="宋体"/>
                <w:kern w:val="2"/>
              </w:rPr>
            </w:pPr>
            <w:r>
              <w:rPr>
                <w:rFonts w:cs="宋体"/>
                <w:b/>
                <w:bCs/>
                <w:kern w:val="2"/>
              </w:rPr>
              <w:t>问题3：请介绍下公司基于国际TCI架构推出的支持信创PC的新一代云桌面解决方案，主要应用领域？</w:t>
            </w:r>
          </w:p>
          <w:p w14:paraId="7CDD82DA">
            <w:pPr>
              <w:pStyle w:val="8"/>
              <w:widowControl/>
              <w:ind w:firstLine="480" w:firstLineChars="200"/>
              <w:rPr>
                <w:rFonts w:hint="default" w:cs="宋体"/>
                <w:kern w:val="2"/>
              </w:rPr>
            </w:pPr>
            <w:r>
              <w:rPr>
                <w:rFonts w:cs="宋体"/>
                <w:kern w:val="2"/>
              </w:rPr>
              <w:t xml:space="preserve">回复：近年来，数字化转型在党政、金融、能源等领域不断发展，在国家对信息技术应用创新的大力推动下，国产PC正越来越广泛地应用于各个领域。为了推动国产PC的应用，尤其是承担关键业务的国产PC的应用、运维和安全管理，公司凭借其多年在云桌面产品研发领域的深厚积累，结合国际先进的TCI架构技术理念，迭代开发推出了支持信创PC的新一代云桌面解决方案。  </w:t>
            </w:r>
          </w:p>
          <w:p w14:paraId="678ECFE0">
            <w:pPr>
              <w:pStyle w:val="8"/>
              <w:widowControl/>
              <w:ind w:firstLine="480" w:firstLineChars="200"/>
              <w:rPr>
                <w:rFonts w:hint="default" w:cs="宋体"/>
                <w:kern w:val="2"/>
              </w:rPr>
            </w:pPr>
            <w:r>
              <w:rPr>
                <w:rFonts w:cs="宋体"/>
                <w:kern w:val="2"/>
              </w:rPr>
              <w:t>该方案以支持国产化平台的TCI技术为核心，以优化国产PC使用场景为导向，对关键业务国产PC进行云化纳管，能够实现云计算技术与传统PC技术的无缝对接与完美融合，解决当前大量应用于党政行业的信创PC存在安装部署慢、运维管理难、安全管控弱等问题，旨在助力用户建设更加高效、安全的国产化信息系统。</w:t>
            </w:r>
          </w:p>
          <w:p w14:paraId="10A68993">
            <w:pPr>
              <w:pStyle w:val="8"/>
              <w:widowControl/>
              <w:tabs>
                <w:tab w:val="left" w:pos="400"/>
                <w:tab w:val="clear" w:pos="916"/>
                <w:tab w:val="clear" w:pos="2748"/>
                <w:tab w:val="clear" w:pos="4580"/>
                <w:tab w:val="clear" w:pos="6412"/>
                <w:tab w:val="clear" w:pos="8244"/>
                <w:tab w:val="clear" w:pos="10076"/>
                <w:tab w:val="clear" w:pos="11908"/>
                <w:tab w:val="clear" w:pos="13740"/>
              </w:tabs>
              <w:ind w:firstLine="480" w:firstLineChars="200"/>
              <w:rPr>
                <w:rFonts w:hint="default"/>
                <w:color w:val="000000"/>
              </w:rPr>
            </w:pPr>
          </w:p>
          <w:p w14:paraId="5520CEF6">
            <w:pPr>
              <w:pStyle w:val="8"/>
              <w:widowControl/>
              <w:spacing w:before="156" w:beforeLines="50" w:after="156" w:afterLines="50"/>
              <w:ind w:firstLine="482" w:firstLineChars="200"/>
              <w:rPr>
                <w:rFonts w:hint="default" w:cs="宋体"/>
                <w:kern w:val="2"/>
              </w:rPr>
            </w:pPr>
            <w:r>
              <w:rPr>
                <w:rFonts w:cs="宋体"/>
                <w:b/>
                <w:bCs/>
                <w:kern w:val="2"/>
              </w:rPr>
              <w:t>问题4：公司近期推出的麒麟信安全国产化智算一体机产品在AI领域的创新发展情况？</w:t>
            </w:r>
          </w:p>
          <w:p w14:paraId="1AFEF78C">
            <w:pPr>
              <w:pStyle w:val="8"/>
              <w:widowControl/>
              <w:ind w:firstLine="480" w:firstLineChars="200"/>
              <w:rPr>
                <w:rFonts w:hint="default" w:cs="宋体"/>
                <w:kern w:val="2"/>
              </w:rPr>
            </w:pPr>
            <w:r>
              <w:rPr>
                <w:rFonts w:cs="宋体"/>
                <w:kern w:val="2"/>
              </w:rPr>
              <w:t xml:space="preserve">回复：麒麟信安全国产化智算一体机，采用国产鲲鹏920架构服务器+华为昇腾AI卡，搭载自主研发的麒麟信安安全操作系统，内置DeepSeek大模型，支持对接麒麟信安安全存储系统和无缝集成麒麟信安云，致力于打造面向关键领域的全国产化、软硬件一体化的智算信创解决方案。面对AI应用对底层基础软件和硬件算力协同性、高效性的需求，公司通过对操作系统的进程调度、内存分配等多方面算法和策略进行深入优化，有效提升了系统资源管理、网络与IO吞吐性能。此外，该一体机支持开箱即用，运维简便，内置智能问答等智能化应用，既具备大模型通用问答能力，也支持企业自建私有知识库，实现内部知识问答，可满足国防、医疗、能源、金融等行业开展智算基础设施建设使用需求。    </w:t>
            </w:r>
          </w:p>
          <w:p w14:paraId="16B70B2D">
            <w:pPr>
              <w:pStyle w:val="8"/>
              <w:widowControl/>
              <w:ind w:firstLine="480" w:firstLineChars="200"/>
              <w:rPr>
                <w:rFonts w:hint="default" w:cs="宋体"/>
              </w:rPr>
            </w:pPr>
            <w:r>
              <w:rPr>
                <w:rFonts w:cs="宋体"/>
                <w:kern w:val="2"/>
              </w:rPr>
              <w:t>未来，公司将继续秉承创新发展理念，紧跟人工智能等前沿技术发展，持续推进产品创新，赋能用户数智化发展，提升公司核心竞争力。</w:t>
            </w:r>
          </w:p>
          <w:p w14:paraId="1E2E189F">
            <w:pPr>
              <w:ind w:firstLine="480" w:firstLineChars="200"/>
              <w:rPr>
                <w:rFonts w:ascii="宋体" w:hAnsi="宋体" w:eastAsia="宋体" w:cs="宋体"/>
                <w:sz w:val="24"/>
                <w:szCs w:val="24"/>
              </w:rPr>
            </w:pPr>
          </w:p>
          <w:p w14:paraId="4A680B54">
            <w:pPr>
              <w:spacing w:before="157" w:beforeLines="50" w:after="157" w:afterLines="5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问题5：公司对今年的人员有什么规划？今年是否会有新一期股权激励计划？</w:t>
            </w:r>
          </w:p>
          <w:p w14:paraId="4690718C">
            <w:pPr>
              <w:ind w:firstLine="480" w:firstLineChars="200"/>
              <w:rPr>
                <w:rFonts w:ascii="宋体" w:hAnsi="宋体" w:eastAsia="宋体" w:cs="宋体"/>
                <w:sz w:val="24"/>
                <w:szCs w:val="24"/>
              </w:rPr>
            </w:pPr>
            <w:r>
              <w:rPr>
                <w:rFonts w:hint="eastAsia" w:ascii="宋体" w:hAnsi="宋体" w:eastAsia="宋体" w:cs="宋体"/>
                <w:sz w:val="24"/>
                <w:szCs w:val="24"/>
              </w:rPr>
              <w:t>回复：为满足电力、国防、政务、金融及教育等重点领域的业务拓展与产品迭代升级的需求，今年公司将重点加强销售及研发团队建设，通过实施人才引进计划，优化现有人才结构、提升团队专业能力，持续强化市场拓展与技术创新双轮驱动体系，为公司战略目标的实现及核心竞争力的提升提供坚实的人才保障。</w:t>
            </w:r>
          </w:p>
          <w:p w14:paraId="4C110FB7">
            <w:pPr>
              <w:ind w:firstLine="480" w:firstLineChars="200"/>
              <w:rPr>
                <w:rFonts w:ascii="宋体" w:hAnsi="宋体" w:eastAsia="宋体" w:cs="宋体"/>
                <w:sz w:val="24"/>
                <w:szCs w:val="24"/>
              </w:rPr>
            </w:pPr>
            <w:r>
              <w:rPr>
                <w:rFonts w:hint="eastAsia" w:ascii="宋体" w:hAnsi="宋体" w:eastAsia="宋体" w:cs="宋体"/>
                <w:sz w:val="24"/>
                <w:szCs w:val="24"/>
              </w:rPr>
              <w:t>公司始终重视核心骨干队伍的建设，持续建立健全公司长效激励机制，以吸引和留住优秀人才。公司将会严格按照有关法律法规，并结合市场状况、公司发展战略、员工激励机制、股东利益等多方面因素进行综合考量，确定是否推出新一期的股权激励计划。后续如有新的股权激励计划，公司将及时履行信息披露义务。</w:t>
            </w:r>
          </w:p>
          <w:p w14:paraId="1FCF2D5C">
            <w:pPr>
              <w:ind w:firstLine="480" w:firstLineChars="200"/>
              <w:rPr>
                <w:rFonts w:ascii="宋体" w:hAnsi="宋体" w:eastAsia="宋体" w:cs="宋体"/>
                <w:sz w:val="24"/>
                <w:szCs w:val="24"/>
              </w:rPr>
            </w:pPr>
          </w:p>
        </w:tc>
      </w:tr>
      <w:tr w14:paraId="522B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vAlign w:val="center"/>
          </w:tcPr>
          <w:p w14:paraId="6BCF6ABC">
            <w:pPr>
              <w:snapToGrid w:val="0"/>
              <w:spacing w:before="156" w:beforeLines="50" w:after="156" w:afterLines="50" w:line="240" w:lineRule="atLeast"/>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附件</w:t>
            </w:r>
          </w:p>
        </w:tc>
        <w:tc>
          <w:tcPr>
            <w:tcW w:w="6069" w:type="dxa"/>
            <w:vAlign w:val="center"/>
          </w:tcPr>
          <w:p w14:paraId="2B0A747E">
            <w:pPr>
              <w:snapToGrid w:val="0"/>
              <w:spacing w:before="156" w:beforeLines="50" w:after="156" w:afterLines="50" w:line="24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无</w:t>
            </w:r>
          </w:p>
        </w:tc>
      </w:tr>
    </w:tbl>
    <w:p w14:paraId="2EB795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3CCC"/>
    <w:rsid w:val="00034ECD"/>
    <w:rsid w:val="000A0163"/>
    <w:rsid w:val="000B5501"/>
    <w:rsid w:val="00173CCC"/>
    <w:rsid w:val="002C075C"/>
    <w:rsid w:val="00585B6D"/>
    <w:rsid w:val="00603F37"/>
    <w:rsid w:val="008B1A8D"/>
    <w:rsid w:val="00A02C7B"/>
    <w:rsid w:val="00A13A40"/>
    <w:rsid w:val="00B22BC6"/>
    <w:rsid w:val="00BD4D9D"/>
    <w:rsid w:val="00C5411B"/>
    <w:rsid w:val="00C57D64"/>
    <w:rsid w:val="00D02523"/>
    <w:rsid w:val="00E42E18"/>
    <w:rsid w:val="00EB677D"/>
    <w:rsid w:val="00EC027E"/>
    <w:rsid w:val="00F376CF"/>
    <w:rsid w:val="02AD41BE"/>
    <w:rsid w:val="070B6B66"/>
    <w:rsid w:val="072E241B"/>
    <w:rsid w:val="0DDB7591"/>
    <w:rsid w:val="119B4313"/>
    <w:rsid w:val="13530D75"/>
    <w:rsid w:val="141A7089"/>
    <w:rsid w:val="157E0E4B"/>
    <w:rsid w:val="1681299E"/>
    <w:rsid w:val="16FE3492"/>
    <w:rsid w:val="182365F5"/>
    <w:rsid w:val="18D4565B"/>
    <w:rsid w:val="1945034F"/>
    <w:rsid w:val="1A7F6865"/>
    <w:rsid w:val="1AB175CD"/>
    <w:rsid w:val="1C781CF2"/>
    <w:rsid w:val="1E0C3498"/>
    <w:rsid w:val="20E54D00"/>
    <w:rsid w:val="20F9530E"/>
    <w:rsid w:val="21AB0397"/>
    <w:rsid w:val="23116E55"/>
    <w:rsid w:val="23B9013C"/>
    <w:rsid w:val="26A12196"/>
    <w:rsid w:val="27A71389"/>
    <w:rsid w:val="29595903"/>
    <w:rsid w:val="2B667F60"/>
    <w:rsid w:val="2C4448D0"/>
    <w:rsid w:val="2ECE56A3"/>
    <w:rsid w:val="33CA3782"/>
    <w:rsid w:val="3AF10618"/>
    <w:rsid w:val="3C91295B"/>
    <w:rsid w:val="3D580050"/>
    <w:rsid w:val="3D6F7148"/>
    <w:rsid w:val="3E59522A"/>
    <w:rsid w:val="3EC251B0"/>
    <w:rsid w:val="3F6A0B96"/>
    <w:rsid w:val="4024246B"/>
    <w:rsid w:val="418331C2"/>
    <w:rsid w:val="419D24D5"/>
    <w:rsid w:val="425A6EE2"/>
    <w:rsid w:val="42B54A29"/>
    <w:rsid w:val="44066C38"/>
    <w:rsid w:val="440D58A6"/>
    <w:rsid w:val="44325F1E"/>
    <w:rsid w:val="44AF5F31"/>
    <w:rsid w:val="45D264C6"/>
    <w:rsid w:val="498E0956"/>
    <w:rsid w:val="4BE75683"/>
    <w:rsid w:val="4E4B3404"/>
    <w:rsid w:val="4F38383D"/>
    <w:rsid w:val="502D13E3"/>
    <w:rsid w:val="5133685B"/>
    <w:rsid w:val="53B17F0E"/>
    <w:rsid w:val="55E41D29"/>
    <w:rsid w:val="58553A82"/>
    <w:rsid w:val="5AD662EC"/>
    <w:rsid w:val="5B8A7E0B"/>
    <w:rsid w:val="5CC44962"/>
    <w:rsid w:val="5F125F0A"/>
    <w:rsid w:val="5F2A0B2A"/>
    <w:rsid w:val="60395557"/>
    <w:rsid w:val="60D657EB"/>
    <w:rsid w:val="62B45AC3"/>
    <w:rsid w:val="637A2C3D"/>
    <w:rsid w:val="63DD2D30"/>
    <w:rsid w:val="649966D5"/>
    <w:rsid w:val="65711400"/>
    <w:rsid w:val="6688771A"/>
    <w:rsid w:val="67242BCD"/>
    <w:rsid w:val="684749DC"/>
    <w:rsid w:val="68A035E6"/>
    <w:rsid w:val="690732F3"/>
    <w:rsid w:val="693C4046"/>
    <w:rsid w:val="6E210D6B"/>
    <w:rsid w:val="705A7660"/>
    <w:rsid w:val="70FD18E8"/>
    <w:rsid w:val="71EF742C"/>
    <w:rsid w:val="727B1B10"/>
    <w:rsid w:val="73E95F5D"/>
    <w:rsid w:val="744228E5"/>
    <w:rsid w:val="74BB4393"/>
    <w:rsid w:val="760B3857"/>
    <w:rsid w:val="79F15BB3"/>
    <w:rsid w:val="7C5C1516"/>
    <w:rsid w:val="7E103E89"/>
    <w:rsid w:val="7E694F12"/>
    <w:rsid w:val="7F280929"/>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spacing w:before="50" w:beforeLines="50" w:after="50" w:afterLines="50"/>
      <w:ind w:firstLine="482" w:firstLineChars="200"/>
      <w:jc w:val="left"/>
      <w:outlineLvl w:val="0"/>
    </w:pPr>
    <w:rPr>
      <w:rFonts w:hint="eastAsia" w:ascii="宋体" w:hAnsi="宋体" w:eastAsia="宋体" w:cs="Times New Roman"/>
      <w:b/>
      <w:bCs/>
      <w:kern w:val="44"/>
      <w:sz w:val="24"/>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40" w:after="40" w:line="360" w:lineRule="auto"/>
      <w:outlineLvl w:val="2"/>
    </w:pPr>
    <w:rPr>
      <w:b/>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autoRedefine/>
    <w:unhideWhenUsed/>
    <w:qFormat/>
    <w:uiPriority w:val="99"/>
    <w:pPr>
      <w:jc w:val="left"/>
    </w:p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autoRedefine/>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1"/>
    <w:autoRedefine/>
    <w:unhideWhenUsed/>
    <w:qFormat/>
    <w:uiPriority w:val="99"/>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563C1" w:themeColor="hyperlink"/>
      <w:u w:val="single"/>
      <w14:textFill>
        <w14:solidFill>
          <w14:schemeClr w14:val="hlink"/>
        </w14:solidFill>
      </w14:textFill>
    </w:rPr>
  </w:style>
  <w:style w:type="character" w:styleId="15">
    <w:name w:val="annotation reference"/>
    <w:basedOn w:val="13"/>
    <w:autoRedefine/>
    <w:unhideWhenUsed/>
    <w:qFormat/>
    <w:uiPriority w:val="99"/>
    <w:rPr>
      <w:sz w:val="21"/>
      <w:szCs w:val="21"/>
    </w:rPr>
  </w:style>
  <w:style w:type="paragraph" w:customStyle="1" w:styleId="16">
    <w:name w:val="列表段落1"/>
    <w:basedOn w:val="1"/>
    <w:autoRedefine/>
    <w:qFormat/>
    <w:uiPriority w:val="34"/>
    <w:pPr>
      <w:ind w:firstLine="420" w:firstLineChars="200"/>
    </w:pPr>
  </w:style>
  <w:style w:type="character" w:customStyle="1" w:styleId="17">
    <w:name w:val="页眉 字符"/>
    <w:basedOn w:val="13"/>
    <w:link w:val="7"/>
    <w:autoRedefine/>
    <w:qFormat/>
    <w:uiPriority w:val="99"/>
    <w:rPr>
      <w:sz w:val="18"/>
      <w:szCs w:val="18"/>
    </w:rPr>
  </w:style>
  <w:style w:type="character" w:customStyle="1" w:styleId="18">
    <w:name w:val="页脚 字符"/>
    <w:basedOn w:val="13"/>
    <w:link w:val="6"/>
    <w:autoRedefine/>
    <w:qFormat/>
    <w:uiPriority w:val="99"/>
    <w:rPr>
      <w:sz w:val="18"/>
      <w:szCs w:val="18"/>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字符"/>
    <w:basedOn w:val="13"/>
    <w:link w:val="5"/>
    <w:autoRedefine/>
    <w:qFormat/>
    <w:uiPriority w:val="99"/>
  </w:style>
  <w:style w:type="character" w:customStyle="1" w:styleId="21">
    <w:name w:val="批注主题 字符"/>
    <w:basedOn w:val="20"/>
    <w:link w:val="10"/>
    <w:autoRedefine/>
    <w:semiHidden/>
    <w:qFormat/>
    <w:uiPriority w:val="99"/>
    <w:rPr>
      <w:b/>
      <w:bCs/>
    </w:rPr>
  </w:style>
  <w:style w:type="paragraph" w:customStyle="1" w:styleId="2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1 字符"/>
    <w:link w:val="2"/>
    <w:autoRedefine/>
    <w:qFormat/>
    <w:uiPriority w:val="9"/>
    <w:rPr>
      <w:rFonts w:hint="eastAsia" w:ascii="宋体" w:hAnsi="宋体" w:eastAsia="宋体" w:cs="Times New Roman"/>
      <w:b/>
      <w:bCs/>
      <w:kern w:val="44"/>
      <w:sz w:val="24"/>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2650</Words>
  <Characters>2741</Characters>
  <Lines>20</Lines>
  <Paragraphs>5</Paragraphs>
  <TotalTime>17</TotalTime>
  <ScaleCrop>false</ScaleCrop>
  <LinksUpToDate>false</LinksUpToDate>
  <CharactersWithSpaces>2842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2025-03-10T07:22:00Z</dcterms:created>
  <dc:creator>WL</dc:creator>
  <cp:lastModifiedBy>gechan</cp:lastModifiedBy>
  <cp:lastPrinted>2022-11-29T01:19:00Z</cp:lastPrinted>
  <dcterms:modified xsi:type="dcterms:W3CDTF">2025-03-10T07:57:04Z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B9BCBA229484450282D462A0930FC53E_13</vt:lpwstr>
  </property>
  <property fmtid="{D5CDD505-2E9C-101B-9397-08002B2CF9AE}" pid="4" name="KSOTemplateDocerSaveRecord">
    <vt:lpwstr>eyJoZGlkIjoiZjI2MThiZmNlMjRjNDkyN2Y1ZjUwZWZjZTIwYThiYjIiLCJ1c2VySWQiOiIyOTE1MzI3MjgifQ==</vt:lpwstr>
  </property>
</Properties>
</file>