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75F" w:rsidRDefault="00A3675F" w:rsidP="00A3675F">
      <w:pPr>
        <w:rPr>
          <w:rFonts w:ascii="宋体" w:eastAsia="宋体" w:hAnsi="宋体" w:cs="Times New Roman"/>
          <w:b/>
          <w:bCs/>
          <w:sz w:val="24"/>
          <w:szCs w:val="24"/>
          <w:lang w:eastAsia="zh-CN"/>
        </w:rPr>
      </w:pPr>
      <w:r>
        <w:rPr>
          <w:rFonts w:ascii="宋体" w:eastAsia="宋体" w:hAnsi="宋体" w:cs="Times New Roman" w:hint="eastAsia"/>
          <w:b/>
          <w:bCs/>
          <w:sz w:val="24"/>
          <w:szCs w:val="24"/>
          <w:lang w:eastAsia="zh-CN"/>
        </w:rPr>
        <w:t>证券简称：泛亚微透                               证券代码：688386</w:t>
      </w:r>
    </w:p>
    <w:p w:rsidR="00A3675F" w:rsidRDefault="00A3675F" w:rsidP="00A3675F">
      <w:pPr>
        <w:pStyle w:val="a3"/>
        <w:spacing w:before="0" w:beforeAutospacing="0" w:after="0" w:afterAutospacing="0" w:line="360" w:lineRule="auto"/>
        <w:ind w:firstLineChars="200" w:firstLine="482"/>
        <w:jc w:val="center"/>
        <w:rPr>
          <w:b/>
        </w:rPr>
      </w:pPr>
    </w:p>
    <w:p w:rsidR="00A3675F" w:rsidRDefault="00A3675F" w:rsidP="00A3675F">
      <w:pPr>
        <w:pStyle w:val="a3"/>
        <w:spacing w:before="0" w:beforeAutospacing="0" w:after="0" w:afterAutospacing="0" w:line="360" w:lineRule="auto"/>
        <w:jc w:val="center"/>
        <w:rPr>
          <w:b/>
          <w:sz w:val="30"/>
          <w:szCs w:val="30"/>
        </w:rPr>
      </w:pPr>
      <w:r>
        <w:rPr>
          <w:rFonts w:hint="eastAsia"/>
          <w:b/>
          <w:sz w:val="30"/>
          <w:szCs w:val="30"/>
        </w:rPr>
        <w:t>江苏泛亚微透科技股份有限公司投资者关系活动记录表</w:t>
      </w:r>
    </w:p>
    <w:p w:rsidR="00A3675F" w:rsidRDefault="00A3675F" w:rsidP="00A3675F">
      <w:pPr>
        <w:pStyle w:val="a3"/>
        <w:spacing w:before="0" w:beforeAutospacing="0" w:after="0" w:afterAutospacing="0" w:line="360" w:lineRule="auto"/>
        <w:jc w:val="center"/>
      </w:pPr>
      <w:r>
        <w:rPr>
          <w:b/>
          <w:sz w:val="30"/>
          <w:szCs w:val="30"/>
        </w:rPr>
        <w:t xml:space="preserve">                                            </w:t>
      </w:r>
      <w:r>
        <w:rPr>
          <w:rFonts w:hint="eastAsia"/>
        </w:rPr>
        <w:t>编号：2</w:t>
      </w:r>
      <w:r>
        <w:t>0</w:t>
      </w:r>
      <w:r>
        <w:rPr>
          <w:rFonts w:hint="eastAsia"/>
        </w:rPr>
        <w:t>2</w:t>
      </w:r>
      <w:r w:rsidR="00234066">
        <w:t>5</w:t>
      </w:r>
      <w:r>
        <w:rPr>
          <w:rFonts w:hint="eastAsia"/>
        </w:rPr>
        <w:t>-</w:t>
      </w:r>
      <w:r>
        <w:t>0</w:t>
      </w:r>
      <w:r>
        <w:rPr>
          <w:rFonts w:hint="eastAsia"/>
        </w:rPr>
        <w:t>0</w:t>
      </w:r>
      <w:r w:rsidR="00934CFA">
        <w:t>2</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66"/>
      </w:tblGrid>
      <w:tr w:rsidR="00E94F99" w:rsidTr="00C90507">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投资者关系活动类别</w:t>
            </w:r>
          </w:p>
        </w:tc>
        <w:tc>
          <w:tcPr>
            <w:tcW w:w="7066" w:type="dxa"/>
            <w:tcBorders>
              <w:top w:val="single" w:sz="4" w:space="0" w:color="auto"/>
              <w:left w:val="single" w:sz="4" w:space="0" w:color="auto"/>
              <w:bottom w:val="single" w:sz="4" w:space="0" w:color="auto"/>
              <w:right w:val="single" w:sz="4" w:space="0" w:color="auto"/>
            </w:tcBorders>
            <w:hideMark/>
          </w:tcPr>
          <w:p w:rsidR="00A3675F" w:rsidRDefault="00A3675F" w:rsidP="00F86142">
            <w:pPr>
              <w:pStyle w:val="a3"/>
              <w:spacing w:before="0" w:beforeAutospacing="0" w:after="0" w:afterAutospacing="0" w:line="480" w:lineRule="exact"/>
              <w:rPr>
                <w:kern w:val="2"/>
              </w:rPr>
            </w:pPr>
            <w:r>
              <w:rPr>
                <w:rFonts w:hint="eastAsia"/>
                <w:kern w:val="2"/>
              </w:rPr>
              <w:sym w:font="Wingdings" w:char="F0FE"/>
            </w:r>
            <w:r>
              <w:rPr>
                <w:rFonts w:hint="eastAsia"/>
                <w:kern w:val="2"/>
              </w:rPr>
              <w:t>特定对象调研 □分析师会议</w:t>
            </w:r>
          </w:p>
          <w:p w:rsidR="00A3675F" w:rsidRDefault="00A3675F" w:rsidP="00F86142">
            <w:pPr>
              <w:pStyle w:val="a3"/>
              <w:spacing w:before="0" w:beforeAutospacing="0" w:after="0" w:afterAutospacing="0" w:line="480" w:lineRule="exact"/>
              <w:rPr>
                <w:kern w:val="2"/>
              </w:rPr>
            </w:pPr>
            <w:r>
              <w:rPr>
                <w:rFonts w:hint="eastAsia"/>
                <w:kern w:val="2"/>
              </w:rPr>
              <w:t>□媒体采访 □业绩说明会</w:t>
            </w:r>
          </w:p>
          <w:p w:rsidR="00A3675F" w:rsidRDefault="00A3675F" w:rsidP="00F86142">
            <w:pPr>
              <w:pStyle w:val="a3"/>
              <w:spacing w:before="0" w:beforeAutospacing="0" w:after="0" w:afterAutospacing="0" w:line="480" w:lineRule="exact"/>
              <w:rPr>
                <w:kern w:val="2"/>
              </w:rPr>
            </w:pPr>
            <w:bookmarkStart w:id="0" w:name="OLE_LINK1"/>
            <w:bookmarkStart w:id="1" w:name="OLE_LINK2"/>
            <w:r>
              <w:rPr>
                <w:rFonts w:hint="eastAsia"/>
                <w:kern w:val="2"/>
              </w:rPr>
              <w:t>□</w:t>
            </w:r>
            <w:bookmarkEnd w:id="0"/>
            <w:bookmarkEnd w:id="1"/>
            <w:r>
              <w:rPr>
                <w:rFonts w:hint="eastAsia"/>
                <w:kern w:val="2"/>
              </w:rPr>
              <w:t>新闻发布会 □路演活动</w:t>
            </w:r>
          </w:p>
          <w:p w:rsidR="00A3675F" w:rsidRDefault="00A3675F" w:rsidP="00F86142">
            <w:pPr>
              <w:pStyle w:val="a3"/>
              <w:spacing w:before="0" w:beforeAutospacing="0" w:after="0" w:afterAutospacing="0" w:line="480" w:lineRule="exact"/>
              <w:rPr>
                <w:kern w:val="2"/>
              </w:rPr>
            </w:pPr>
            <w:r w:rsidRPr="00D5780A">
              <w:rPr>
                <w:rFonts w:hint="eastAsia"/>
                <w:kern w:val="2"/>
              </w:rPr>
              <w:t>□</w:t>
            </w:r>
            <w:r>
              <w:rPr>
                <w:rFonts w:hint="eastAsia"/>
                <w:kern w:val="2"/>
              </w:rPr>
              <w:t>现场参观</w:t>
            </w:r>
          </w:p>
          <w:p w:rsidR="00A3675F" w:rsidRDefault="00A3675F" w:rsidP="00F86142">
            <w:pPr>
              <w:pStyle w:val="a3"/>
              <w:spacing w:before="0" w:beforeAutospacing="0" w:after="0" w:afterAutospacing="0" w:line="480" w:lineRule="exact"/>
              <w:rPr>
                <w:kern w:val="2"/>
              </w:rPr>
            </w:pPr>
            <w:r>
              <w:rPr>
                <w:rFonts w:hint="eastAsia"/>
                <w:kern w:val="2"/>
              </w:rPr>
              <w:t>□其他 （请文字说明其他活动内容）</w:t>
            </w:r>
          </w:p>
        </w:tc>
      </w:tr>
      <w:tr w:rsidR="00E94F99" w:rsidTr="00C90507">
        <w:trPr>
          <w:trHeight w:val="1210"/>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参与单位名称及人员姓名</w:t>
            </w:r>
          </w:p>
        </w:tc>
        <w:tc>
          <w:tcPr>
            <w:tcW w:w="7066" w:type="dxa"/>
            <w:tcBorders>
              <w:top w:val="single" w:sz="4" w:space="0" w:color="auto"/>
              <w:left w:val="single" w:sz="4" w:space="0" w:color="auto"/>
              <w:bottom w:val="single" w:sz="4" w:space="0" w:color="auto"/>
              <w:right w:val="single" w:sz="4" w:space="0" w:color="auto"/>
            </w:tcBorders>
          </w:tcPr>
          <w:p w:rsidR="00BB1439" w:rsidRDefault="001A4113" w:rsidP="00F86142">
            <w:pPr>
              <w:pStyle w:val="a3"/>
              <w:spacing w:before="0" w:beforeAutospacing="0" w:after="0" w:afterAutospacing="0" w:line="480" w:lineRule="exact"/>
              <w:rPr>
                <w:kern w:val="2"/>
              </w:rPr>
            </w:pPr>
            <w:r>
              <w:rPr>
                <w:rFonts w:hint="eastAsia"/>
                <w:kern w:val="2"/>
              </w:rPr>
              <w:t>东财基金：周威</w:t>
            </w:r>
          </w:p>
          <w:p w:rsidR="001A4113" w:rsidRDefault="001A4113" w:rsidP="00F86142">
            <w:pPr>
              <w:pStyle w:val="a3"/>
              <w:spacing w:before="0" w:beforeAutospacing="0" w:after="0" w:afterAutospacing="0" w:line="480" w:lineRule="exact"/>
              <w:rPr>
                <w:kern w:val="2"/>
              </w:rPr>
            </w:pPr>
            <w:r>
              <w:rPr>
                <w:rFonts w:hint="eastAsia"/>
                <w:kern w:val="2"/>
              </w:rPr>
              <w:t>北京锦桐私募基金：周里勇</w:t>
            </w:r>
          </w:p>
          <w:p w:rsidR="001A4113" w:rsidRDefault="001A4113" w:rsidP="00F86142">
            <w:pPr>
              <w:pStyle w:val="a3"/>
              <w:spacing w:before="0" w:beforeAutospacing="0" w:after="0" w:afterAutospacing="0" w:line="480" w:lineRule="exact"/>
              <w:rPr>
                <w:kern w:val="2"/>
              </w:rPr>
            </w:pPr>
            <w:r>
              <w:rPr>
                <w:rFonts w:hint="eastAsia"/>
                <w:kern w:val="2"/>
              </w:rPr>
              <w:t>蜂巢基金：王泷皓</w:t>
            </w:r>
          </w:p>
          <w:p w:rsidR="001A4113" w:rsidRDefault="001A4113" w:rsidP="00F86142">
            <w:pPr>
              <w:pStyle w:val="a3"/>
              <w:spacing w:before="0" w:beforeAutospacing="0" w:after="0" w:afterAutospacing="0" w:line="480" w:lineRule="exact"/>
              <w:rPr>
                <w:kern w:val="2"/>
              </w:rPr>
            </w:pPr>
            <w:r>
              <w:rPr>
                <w:rFonts w:hint="eastAsia"/>
                <w:kern w:val="2"/>
              </w:rPr>
              <w:t>浙商证券：汤永俊</w:t>
            </w:r>
          </w:p>
          <w:p w:rsidR="001A4113" w:rsidRDefault="001A4113" w:rsidP="00F86142">
            <w:pPr>
              <w:pStyle w:val="a3"/>
              <w:spacing w:before="0" w:beforeAutospacing="0" w:after="0" w:afterAutospacing="0" w:line="480" w:lineRule="exact"/>
              <w:rPr>
                <w:kern w:val="2"/>
              </w:rPr>
            </w:pPr>
            <w:r>
              <w:rPr>
                <w:rFonts w:hint="eastAsia"/>
                <w:kern w:val="2"/>
              </w:rPr>
              <w:t>申万宏源：周超</w:t>
            </w:r>
          </w:p>
          <w:p w:rsidR="001B6C77" w:rsidRDefault="001B6C77" w:rsidP="00F86142">
            <w:pPr>
              <w:pStyle w:val="a3"/>
              <w:spacing w:before="0" w:beforeAutospacing="0" w:after="0" w:afterAutospacing="0" w:line="480" w:lineRule="exact"/>
              <w:rPr>
                <w:kern w:val="2"/>
              </w:rPr>
            </w:pPr>
            <w:r>
              <w:rPr>
                <w:rFonts w:hint="eastAsia"/>
                <w:kern w:val="2"/>
              </w:rPr>
              <w:t>国泰基金：叶烽</w:t>
            </w:r>
          </w:p>
          <w:p w:rsidR="00824C39" w:rsidRDefault="00824C39" w:rsidP="00F86142">
            <w:pPr>
              <w:pStyle w:val="a3"/>
              <w:spacing w:before="0" w:beforeAutospacing="0" w:after="0" w:afterAutospacing="0" w:line="480" w:lineRule="exact"/>
              <w:rPr>
                <w:kern w:val="2"/>
              </w:rPr>
            </w:pPr>
            <w:r>
              <w:rPr>
                <w:rFonts w:hint="eastAsia"/>
                <w:kern w:val="2"/>
              </w:rPr>
              <w:t>如仪投资：徐路鹏</w:t>
            </w:r>
          </w:p>
          <w:p w:rsidR="00824C39" w:rsidRPr="00F740ED" w:rsidRDefault="00824C39" w:rsidP="00F86142">
            <w:pPr>
              <w:pStyle w:val="a3"/>
              <w:spacing w:before="0" w:beforeAutospacing="0" w:after="0" w:afterAutospacing="0" w:line="480" w:lineRule="exact"/>
              <w:rPr>
                <w:kern w:val="2"/>
              </w:rPr>
            </w:pPr>
            <w:r>
              <w:rPr>
                <w:rFonts w:hint="eastAsia"/>
                <w:kern w:val="2"/>
              </w:rPr>
              <w:t>中泰证券：宋瀚清</w:t>
            </w:r>
          </w:p>
        </w:tc>
      </w:tr>
      <w:tr w:rsidR="00E94F99" w:rsidTr="00C90507">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时间</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1A4113">
            <w:pPr>
              <w:pStyle w:val="a3"/>
              <w:spacing w:before="0" w:beforeAutospacing="0" w:after="0" w:afterAutospacing="0" w:line="480" w:lineRule="exact"/>
              <w:rPr>
                <w:kern w:val="2"/>
              </w:rPr>
            </w:pPr>
            <w:r>
              <w:rPr>
                <w:rFonts w:hint="eastAsia"/>
                <w:kern w:val="2"/>
              </w:rPr>
              <w:t>202</w:t>
            </w:r>
            <w:r w:rsidR="00234066">
              <w:rPr>
                <w:kern w:val="2"/>
              </w:rPr>
              <w:t>5</w:t>
            </w:r>
            <w:r>
              <w:rPr>
                <w:rFonts w:hint="eastAsia"/>
                <w:kern w:val="2"/>
              </w:rPr>
              <w:t>年</w:t>
            </w:r>
            <w:r w:rsidR="001A4113">
              <w:rPr>
                <w:kern w:val="2"/>
              </w:rPr>
              <w:t>3</w:t>
            </w:r>
            <w:r>
              <w:rPr>
                <w:rFonts w:hint="eastAsia"/>
                <w:kern w:val="2"/>
              </w:rPr>
              <w:t>月</w:t>
            </w:r>
            <w:r w:rsidR="001A4113">
              <w:rPr>
                <w:kern w:val="2"/>
              </w:rPr>
              <w:t>6</w:t>
            </w:r>
            <w:r>
              <w:rPr>
                <w:rFonts w:hint="eastAsia"/>
                <w:kern w:val="2"/>
              </w:rPr>
              <w:t>日</w:t>
            </w:r>
            <w:r w:rsidR="001B6C77">
              <w:rPr>
                <w:rFonts w:hint="eastAsia"/>
                <w:kern w:val="2"/>
              </w:rPr>
              <w:t>、2</w:t>
            </w:r>
            <w:r w:rsidR="001B6C77">
              <w:rPr>
                <w:kern w:val="2"/>
              </w:rPr>
              <w:t>025</w:t>
            </w:r>
            <w:r w:rsidR="001B6C77">
              <w:rPr>
                <w:rFonts w:hint="eastAsia"/>
                <w:kern w:val="2"/>
              </w:rPr>
              <w:t>年3月7日</w:t>
            </w:r>
            <w:r w:rsidR="00824C39">
              <w:rPr>
                <w:rFonts w:hint="eastAsia"/>
                <w:kern w:val="2"/>
              </w:rPr>
              <w:t>、2</w:t>
            </w:r>
            <w:r w:rsidR="00824C39">
              <w:rPr>
                <w:kern w:val="2"/>
              </w:rPr>
              <w:t>025</w:t>
            </w:r>
            <w:r w:rsidR="00824C39">
              <w:rPr>
                <w:rFonts w:hint="eastAsia"/>
                <w:kern w:val="2"/>
              </w:rPr>
              <w:t>年3月1</w:t>
            </w:r>
            <w:r w:rsidR="00824C39">
              <w:rPr>
                <w:kern w:val="2"/>
              </w:rPr>
              <w:t>0</w:t>
            </w:r>
            <w:r w:rsidR="00824C39">
              <w:rPr>
                <w:rFonts w:hint="eastAsia"/>
                <w:kern w:val="2"/>
              </w:rPr>
              <w:t>日</w:t>
            </w:r>
          </w:p>
        </w:tc>
      </w:tr>
      <w:tr w:rsidR="00E94F99" w:rsidTr="00C90507">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地点</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t>江苏省常州市武进区礼嘉镇前漕路8号公司会议室</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上市公司接待人员姓名</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t>董事会秘书：王少华</w:t>
            </w:r>
          </w:p>
          <w:p w:rsidR="001A4113" w:rsidRDefault="001A4113" w:rsidP="00F86142">
            <w:pPr>
              <w:pStyle w:val="a3"/>
              <w:spacing w:before="0" w:beforeAutospacing="0" w:after="0" w:afterAutospacing="0" w:line="480" w:lineRule="exact"/>
              <w:rPr>
                <w:kern w:val="2"/>
              </w:rPr>
            </w:pPr>
            <w:r>
              <w:rPr>
                <w:rFonts w:hint="eastAsia"/>
                <w:kern w:val="2"/>
              </w:rPr>
              <w:t>证券事务代表：吕洪兵</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vAlign w:val="center"/>
          </w:tcPr>
          <w:p w:rsidR="00A3675F" w:rsidRDefault="00A3675F" w:rsidP="00F86142">
            <w:pPr>
              <w:pStyle w:val="a3"/>
              <w:spacing w:before="0" w:beforeAutospacing="0" w:after="0" w:afterAutospacing="0" w:line="480" w:lineRule="exact"/>
              <w:jc w:val="both"/>
              <w:rPr>
                <w:kern w:val="2"/>
              </w:rPr>
            </w:pPr>
            <w:r w:rsidRPr="00857E51">
              <w:rPr>
                <w:rFonts w:hint="eastAsia"/>
                <w:kern w:val="2"/>
              </w:rPr>
              <w:t>资者关系活动主要内容介绍</w:t>
            </w:r>
          </w:p>
        </w:tc>
        <w:tc>
          <w:tcPr>
            <w:tcW w:w="7066" w:type="dxa"/>
            <w:tcBorders>
              <w:top w:val="single" w:sz="4" w:space="0" w:color="auto"/>
              <w:left w:val="single" w:sz="4" w:space="0" w:color="auto"/>
              <w:bottom w:val="single" w:sz="4" w:space="0" w:color="auto"/>
              <w:right w:val="single" w:sz="4" w:space="0" w:color="auto"/>
            </w:tcBorders>
          </w:tcPr>
          <w:p w:rsidR="00A3675F" w:rsidRPr="00BB1439" w:rsidRDefault="00A3675F" w:rsidP="005E73CD">
            <w:pPr>
              <w:pStyle w:val="a3"/>
              <w:spacing w:before="0" w:beforeAutospacing="0" w:after="0" w:afterAutospacing="0" w:line="480" w:lineRule="exact"/>
              <w:ind w:firstLineChars="200" w:firstLine="480"/>
              <w:rPr>
                <w:kern w:val="2"/>
              </w:rPr>
            </w:pPr>
            <w:r w:rsidRPr="00BB1439">
              <w:rPr>
                <w:rFonts w:hint="eastAsia"/>
                <w:kern w:val="2"/>
              </w:rPr>
              <w:t>1、参观公司展厅</w:t>
            </w:r>
          </w:p>
          <w:p w:rsidR="00A3675F" w:rsidRPr="00BB1439" w:rsidRDefault="00A3675F" w:rsidP="005E73CD">
            <w:pPr>
              <w:pStyle w:val="a3"/>
              <w:spacing w:before="0" w:beforeAutospacing="0" w:after="0" w:afterAutospacing="0" w:line="480" w:lineRule="exact"/>
              <w:ind w:firstLineChars="200" w:firstLine="480"/>
              <w:rPr>
                <w:kern w:val="2"/>
              </w:rPr>
            </w:pPr>
            <w:r w:rsidRPr="00BB1439">
              <w:rPr>
                <w:rFonts w:hint="eastAsia"/>
                <w:kern w:val="2"/>
              </w:rPr>
              <w:t>2、</w:t>
            </w:r>
            <w:r w:rsidR="0019280C" w:rsidRPr="00BB1439">
              <w:rPr>
                <w:rFonts w:hint="eastAsia"/>
                <w:kern w:val="2"/>
              </w:rPr>
              <w:t>交流环节</w:t>
            </w:r>
          </w:p>
          <w:p w:rsidR="001E6B52" w:rsidRDefault="0019280C" w:rsidP="005E73CD">
            <w:pPr>
              <w:pStyle w:val="a3"/>
              <w:spacing w:before="0" w:beforeAutospacing="0" w:after="0" w:afterAutospacing="0" w:line="480" w:lineRule="exact"/>
              <w:ind w:firstLineChars="200" w:firstLine="480"/>
              <w:rPr>
                <w:kern w:val="2"/>
              </w:rPr>
            </w:pPr>
            <w:r w:rsidRPr="00BB1439">
              <w:rPr>
                <w:rFonts w:hint="eastAsia"/>
                <w:kern w:val="2"/>
              </w:rPr>
              <w:t>（1）介绍公司发展历程</w:t>
            </w:r>
          </w:p>
          <w:p w:rsidR="00804947" w:rsidRDefault="001B6C77" w:rsidP="005E73CD">
            <w:pPr>
              <w:pStyle w:val="a3"/>
              <w:spacing w:before="0" w:beforeAutospacing="0" w:after="0" w:afterAutospacing="0" w:line="480" w:lineRule="exact"/>
              <w:ind w:firstLineChars="200" w:firstLine="480"/>
              <w:rPr>
                <w:kern w:val="2"/>
              </w:rPr>
            </w:pPr>
            <w:r>
              <w:rPr>
                <w:rFonts w:hint="eastAsia"/>
                <w:kern w:val="2"/>
              </w:rPr>
              <w:t>公司成立于1</w:t>
            </w:r>
            <w:r>
              <w:rPr>
                <w:kern w:val="2"/>
              </w:rPr>
              <w:t>995</w:t>
            </w:r>
            <w:r>
              <w:rPr>
                <w:rFonts w:hint="eastAsia"/>
                <w:kern w:val="2"/>
              </w:rPr>
              <w:t>年，在</w:t>
            </w:r>
            <w:r w:rsidRPr="001B6C77">
              <w:rPr>
                <w:kern w:val="2"/>
              </w:rPr>
              <w:t>泛亚微透创立之初并没有明确要进入哪个细分行业，后来由于创始股东大都从事材料、工程等行业，最后还是决定从材料领域切入。2002年时，</w:t>
            </w:r>
            <w:r>
              <w:rPr>
                <w:rFonts w:hint="eastAsia"/>
                <w:kern w:val="2"/>
              </w:rPr>
              <w:t>公司董事长</w:t>
            </w:r>
            <w:r w:rsidRPr="001B6C77">
              <w:rPr>
                <w:kern w:val="2"/>
              </w:rPr>
              <w:t>敏锐地发现家用汽车行业渐渐有“起飞”的迹象，如果泛亚微透的材料能够在汽车行业中得到应用，企业发展会阔步向前。于是，泛亚微</w:t>
            </w:r>
            <w:r w:rsidRPr="001B6C77">
              <w:rPr>
                <w:kern w:val="2"/>
              </w:rPr>
              <w:lastRenderedPageBreak/>
              <w:t>透主动切入汽车行业。</w:t>
            </w:r>
            <w:r>
              <w:rPr>
                <w:rFonts w:hint="eastAsia"/>
                <w:kern w:val="2"/>
              </w:rPr>
              <w:t>在与汽车产业链客户合作过程中了解到</w:t>
            </w:r>
            <w:r w:rsidRPr="001B6C77">
              <w:rPr>
                <w:rFonts w:hint="eastAsia"/>
                <w:kern w:val="2"/>
              </w:rPr>
              <w:t>车灯上需要</w:t>
            </w:r>
            <w:r w:rsidRPr="001B6C77">
              <w:rPr>
                <w:kern w:val="2"/>
              </w:rPr>
              <w:t>ePTFE膜去做透气来解决雾气的问题，国外产品的价格非常昂贵，泛亚微透就抓住这个进口替代的机会，踏入汽车行业微透产品的应用端。</w:t>
            </w:r>
            <w:r>
              <w:rPr>
                <w:rFonts w:hint="eastAsia"/>
                <w:kern w:val="2"/>
              </w:rPr>
              <w:t>随着</w:t>
            </w:r>
            <w:r w:rsidRPr="001B6C77">
              <w:rPr>
                <w:kern w:val="2"/>
              </w:rPr>
              <w:t>泛亚微透在材料端的技术储备</w:t>
            </w:r>
            <w:r>
              <w:rPr>
                <w:rFonts w:hint="eastAsia"/>
                <w:kern w:val="2"/>
              </w:rPr>
              <w:t>日益</w:t>
            </w:r>
            <w:r w:rsidRPr="001B6C77">
              <w:rPr>
                <w:kern w:val="2"/>
              </w:rPr>
              <w:t>丰富，但资金却成了大问题。为推动企业发展，泛亚微透的创始股东决定引入战略投资者。2011年底，泛亚微透引入赛富基金，接着又引入了武商基金，到2015年引入了南方轴承，随着一轮轮战略投资者的加入，泛亚微透也变得越来越强大。</w:t>
            </w:r>
            <w:r>
              <w:rPr>
                <w:rFonts w:hint="eastAsia"/>
                <w:kern w:val="2"/>
              </w:rPr>
              <w:t>公司于</w:t>
            </w:r>
            <w:r w:rsidR="00804947">
              <w:rPr>
                <w:rFonts w:hint="eastAsia"/>
                <w:kern w:val="2"/>
              </w:rPr>
              <w:t>2</w:t>
            </w:r>
            <w:r w:rsidR="00804947">
              <w:rPr>
                <w:kern w:val="2"/>
              </w:rPr>
              <w:t>015</w:t>
            </w:r>
            <w:r w:rsidR="00804947">
              <w:rPr>
                <w:rFonts w:hint="eastAsia"/>
                <w:kern w:val="2"/>
              </w:rPr>
              <w:t>年公司完成股改，2</w:t>
            </w:r>
            <w:r w:rsidR="00804947">
              <w:rPr>
                <w:kern w:val="2"/>
              </w:rPr>
              <w:t>020</w:t>
            </w:r>
            <w:r w:rsidR="00804947">
              <w:rPr>
                <w:rFonts w:hint="eastAsia"/>
                <w:kern w:val="2"/>
              </w:rPr>
              <w:t>年1</w:t>
            </w:r>
            <w:r w:rsidR="00804947">
              <w:rPr>
                <w:kern w:val="2"/>
              </w:rPr>
              <w:t>0</w:t>
            </w:r>
            <w:r w:rsidR="00804947">
              <w:rPr>
                <w:rFonts w:hint="eastAsia"/>
                <w:kern w:val="2"/>
              </w:rPr>
              <w:t>月在科创板挂牌上市，2</w:t>
            </w:r>
            <w:r w:rsidR="00804947">
              <w:rPr>
                <w:kern w:val="2"/>
              </w:rPr>
              <w:t>021</w:t>
            </w:r>
            <w:r w:rsidR="00804947">
              <w:rPr>
                <w:rFonts w:hint="eastAsia"/>
                <w:kern w:val="2"/>
              </w:rPr>
              <w:t>年通过外延扩张方式收购了上海大音希声6</w:t>
            </w:r>
            <w:r w:rsidR="00804947">
              <w:rPr>
                <w:kern w:val="2"/>
              </w:rPr>
              <w:t>0%</w:t>
            </w:r>
            <w:r w:rsidR="00804947">
              <w:rPr>
                <w:rFonts w:hint="eastAsia"/>
                <w:kern w:val="2"/>
              </w:rPr>
              <w:t>的股权，将气凝胶业务拓展至军工领域，2</w:t>
            </w:r>
            <w:r w:rsidR="00804947">
              <w:rPr>
                <w:kern w:val="2"/>
              </w:rPr>
              <w:t>022</w:t>
            </w:r>
            <w:r w:rsidR="00804947">
              <w:rPr>
                <w:rFonts w:hint="eastAsia"/>
                <w:kern w:val="2"/>
              </w:rPr>
              <w:t>年发起设立了江苏源氢新能源科技有限公司，布局氢燃料电池质子交换膜业务，2</w:t>
            </w:r>
            <w:r w:rsidR="00804947">
              <w:rPr>
                <w:kern w:val="2"/>
              </w:rPr>
              <w:t>023</w:t>
            </w:r>
            <w:r w:rsidR="00804947">
              <w:rPr>
                <w:rFonts w:hint="eastAsia"/>
                <w:kern w:val="2"/>
              </w:rPr>
              <w:t>年使用闲置实物资产增资入股常州凌天达新能源科技有限公司，布局航空航天用高性能线缆、连接器业务。</w:t>
            </w:r>
          </w:p>
          <w:p w:rsidR="00804947" w:rsidRDefault="00804947" w:rsidP="005E73CD">
            <w:pPr>
              <w:pStyle w:val="a3"/>
              <w:spacing w:before="0" w:beforeAutospacing="0" w:after="0" w:afterAutospacing="0" w:line="480" w:lineRule="exact"/>
              <w:ind w:firstLineChars="200" w:firstLine="480"/>
              <w:rPr>
                <w:kern w:val="2"/>
              </w:rPr>
            </w:pPr>
            <w:r>
              <w:rPr>
                <w:rFonts w:hint="eastAsia"/>
                <w:kern w:val="2"/>
              </w:rPr>
              <w:t>公司作为行业龙头美国</w:t>
            </w:r>
            <w:r w:rsidRPr="00804947">
              <w:rPr>
                <w:rFonts w:hint="eastAsia"/>
                <w:kern w:val="2"/>
              </w:rPr>
              <w:t>戈尔</w:t>
            </w:r>
            <w:r>
              <w:rPr>
                <w:rFonts w:hint="eastAsia"/>
                <w:kern w:val="2"/>
              </w:rPr>
              <w:t>的紧密追随者，围绕e</w:t>
            </w:r>
            <w:r>
              <w:rPr>
                <w:kern w:val="2"/>
              </w:rPr>
              <w:t>PTFE</w:t>
            </w:r>
            <w:r>
              <w:rPr>
                <w:rFonts w:hint="eastAsia"/>
                <w:kern w:val="2"/>
              </w:rPr>
              <w:t>、Si</w:t>
            </w:r>
            <w:r>
              <w:rPr>
                <w:kern w:val="2"/>
              </w:rPr>
              <w:t>O</w:t>
            </w:r>
            <w:r w:rsidRPr="005E73CD">
              <w:rPr>
                <w:kern w:val="2"/>
              </w:rPr>
              <w:t>2</w:t>
            </w:r>
            <w:r>
              <w:rPr>
                <w:rFonts w:hint="eastAsia"/>
                <w:kern w:val="2"/>
              </w:rPr>
              <w:t>气凝胶等微纳孔材料，秉承“产品多元、市场利基”的发展战略</w:t>
            </w:r>
            <w:r w:rsidR="00C90507">
              <w:rPr>
                <w:rFonts w:hint="eastAsia"/>
                <w:kern w:val="2"/>
              </w:rPr>
              <w:t>持续</w:t>
            </w:r>
            <w:r>
              <w:rPr>
                <w:rFonts w:hint="eastAsia"/>
                <w:kern w:val="2"/>
              </w:rPr>
              <w:t>为客户提供优质的新材料产品和服务。</w:t>
            </w:r>
          </w:p>
          <w:p w:rsidR="001B6C77" w:rsidRDefault="001B6C77" w:rsidP="005E73CD">
            <w:pPr>
              <w:pStyle w:val="a3"/>
              <w:spacing w:before="0" w:beforeAutospacing="0" w:after="0" w:afterAutospacing="0" w:line="480" w:lineRule="exact"/>
              <w:ind w:firstLineChars="200" w:firstLine="480"/>
              <w:rPr>
                <w:kern w:val="2"/>
              </w:rPr>
            </w:pPr>
            <w:r>
              <w:rPr>
                <w:rFonts w:hint="eastAsia"/>
                <w:kern w:val="2"/>
              </w:rPr>
              <w:t>（2）交流公司</w:t>
            </w:r>
            <w:r w:rsidR="005E73CD">
              <w:rPr>
                <w:rFonts w:hint="eastAsia"/>
                <w:kern w:val="2"/>
              </w:rPr>
              <w:t>经营模式及发展规划</w:t>
            </w:r>
          </w:p>
          <w:p w:rsidR="005E73CD" w:rsidRPr="005E73CD" w:rsidRDefault="005E73CD" w:rsidP="005E73CD">
            <w:pPr>
              <w:pStyle w:val="a3"/>
              <w:spacing w:before="0" w:beforeAutospacing="0" w:after="0" w:afterAutospacing="0" w:line="480" w:lineRule="exact"/>
              <w:ind w:firstLineChars="200" w:firstLine="480"/>
              <w:rPr>
                <w:kern w:val="2"/>
              </w:rPr>
            </w:pPr>
            <w:r w:rsidRPr="005E73CD">
              <w:rPr>
                <w:rFonts w:hint="eastAsia"/>
                <w:kern w:val="2"/>
              </w:rPr>
              <w:t>泛亚微透</w:t>
            </w:r>
            <w:r>
              <w:rPr>
                <w:rFonts w:hint="eastAsia"/>
                <w:kern w:val="2"/>
              </w:rPr>
              <w:t>一直秉承“产品多元、市场利基”的发展战略，并一直坚持做长尾的模式</w:t>
            </w:r>
            <w:r w:rsidRPr="005E73CD">
              <w:rPr>
                <w:kern w:val="2"/>
              </w:rPr>
              <w:t>。</w:t>
            </w:r>
            <w:r>
              <w:rPr>
                <w:rFonts w:hint="eastAsia"/>
                <w:kern w:val="2"/>
              </w:rPr>
              <w:t>虽然</w:t>
            </w:r>
            <w:r w:rsidRPr="005E73CD">
              <w:rPr>
                <w:kern w:val="2"/>
              </w:rPr>
              <w:t>泛亚微透的产品很零乱，看起来什么都有，但其实这些产品的核心技术都在一棵“树”上，都是围绕ePTFE膜以及微纳孔这些材料或微观多孔材料继而形成各种不同的应用。</w:t>
            </w:r>
          </w:p>
          <w:p w:rsidR="005E73CD" w:rsidRPr="005E73CD" w:rsidRDefault="005E73CD" w:rsidP="005E73CD">
            <w:pPr>
              <w:pStyle w:val="a3"/>
              <w:spacing w:before="0" w:beforeAutospacing="0" w:after="0" w:afterAutospacing="0" w:line="480" w:lineRule="exact"/>
              <w:ind w:firstLineChars="200" w:firstLine="480"/>
              <w:rPr>
                <w:kern w:val="2"/>
              </w:rPr>
            </w:pPr>
            <w:r w:rsidRPr="005E73CD">
              <w:rPr>
                <w:rFonts w:hint="eastAsia"/>
                <w:kern w:val="2"/>
              </w:rPr>
              <w:t>经过长达十</w:t>
            </w:r>
            <w:r>
              <w:rPr>
                <w:rFonts w:hint="eastAsia"/>
                <w:kern w:val="2"/>
              </w:rPr>
              <w:t>几年的技术创新和研发，泛亚微透的技术储备和产品储备已颇具竞争力，</w:t>
            </w:r>
            <w:r w:rsidR="00824C39">
              <w:rPr>
                <w:rFonts w:hint="eastAsia"/>
                <w:kern w:val="2"/>
              </w:rPr>
              <w:t>而且这么多年积累下来形成了很多壁垒，</w:t>
            </w:r>
            <w:r w:rsidRPr="005E73CD">
              <w:rPr>
                <w:rFonts w:hint="eastAsia"/>
                <w:kern w:val="2"/>
              </w:rPr>
              <w:t>公司经过大量的试错和反复改进，掌握了不同功能特性的</w:t>
            </w:r>
            <w:r w:rsidRPr="005E73CD">
              <w:rPr>
                <w:kern w:val="2"/>
              </w:rPr>
              <w:t>ePTFE膜的制造技术，通过长期的资源投入，建立起工艺流程上的壁垒；</w:t>
            </w:r>
            <w:r>
              <w:rPr>
                <w:rFonts w:hint="eastAsia"/>
                <w:kern w:val="2"/>
              </w:rPr>
              <w:t>同时，</w:t>
            </w:r>
            <w:r w:rsidRPr="005E73CD">
              <w:rPr>
                <w:kern w:val="2"/>
              </w:rPr>
              <w:t>公司拥有自主设计生产工艺装备的能力，通过自制设备突破了ePTFE膜产业化制造的壁垒；</w:t>
            </w:r>
            <w:r>
              <w:rPr>
                <w:rFonts w:hint="eastAsia"/>
                <w:kern w:val="2"/>
              </w:rPr>
              <w:t>另外，</w:t>
            </w:r>
            <w:r w:rsidRPr="005E73CD">
              <w:rPr>
                <w:kern w:val="2"/>
              </w:rPr>
              <w:t>在商务方面公</w:t>
            </w:r>
            <w:r w:rsidRPr="005E73CD">
              <w:rPr>
                <w:kern w:val="2"/>
              </w:rPr>
              <w:lastRenderedPageBreak/>
              <w:t>司拥有大量与主机厂配合研发、验证并持续服务的经验，能够定制化、组件化地为客户提供产品，突破了ePTFE膜的应用化壁垒；</w:t>
            </w:r>
            <w:r>
              <w:rPr>
                <w:rFonts w:hint="eastAsia"/>
                <w:kern w:val="2"/>
              </w:rPr>
              <w:t>最后</w:t>
            </w:r>
            <w:r w:rsidRPr="005E73CD">
              <w:rPr>
                <w:kern w:val="2"/>
              </w:rPr>
              <w:t>公司与同行业竞争对手生产ePTFE膜，但均不销售ePTFE膜，而是销售ePTFE</w:t>
            </w:r>
            <w:r w:rsidRPr="005E73CD">
              <w:rPr>
                <w:rFonts w:hint="eastAsia"/>
                <w:kern w:val="2"/>
              </w:rPr>
              <w:t>膜的应用组件，这使</w:t>
            </w:r>
            <w:r w:rsidRPr="005E73CD">
              <w:rPr>
                <w:kern w:val="2"/>
              </w:rPr>
              <w:t>ePTFE膜应用端形成了较高的进入壁垒。</w:t>
            </w:r>
          </w:p>
          <w:p w:rsidR="005E73CD" w:rsidRDefault="005E73CD" w:rsidP="005E73CD">
            <w:pPr>
              <w:pStyle w:val="a3"/>
              <w:spacing w:before="0" w:beforeAutospacing="0" w:after="0" w:afterAutospacing="0" w:line="480" w:lineRule="exact"/>
              <w:ind w:firstLineChars="200" w:firstLine="480"/>
              <w:rPr>
                <w:kern w:val="2"/>
              </w:rPr>
            </w:pPr>
            <w:r w:rsidRPr="005E73CD">
              <w:rPr>
                <w:rFonts w:hint="eastAsia"/>
                <w:kern w:val="2"/>
              </w:rPr>
              <w:t>泛亚微透</w:t>
            </w:r>
            <w:r>
              <w:rPr>
                <w:rFonts w:hint="eastAsia"/>
                <w:kern w:val="2"/>
              </w:rPr>
              <w:t>作为行业龙头美国戈尔</w:t>
            </w:r>
            <w:r w:rsidRPr="005E73CD">
              <w:rPr>
                <w:rFonts w:hint="eastAsia"/>
                <w:kern w:val="2"/>
              </w:rPr>
              <w:t>的紧密追随者</w:t>
            </w:r>
            <w:r>
              <w:rPr>
                <w:rFonts w:hint="eastAsia"/>
                <w:kern w:val="2"/>
              </w:rPr>
              <w:t>，公司在追随过程中不断寻求差异化，</w:t>
            </w:r>
            <w:r w:rsidRPr="005E73CD">
              <w:rPr>
                <w:rFonts w:hint="eastAsia"/>
                <w:kern w:val="2"/>
              </w:rPr>
              <w:t>通过持续的研发投入</w:t>
            </w:r>
            <w:r>
              <w:rPr>
                <w:rFonts w:hint="eastAsia"/>
                <w:kern w:val="2"/>
              </w:rPr>
              <w:t>，</w:t>
            </w:r>
            <w:r w:rsidRPr="005E73CD">
              <w:rPr>
                <w:kern w:val="2"/>
              </w:rPr>
              <w:t>在不断的试错中，我们慢慢寻找相关行业的痛点</w:t>
            </w:r>
            <w:r>
              <w:rPr>
                <w:rFonts w:hint="eastAsia"/>
                <w:kern w:val="2"/>
              </w:rPr>
              <w:t>，并为客户定制化开发解决方案。</w:t>
            </w:r>
          </w:p>
          <w:p w:rsidR="005E73CD" w:rsidRPr="005E73CD" w:rsidRDefault="005E73CD" w:rsidP="005E73CD">
            <w:pPr>
              <w:pStyle w:val="a3"/>
              <w:spacing w:before="0" w:beforeAutospacing="0" w:after="0" w:afterAutospacing="0" w:line="480" w:lineRule="exact"/>
              <w:ind w:firstLineChars="200" w:firstLine="480"/>
              <w:rPr>
                <w:kern w:val="2"/>
              </w:rPr>
            </w:pPr>
            <w:r>
              <w:rPr>
                <w:rFonts w:hint="eastAsia"/>
                <w:kern w:val="2"/>
              </w:rPr>
              <w:t>目前公司的核心业务主要包括：e</w:t>
            </w:r>
            <w:r>
              <w:rPr>
                <w:kern w:val="2"/>
              </w:rPr>
              <w:t>PTFE</w:t>
            </w:r>
            <w:r>
              <w:rPr>
                <w:rFonts w:hint="eastAsia"/>
                <w:kern w:val="2"/>
              </w:rPr>
              <w:t>微透产品、CMD及气体管理产品、气凝胶产品以及高性能线束产品。</w:t>
            </w:r>
          </w:p>
          <w:p w:rsidR="0019280C" w:rsidRPr="00BB1439" w:rsidRDefault="0019280C" w:rsidP="005E73CD">
            <w:pPr>
              <w:pStyle w:val="a3"/>
              <w:spacing w:before="0" w:beforeAutospacing="0" w:after="0" w:afterAutospacing="0" w:line="480" w:lineRule="exact"/>
              <w:ind w:firstLineChars="200" w:firstLine="480"/>
              <w:rPr>
                <w:kern w:val="2"/>
              </w:rPr>
            </w:pPr>
            <w:r w:rsidRPr="00BB1439">
              <w:rPr>
                <w:rFonts w:hint="eastAsia"/>
                <w:kern w:val="2"/>
              </w:rPr>
              <w:t>（</w:t>
            </w:r>
            <w:r w:rsidR="005E73CD">
              <w:rPr>
                <w:kern w:val="2"/>
              </w:rPr>
              <w:t>3</w:t>
            </w:r>
            <w:r w:rsidRPr="00BB1439">
              <w:rPr>
                <w:rFonts w:hint="eastAsia"/>
                <w:kern w:val="2"/>
              </w:rPr>
              <w:t>）交流公司e</w:t>
            </w:r>
            <w:r w:rsidRPr="00BB1439">
              <w:rPr>
                <w:kern w:val="2"/>
              </w:rPr>
              <w:t>PTFE</w:t>
            </w:r>
            <w:r w:rsidRPr="00BB1439">
              <w:rPr>
                <w:rFonts w:hint="eastAsia"/>
                <w:kern w:val="2"/>
              </w:rPr>
              <w:t>微透产品相关情况</w:t>
            </w:r>
          </w:p>
          <w:p w:rsidR="00E94F99" w:rsidRPr="00BB1439" w:rsidRDefault="003F1653" w:rsidP="005E73CD">
            <w:pPr>
              <w:pStyle w:val="a3"/>
              <w:spacing w:before="0" w:beforeAutospacing="0" w:after="0" w:afterAutospacing="0" w:line="480" w:lineRule="exact"/>
              <w:ind w:firstLineChars="200" w:firstLine="480"/>
              <w:rPr>
                <w:kern w:val="2"/>
              </w:rPr>
            </w:pPr>
            <w:r w:rsidRPr="00BB1439">
              <w:rPr>
                <w:rFonts w:hint="eastAsia"/>
                <w:kern w:val="2"/>
              </w:rPr>
              <w:t xml:space="preserve"> </w:t>
            </w:r>
            <w:r w:rsidRPr="00BB1439">
              <w:rPr>
                <w:kern w:val="2"/>
              </w:rPr>
              <w:t xml:space="preserve"> </w:t>
            </w:r>
            <w:r w:rsidR="001A690A" w:rsidRPr="00BB1439">
              <w:rPr>
                <w:rFonts w:hint="eastAsia"/>
                <w:kern w:val="2"/>
              </w:rPr>
              <w:t>公司的</w:t>
            </w:r>
            <w:r w:rsidR="001A690A" w:rsidRPr="00BB1439">
              <w:rPr>
                <w:kern w:val="2"/>
              </w:rPr>
              <w:t>ePTFE微透产品</w:t>
            </w:r>
            <w:r w:rsidR="001A690A" w:rsidRPr="00BB1439">
              <w:rPr>
                <w:rFonts w:hint="eastAsia"/>
                <w:kern w:val="2"/>
              </w:rPr>
              <w:t>主要有汽车透气产品、包装透气产品、消费电子用透声产品、特种膜、医疗用膜产品等，近年来透气业务稳步上升，毛利维持稳定。</w:t>
            </w:r>
          </w:p>
          <w:p w:rsidR="00E94F99" w:rsidRPr="00BB1439" w:rsidRDefault="00C90507" w:rsidP="005E73CD">
            <w:pPr>
              <w:pStyle w:val="a3"/>
              <w:spacing w:before="0" w:beforeAutospacing="0" w:after="0" w:afterAutospacing="0" w:line="480" w:lineRule="exact"/>
              <w:ind w:firstLineChars="200" w:firstLine="480"/>
              <w:rPr>
                <w:kern w:val="2"/>
              </w:rPr>
            </w:pPr>
            <w:r w:rsidRPr="005E73CD">
              <w:rPr>
                <w:noProof/>
                <w:kern w:val="2"/>
              </w:rPr>
              <w:drawing>
                <wp:anchor distT="0" distB="0" distL="114300" distR="114300" simplePos="0" relativeHeight="251658240" behindDoc="0" locked="0" layoutInCell="1" allowOverlap="1">
                  <wp:simplePos x="0" y="0"/>
                  <wp:positionH relativeFrom="column">
                    <wp:posOffset>9525</wp:posOffset>
                  </wp:positionH>
                  <wp:positionV relativeFrom="paragraph">
                    <wp:posOffset>54610</wp:posOffset>
                  </wp:positionV>
                  <wp:extent cx="4175760" cy="2362200"/>
                  <wp:effectExtent l="0" t="0" r="1524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E94F99" w:rsidRPr="00BB1439" w:rsidRDefault="00E94F99" w:rsidP="005E73CD">
            <w:pPr>
              <w:pStyle w:val="a3"/>
              <w:spacing w:before="0" w:beforeAutospacing="0" w:after="0" w:afterAutospacing="0" w:line="480" w:lineRule="exact"/>
              <w:ind w:firstLineChars="200" w:firstLine="480"/>
              <w:rPr>
                <w:kern w:val="2"/>
              </w:rPr>
            </w:pPr>
          </w:p>
          <w:p w:rsidR="00E94F99" w:rsidRPr="00BB1439" w:rsidRDefault="00E94F99" w:rsidP="005E73CD">
            <w:pPr>
              <w:pStyle w:val="a3"/>
              <w:spacing w:before="0" w:beforeAutospacing="0" w:after="0" w:afterAutospacing="0" w:line="480" w:lineRule="exact"/>
              <w:ind w:firstLineChars="200" w:firstLine="480"/>
              <w:rPr>
                <w:kern w:val="2"/>
              </w:rPr>
            </w:pPr>
          </w:p>
          <w:p w:rsidR="00E94F99" w:rsidRPr="00BB1439" w:rsidRDefault="00E94F99" w:rsidP="005E73CD">
            <w:pPr>
              <w:pStyle w:val="a3"/>
              <w:spacing w:before="0" w:beforeAutospacing="0" w:after="0" w:afterAutospacing="0" w:line="480" w:lineRule="exact"/>
              <w:ind w:firstLineChars="200" w:firstLine="480"/>
              <w:rPr>
                <w:kern w:val="2"/>
              </w:rPr>
            </w:pPr>
          </w:p>
          <w:p w:rsidR="00E94F99" w:rsidRDefault="00E94F99" w:rsidP="005E73CD">
            <w:pPr>
              <w:pStyle w:val="a3"/>
              <w:spacing w:before="0" w:beforeAutospacing="0" w:after="0" w:afterAutospacing="0" w:line="480" w:lineRule="exact"/>
              <w:ind w:firstLineChars="200" w:firstLine="480"/>
              <w:rPr>
                <w:kern w:val="2"/>
              </w:rPr>
            </w:pPr>
          </w:p>
          <w:p w:rsidR="00804947" w:rsidRDefault="00804947" w:rsidP="005E73CD">
            <w:pPr>
              <w:pStyle w:val="a3"/>
              <w:spacing w:before="0" w:beforeAutospacing="0" w:after="0" w:afterAutospacing="0" w:line="480" w:lineRule="exact"/>
              <w:ind w:firstLineChars="200" w:firstLine="480"/>
              <w:rPr>
                <w:kern w:val="2"/>
              </w:rPr>
            </w:pPr>
          </w:p>
          <w:p w:rsidR="00804947" w:rsidRDefault="00804947" w:rsidP="005E73CD">
            <w:pPr>
              <w:pStyle w:val="a3"/>
              <w:spacing w:before="0" w:beforeAutospacing="0" w:after="0" w:afterAutospacing="0" w:line="480" w:lineRule="exact"/>
              <w:ind w:firstLineChars="200" w:firstLine="480"/>
              <w:rPr>
                <w:kern w:val="2"/>
              </w:rPr>
            </w:pPr>
          </w:p>
          <w:p w:rsidR="00804947" w:rsidRDefault="00804947" w:rsidP="005E73CD">
            <w:pPr>
              <w:pStyle w:val="a3"/>
              <w:spacing w:before="0" w:beforeAutospacing="0" w:after="0" w:afterAutospacing="0" w:line="480" w:lineRule="exact"/>
              <w:ind w:firstLineChars="200" w:firstLine="480"/>
              <w:rPr>
                <w:kern w:val="2"/>
              </w:rPr>
            </w:pPr>
          </w:p>
          <w:p w:rsidR="0019280C" w:rsidRPr="00BB1439" w:rsidRDefault="0019280C" w:rsidP="005E73CD">
            <w:pPr>
              <w:pStyle w:val="a3"/>
              <w:spacing w:before="0" w:beforeAutospacing="0" w:after="0" w:afterAutospacing="0" w:line="480" w:lineRule="exact"/>
              <w:ind w:firstLineChars="200" w:firstLine="480"/>
              <w:rPr>
                <w:kern w:val="2"/>
              </w:rPr>
            </w:pPr>
            <w:r w:rsidRPr="00BB1439">
              <w:rPr>
                <w:rFonts w:hint="eastAsia"/>
                <w:kern w:val="2"/>
              </w:rPr>
              <w:t>（</w:t>
            </w:r>
            <w:r w:rsidR="005E73CD">
              <w:rPr>
                <w:kern w:val="2"/>
              </w:rPr>
              <w:t>4</w:t>
            </w:r>
            <w:r w:rsidRPr="00BB1439">
              <w:rPr>
                <w:rFonts w:hint="eastAsia"/>
                <w:kern w:val="2"/>
              </w:rPr>
              <w:t>）交流公司CMD及气体管理产品相关情况</w:t>
            </w:r>
          </w:p>
          <w:p w:rsidR="00BB1439" w:rsidRPr="00BB1439" w:rsidRDefault="005E73CD" w:rsidP="005E73CD">
            <w:pPr>
              <w:pStyle w:val="a3"/>
              <w:spacing w:before="0" w:beforeAutospacing="0" w:after="0" w:afterAutospacing="0" w:line="480" w:lineRule="exact"/>
              <w:ind w:firstLineChars="200" w:firstLine="480"/>
              <w:rPr>
                <w:kern w:val="2"/>
              </w:rPr>
            </w:pPr>
            <w:r w:rsidRPr="005E73CD">
              <w:rPr>
                <w:kern w:val="2"/>
              </w:rPr>
              <w:t>CMD</w:t>
            </w:r>
            <w:r>
              <w:rPr>
                <w:rFonts w:hint="eastAsia"/>
                <w:kern w:val="2"/>
              </w:rPr>
              <w:t>是</w:t>
            </w:r>
            <w:r w:rsidR="00BB1439" w:rsidRPr="00BB1439">
              <w:rPr>
                <w:rFonts w:hint="eastAsia"/>
                <w:kern w:val="2"/>
              </w:rPr>
              <w:t>公司基于</w:t>
            </w:r>
            <w:r w:rsidR="00BB1439" w:rsidRPr="00BB1439">
              <w:rPr>
                <w:kern w:val="2"/>
              </w:rPr>
              <w:t>ePTFE膜及公司干燥剂技术创新的</w:t>
            </w:r>
            <w:r>
              <w:rPr>
                <w:rFonts w:hint="eastAsia"/>
                <w:kern w:val="2"/>
              </w:rPr>
              <w:t>技术</w:t>
            </w:r>
            <w:r w:rsidR="00BB1439" w:rsidRPr="00BB1439">
              <w:rPr>
                <w:kern w:val="2"/>
              </w:rPr>
              <w:t>方案，应用隔绝的理论颠覆了传统的方案，通过高性能红外吸湿剂和阀的结构设计组合解决车灯雾气和压力平衡问题，大大减少了车灯的制造工序，提升了制造效率，大幅度降低了雾气解决的成本，同时免去了非环保的制造工艺，并且所有材料和产权100%国</w:t>
            </w:r>
            <w:r w:rsidR="00BB1439" w:rsidRPr="00BB1439">
              <w:rPr>
                <w:kern w:val="2"/>
              </w:rPr>
              <w:lastRenderedPageBreak/>
              <w:t>产化，实现了此领域的中国创新，产品已经被</w:t>
            </w:r>
            <w:r w:rsidR="00BB1439">
              <w:rPr>
                <w:rFonts w:hint="eastAsia"/>
                <w:kern w:val="2"/>
              </w:rPr>
              <w:t>众多</w:t>
            </w:r>
            <w:r w:rsidR="00BB1439" w:rsidRPr="00BB1439">
              <w:rPr>
                <w:kern w:val="2"/>
              </w:rPr>
              <w:t>车灯厂广泛认可使用，</w:t>
            </w:r>
            <w:r w:rsidR="00BB1439">
              <w:rPr>
                <w:rFonts w:hint="eastAsia"/>
                <w:kern w:val="2"/>
              </w:rPr>
              <w:t>用于</w:t>
            </w:r>
            <w:r w:rsidR="00BB1439" w:rsidRPr="00BB1439">
              <w:rPr>
                <w:kern w:val="2"/>
              </w:rPr>
              <w:t>众多主机厂车型。</w:t>
            </w:r>
          </w:p>
          <w:p w:rsidR="00BB1439" w:rsidRPr="00BB1439" w:rsidRDefault="00BB1439" w:rsidP="005E73CD">
            <w:pPr>
              <w:pStyle w:val="a3"/>
              <w:spacing w:before="0" w:beforeAutospacing="0" w:after="0" w:afterAutospacing="0" w:line="480" w:lineRule="exact"/>
              <w:ind w:firstLineChars="200" w:firstLine="480"/>
              <w:rPr>
                <w:kern w:val="2"/>
              </w:rPr>
            </w:pPr>
            <w:r w:rsidRPr="00BB1439">
              <w:rPr>
                <w:kern w:val="2"/>
              </w:rPr>
              <w:t xml:space="preserve">  同时，公司开发了一种集压力平衡、快速泄压、凝露控制三个功能于一体的 CMD 平衡泄压阀组件，该技术已被国内多个头部新能源电池厂采用，应用于多款新能源电动车型，CMD 作为一种被动的冷凝控制系统的安全模块，能够有效的改善电池包内部产生冷凝水所带来零部件腐蚀老化、绝缘性能下降、温度读取失真等问题，从而保证电池包能够更加安全可靠的为整车提供电能。</w:t>
            </w:r>
          </w:p>
          <w:p w:rsidR="001A690A" w:rsidRPr="005E73CD" w:rsidRDefault="00BB1439" w:rsidP="005E73CD">
            <w:pPr>
              <w:pStyle w:val="a3"/>
              <w:spacing w:before="0" w:beforeAutospacing="0" w:after="0" w:afterAutospacing="0" w:line="480" w:lineRule="exact"/>
              <w:ind w:firstLineChars="200" w:firstLine="480"/>
              <w:rPr>
                <w:kern w:val="2"/>
              </w:rPr>
            </w:pPr>
            <w:r w:rsidRPr="005E73CD">
              <w:rPr>
                <w:kern w:val="2"/>
              </w:rPr>
              <w:t xml:space="preserve">  近年来公司CMD及气体管理产品高速增长，形成了公司的</w:t>
            </w:r>
            <w:r w:rsidRPr="005E73CD">
              <w:rPr>
                <w:rFonts w:hint="eastAsia"/>
                <w:kern w:val="2"/>
              </w:rPr>
              <w:t>新的</w:t>
            </w:r>
            <w:r w:rsidRPr="005E73CD">
              <w:rPr>
                <w:kern w:val="2"/>
              </w:rPr>
              <w:t>增长曲线。</w:t>
            </w:r>
            <w:r w:rsidR="00EC10C0" w:rsidRPr="005E73CD">
              <w:rPr>
                <w:rFonts w:hint="eastAsia"/>
                <w:kern w:val="2"/>
              </w:rPr>
              <w:t>公司目前正在推进小额快速定增事项，募集资金将用于CMD自动化产线改造。</w:t>
            </w:r>
          </w:p>
          <w:p w:rsidR="00BB1439" w:rsidRPr="005E73CD" w:rsidRDefault="00BB1439" w:rsidP="005E73CD">
            <w:pPr>
              <w:pStyle w:val="a3"/>
              <w:spacing w:before="0" w:beforeAutospacing="0" w:after="0" w:afterAutospacing="0" w:line="480" w:lineRule="exact"/>
              <w:ind w:firstLineChars="200" w:firstLine="480"/>
              <w:rPr>
                <w:kern w:val="2"/>
              </w:rPr>
            </w:pPr>
            <w:r w:rsidRPr="005E73CD">
              <w:rPr>
                <w:noProof/>
                <w:kern w:val="2"/>
              </w:rPr>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4251960" cy="1988820"/>
                  <wp:effectExtent l="0" t="0" r="15240" b="1143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BB1439" w:rsidRPr="005E73CD" w:rsidRDefault="00BB1439" w:rsidP="005E73CD">
            <w:pPr>
              <w:pStyle w:val="a3"/>
              <w:spacing w:before="0" w:beforeAutospacing="0" w:after="0" w:afterAutospacing="0" w:line="480" w:lineRule="exact"/>
              <w:ind w:firstLineChars="200" w:firstLine="480"/>
              <w:rPr>
                <w:kern w:val="2"/>
              </w:rPr>
            </w:pPr>
          </w:p>
          <w:p w:rsidR="00BB1439" w:rsidRPr="005E73CD" w:rsidRDefault="00BB1439" w:rsidP="005E73CD">
            <w:pPr>
              <w:pStyle w:val="a3"/>
              <w:spacing w:before="0" w:beforeAutospacing="0" w:after="0" w:afterAutospacing="0" w:line="480" w:lineRule="exact"/>
              <w:ind w:firstLineChars="200" w:firstLine="480"/>
              <w:rPr>
                <w:kern w:val="2"/>
              </w:rPr>
            </w:pPr>
          </w:p>
          <w:p w:rsidR="00BB1439" w:rsidRPr="005E73CD" w:rsidRDefault="00BB1439" w:rsidP="005E73CD">
            <w:pPr>
              <w:pStyle w:val="a3"/>
              <w:spacing w:before="0" w:beforeAutospacing="0" w:after="0" w:afterAutospacing="0" w:line="480" w:lineRule="exact"/>
              <w:ind w:firstLineChars="200" w:firstLine="480"/>
              <w:rPr>
                <w:kern w:val="2"/>
              </w:rPr>
            </w:pPr>
          </w:p>
          <w:p w:rsidR="00BB1439" w:rsidRPr="005E73CD" w:rsidRDefault="00BB1439" w:rsidP="005E73CD">
            <w:pPr>
              <w:pStyle w:val="a3"/>
              <w:spacing w:before="0" w:beforeAutospacing="0" w:after="0" w:afterAutospacing="0" w:line="480" w:lineRule="exact"/>
              <w:ind w:firstLineChars="200" w:firstLine="480"/>
              <w:rPr>
                <w:kern w:val="2"/>
              </w:rPr>
            </w:pPr>
          </w:p>
          <w:p w:rsidR="00BB1439" w:rsidRPr="005E73CD" w:rsidRDefault="00BB1439" w:rsidP="005E73CD">
            <w:pPr>
              <w:pStyle w:val="a3"/>
              <w:spacing w:before="0" w:beforeAutospacing="0" w:after="0" w:afterAutospacing="0" w:line="480" w:lineRule="exact"/>
              <w:ind w:firstLineChars="200" w:firstLine="480"/>
              <w:rPr>
                <w:kern w:val="2"/>
              </w:rPr>
            </w:pPr>
          </w:p>
          <w:p w:rsidR="00BB1439" w:rsidRPr="00BB1439" w:rsidRDefault="00BB1439" w:rsidP="005E73CD">
            <w:pPr>
              <w:pStyle w:val="a3"/>
              <w:spacing w:before="0" w:beforeAutospacing="0" w:after="0" w:afterAutospacing="0" w:line="480" w:lineRule="exact"/>
              <w:ind w:firstLineChars="200" w:firstLine="480"/>
              <w:rPr>
                <w:kern w:val="2"/>
              </w:rPr>
            </w:pPr>
          </w:p>
          <w:p w:rsidR="0019280C" w:rsidRDefault="0019280C" w:rsidP="005E73CD">
            <w:pPr>
              <w:pStyle w:val="a3"/>
              <w:spacing w:before="0" w:beforeAutospacing="0" w:after="0" w:afterAutospacing="0" w:line="480" w:lineRule="exact"/>
              <w:ind w:firstLineChars="200" w:firstLine="480"/>
              <w:rPr>
                <w:kern w:val="2"/>
              </w:rPr>
            </w:pPr>
            <w:r w:rsidRPr="00BB1439">
              <w:rPr>
                <w:rFonts w:hint="eastAsia"/>
                <w:kern w:val="2"/>
              </w:rPr>
              <w:t>（</w:t>
            </w:r>
            <w:r w:rsidR="005E73CD">
              <w:rPr>
                <w:kern w:val="2"/>
              </w:rPr>
              <w:t>5</w:t>
            </w:r>
            <w:r w:rsidRPr="00BB1439">
              <w:rPr>
                <w:rFonts w:hint="eastAsia"/>
                <w:kern w:val="2"/>
              </w:rPr>
              <w:t>）交流公司气凝胶产品相关情况</w:t>
            </w:r>
          </w:p>
          <w:p w:rsidR="00BB1439" w:rsidRDefault="00BB1439" w:rsidP="005E73CD">
            <w:pPr>
              <w:pStyle w:val="a3"/>
              <w:spacing w:before="0" w:beforeAutospacing="0" w:after="0" w:afterAutospacing="0" w:line="480" w:lineRule="exact"/>
              <w:ind w:firstLineChars="200" w:firstLine="480"/>
              <w:rPr>
                <w:kern w:val="2"/>
              </w:rPr>
            </w:pPr>
            <w:r w:rsidRPr="00BB1439">
              <w:rPr>
                <w:rFonts w:hint="eastAsia"/>
                <w:kern w:val="2"/>
              </w:rPr>
              <w:t>气凝胶是一种具有丰富纳米微孔结构的新型材料，具有导热系数低、密度小、高比表面积、低介电常数等特点，在热学、电学、光学、声学、吸附催化等方面均表现出优异的性能，这使其在航空航天、建筑节能、化工工业、电子电工、交通运输、生物医药等领域有着广阔的应用前景。</w:t>
            </w:r>
            <w:r w:rsidRPr="00BB1439">
              <w:rPr>
                <w:kern w:val="2"/>
              </w:rPr>
              <w:t>公司通过首发上市募集资金投资建设了气凝胶量产线，并通过外延扩张方式收购了</w:t>
            </w:r>
            <w:r w:rsidRPr="00BB1439">
              <w:rPr>
                <w:rFonts w:hint="eastAsia"/>
                <w:kern w:val="2"/>
              </w:rPr>
              <w:t>大音希声</w:t>
            </w:r>
            <w:r w:rsidRPr="00BB1439">
              <w:rPr>
                <w:kern w:val="2"/>
              </w:rPr>
              <w:t>60%股权，将公司气凝胶应用领域拓展到舰船领域。通过与大音希声的不断融合、协同发展，公司不断提升气凝胶产线的利用率，</w:t>
            </w:r>
            <w:r w:rsidRPr="00BB1439">
              <w:rPr>
                <w:kern w:val="2"/>
              </w:rPr>
              <w:lastRenderedPageBreak/>
              <w:t>不断完善公司的技术研发能力，近年来气凝胶业务保持稳定增长。</w:t>
            </w:r>
          </w:p>
          <w:p w:rsidR="005E73CD" w:rsidRDefault="005E73CD" w:rsidP="005E73CD">
            <w:pPr>
              <w:pStyle w:val="a3"/>
              <w:spacing w:before="0" w:beforeAutospacing="0" w:after="0" w:afterAutospacing="0" w:line="480" w:lineRule="exact"/>
              <w:ind w:firstLineChars="200" w:firstLine="480"/>
              <w:rPr>
                <w:kern w:val="2"/>
              </w:rPr>
            </w:pPr>
          </w:p>
          <w:p w:rsidR="00BB1439" w:rsidRDefault="00C90507" w:rsidP="005E73CD">
            <w:pPr>
              <w:pStyle w:val="a3"/>
              <w:spacing w:before="0" w:beforeAutospacing="0" w:after="0" w:afterAutospacing="0" w:line="480" w:lineRule="exact"/>
              <w:ind w:firstLineChars="200" w:firstLine="480"/>
              <w:rPr>
                <w:kern w:val="2"/>
              </w:rPr>
            </w:pPr>
            <w:r w:rsidRPr="00BB1439">
              <w:rPr>
                <w:noProof/>
                <w:kern w:val="2"/>
              </w:rPr>
              <w:drawing>
                <wp:anchor distT="0" distB="0" distL="114300" distR="114300" simplePos="0" relativeHeight="251660288" behindDoc="0" locked="0" layoutInCell="1" allowOverlap="1">
                  <wp:simplePos x="0" y="0"/>
                  <wp:positionH relativeFrom="column">
                    <wp:posOffset>9525</wp:posOffset>
                  </wp:positionH>
                  <wp:positionV relativeFrom="paragraph">
                    <wp:posOffset>115570</wp:posOffset>
                  </wp:positionV>
                  <wp:extent cx="4236720" cy="1973580"/>
                  <wp:effectExtent l="0" t="0" r="11430" b="762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BB1439" w:rsidRDefault="00BB1439" w:rsidP="005E73CD">
            <w:pPr>
              <w:pStyle w:val="a3"/>
              <w:spacing w:before="0" w:beforeAutospacing="0" w:after="0" w:afterAutospacing="0" w:line="480" w:lineRule="exact"/>
              <w:ind w:firstLineChars="200" w:firstLine="480"/>
              <w:rPr>
                <w:kern w:val="2"/>
              </w:rPr>
            </w:pPr>
          </w:p>
          <w:p w:rsidR="00BB1439" w:rsidRDefault="00BB1439" w:rsidP="005E73CD">
            <w:pPr>
              <w:pStyle w:val="a3"/>
              <w:spacing w:before="0" w:beforeAutospacing="0" w:after="0" w:afterAutospacing="0" w:line="480" w:lineRule="exact"/>
              <w:ind w:firstLineChars="200" w:firstLine="480"/>
              <w:rPr>
                <w:kern w:val="2"/>
              </w:rPr>
            </w:pPr>
          </w:p>
          <w:p w:rsidR="00BB1439" w:rsidRDefault="00BB1439" w:rsidP="005E73CD">
            <w:pPr>
              <w:pStyle w:val="a3"/>
              <w:spacing w:before="0" w:beforeAutospacing="0" w:after="0" w:afterAutospacing="0" w:line="480" w:lineRule="exact"/>
              <w:ind w:firstLineChars="200" w:firstLine="480"/>
              <w:rPr>
                <w:kern w:val="2"/>
              </w:rPr>
            </w:pPr>
          </w:p>
          <w:p w:rsidR="00BB1439" w:rsidRDefault="00BB1439" w:rsidP="005E73CD">
            <w:pPr>
              <w:pStyle w:val="a3"/>
              <w:spacing w:before="0" w:beforeAutospacing="0" w:after="0" w:afterAutospacing="0" w:line="480" w:lineRule="exact"/>
              <w:ind w:firstLineChars="200" w:firstLine="480"/>
              <w:rPr>
                <w:kern w:val="2"/>
              </w:rPr>
            </w:pPr>
          </w:p>
          <w:p w:rsidR="00BB1439" w:rsidRDefault="00BB1439" w:rsidP="005E73CD">
            <w:pPr>
              <w:pStyle w:val="a3"/>
              <w:spacing w:before="0" w:beforeAutospacing="0" w:after="0" w:afterAutospacing="0" w:line="480" w:lineRule="exact"/>
              <w:ind w:firstLineChars="200" w:firstLine="480"/>
              <w:rPr>
                <w:kern w:val="2"/>
              </w:rPr>
            </w:pPr>
          </w:p>
          <w:p w:rsidR="00804947" w:rsidRDefault="00804947" w:rsidP="005E73CD">
            <w:pPr>
              <w:pStyle w:val="a3"/>
              <w:spacing w:before="0" w:beforeAutospacing="0" w:after="0" w:afterAutospacing="0" w:line="480" w:lineRule="exact"/>
              <w:ind w:firstLineChars="200" w:firstLine="480"/>
              <w:rPr>
                <w:kern w:val="2"/>
              </w:rPr>
            </w:pPr>
          </w:p>
          <w:p w:rsidR="0095645E" w:rsidRDefault="002129B3" w:rsidP="005E73CD">
            <w:pPr>
              <w:pStyle w:val="a3"/>
              <w:spacing w:before="0" w:beforeAutospacing="0" w:after="0" w:afterAutospacing="0" w:line="480" w:lineRule="exact"/>
              <w:ind w:firstLineChars="200" w:firstLine="480"/>
              <w:rPr>
                <w:kern w:val="2"/>
              </w:rPr>
            </w:pPr>
            <w:r>
              <w:rPr>
                <w:rFonts w:hint="eastAsia"/>
                <w:kern w:val="2"/>
              </w:rPr>
              <w:t>（</w:t>
            </w:r>
            <w:r w:rsidR="005E73CD">
              <w:rPr>
                <w:kern w:val="2"/>
              </w:rPr>
              <w:t>6</w:t>
            </w:r>
            <w:r>
              <w:rPr>
                <w:rFonts w:hint="eastAsia"/>
                <w:kern w:val="2"/>
              </w:rPr>
              <w:t>）交流公司</w:t>
            </w:r>
            <w:r w:rsidR="005E73CD">
              <w:rPr>
                <w:rFonts w:hint="eastAsia"/>
                <w:kern w:val="2"/>
              </w:rPr>
              <w:t>高性能线束业务</w:t>
            </w:r>
          </w:p>
          <w:p w:rsidR="001B3865" w:rsidRDefault="005E73CD" w:rsidP="001B3865">
            <w:pPr>
              <w:pStyle w:val="a3"/>
              <w:spacing w:before="0" w:beforeAutospacing="0" w:after="0" w:afterAutospacing="0" w:line="480" w:lineRule="exact"/>
              <w:ind w:firstLineChars="200" w:firstLine="480"/>
              <w:rPr>
                <w:kern w:val="2"/>
              </w:rPr>
            </w:pPr>
            <w:r>
              <w:rPr>
                <w:rFonts w:hint="eastAsia"/>
                <w:kern w:val="2"/>
              </w:rPr>
              <w:t>公司于2</w:t>
            </w:r>
            <w:r>
              <w:rPr>
                <w:kern w:val="2"/>
              </w:rPr>
              <w:t>023</w:t>
            </w:r>
            <w:r>
              <w:rPr>
                <w:rFonts w:hint="eastAsia"/>
                <w:kern w:val="2"/>
              </w:rPr>
              <w:t>年使用闲置实物资产增资</w:t>
            </w:r>
            <w:r w:rsidR="00B75181">
              <w:rPr>
                <w:rFonts w:hint="eastAsia"/>
                <w:kern w:val="2"/>
              </w:rPr>
              <w:t>入股</w:t>
            </w:r>
            <w:bookmarkStart w:id="2" w:name="_GoBack"/>
            <w:bookmarkEnd w:id="2"/>
            <w:r>
              <w:rPr>
                <w:rFonts w:hint="eastAsia"/>
                <w:kern w:val="2"/>
              </w:rPr>
              <w:t>了常州凌天达新能源科技有限公司</w:t>
            </w:r>
            <w:r w:rsidR="001B3865">
              <w:rPr>
                <w:rFonts w:hint="eastAsia"/>
                <w:kern w:val="2"/>
              </w:rPr>
              <w:t>，该公司</w:t>
            </w:r>
            <w:r w:rsidR="001B3865" w:rsidRPr="001B3865">
              <w:rPr>
                <w:rFonts w:hint="eastAsia"/>
                <w:kern w:val="2"/>
              </w:rPr>
              <w:t>具备很强的开发、定制、集成能力</w:t>
            </w:r>
            <w:r w:rsidR="001B3865">
              <w:rPr>
                <w:rFonts w:hint="eastAsia"/>
                <w:kern w:val="2"/>
              </w:rPr>
              <w:t>，</w:t>
            </w:r>
            <w:r w:rsidR="001B3865" w:rsidRPr="001B3865">
              <w:rPr>
                <w:rFonts w:hint="eastAsia"/>
                <w:kern w:val="2"/>
              </w:rPr>
              <w:t>产品包括航空航天用各类安装线、毫米波耗稳相电缆、高速数据总线电缆、脉冲高压电缆及组件、水密电缆及组件、滤波电缆等各类高可靠电线电缆、信息安全设备、物联网设备及系统等，</w:t>
            </w:r>
            <w:r w:rsidR="001B3865">
              <w:rPr>
                <w:rFonts w:hint="eastAsia"/>
                <w:kern w:val="2"/>
              </w:rPr>
              <w:t>产品广泛用于航空航天等领域。</w:t>
            </w:r>
          </w:p>
          <w:p w:rsidR="00D504B6" w:rsidRPr="00BB1439" w:rsidRDefault="001B3865" w:rsidP="00824C39">
            <w:pPr>
              <w:pStyle w:val="a3"/>
              <w:spacing w:before="0" w:beforeAutospacing="0" w:after="0" w:afterAutospacing="0" w:line="480" w:lineRule="exact"/>
              <w:ind w:firstLineChars="200" w:firstLine="480"/>
              <w:rPr>
                <w:kern w:val="2"/>
              </w:rPr>
            </w:pPr>
            <w:r>
              <w:rPr>
                <w:rFonts w:hint="eastAsia"/>
                <w:kern w:val="2"/>
              </w:rPr>
              <w:t>2</w:t>
            </w:r>
            <w:r>
              <w:rPr>
                <w:kern w:val="2"/>
              </w:rPr>
              <w:t>024</w:t>
            </w:r>
            <w:r w:rsidR="00A503CD">
              <w:rPr>
                <w:rFonts w:hint="eastAsia"/>
                <w:kern w:val="2"/>
              </w:rPr>
              <w:t>年公司成立了汽车线束事业部，</w:t>
            </w:r>
            <w:r>
              <w:rPr>
                <w:rFonts w:hint="eastAsia"/>
                <w:kern w:val="2"/>
              </w:rPr>
              <w:t>主要从事汽车用高性能线束的生产、研发</w:t>
            </w:r>
            <w:r w:rsidR="00A503CD">
              <w:rPr>
                <w:rFonts w:hint="eastAsia"/>
                <w:kern w:val="2"/>
              </w:rPr>
              <w:t>，2</w:t>
            </w:r>
            <w:r w:rsidR="00A503CD">
              <w:rPr>
                <w:kern w:val="2"/>
              </w:rPr>
              <w:t>024</w:t>
            </w:r>
            <w:r w:rsidR="00A503CD">
              <w:rPr>
                <w:rFonts w:hint="eastAsia"/>
                <w:kern w:val="2"/>
              </w:rPr>
              <w:t>年该业务已实现营收。</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lastRenderedPageBreak/>
              <w:t>附件清单（如有）</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kern w:val="2"/>
              </w:rPr>
              <w:t>无</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t>日期</w:t>
            </w:r>
          </w:p>
        </w:tc>
        <w:tc>
          <w:tcPr>
            <w:tcW w:w="7066" w:type="dxa"/>
            <w:tcBorders>
              <w:top w:val="single" w:sz="4" w:space="0" w:color="auto"/>
              <w:left w:val="single" w:sz="4" w:space="0" w:color="auto"/>
              <w:bottom w:val="single" w:sz="4" w:space="0" w:color="auto"/>
              <w:right w:val="single" w:sz="4" w:space="0" w:color="auto"/>
            </w:tcBorders>
          </w:tcPr>
          <w:p w:rsidR="00A3675F" w:rsidRDefault="00234066" w:rsidP="00A503CD">
            <w:pPr>
              <w:pStyle w:val="a3"/>
              <w:spacing w:before="0" w:beforeAutospacing="0" w:after="0" w:afterAutospacing="0" w:line="480" w:lineRule="exact"/>
              <w:rPr>
                <w:kern w:val="2"/>
              </w:rPr>
            </w:pPr>
            <w:r>
              <w:rPr>
                <w:rFonts w:hint="eastAsia"/>
                <w:kern w:val="2"/>
              </w:rPr>
              <w:t>2</w:t>
            </w:r>
            <w:r>
              <w:rPr>
                <w:kern w:val="2"/>
              </w:rPr>
              <w:t>025</w:t>
            </w:r>
            <w:r>
              <w:rPr>
                <w:rFonts w:hint="eastAsia"/>
                <w:kern w:val="2"/>
              </w:rPr>
              <w:t>年</w:t>
            </w:r>
            <w:r w:rsidR="001A4113">
              <w:rPr>
                <w:kern w:val="2"/>
              </w:rPr>
              <w:t>3</w:t>
            </w:r>
            <w:r>
              <w:rPr>
                <w:rFonts w:hint="eastAsia"/>
                <w:kern w:val="2"/>
              </w:rPr>
              <w:t>月</w:t>
            </w:r>
          </w:p>
        </w:tc>
      </w:tr>
    </w:tbl>
    <w:p w:rsidR="00D75DFA" w:rsidRDefault="00D75DFA"/>
    <w:sectPr w:rsidR="00D75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40" w:rsidRDefault="00497540" w:rsidP="00BB1439">
      <w:r>
        <w:separator/>
      </w:r>
    </w:p>
  </w:endnote>
  <w:endnote w:type="continuationSeparator" w:id="0">
    <w:p w:rsidR="00497540" w:rsidRDefault="00497540" w:rsidP="00BB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40" w:rsidRDefault="00497540" w:rsidP="00BB1439">
      <w:r>
        <w:separator/>
      </w:r>
    </w:p>
  </w:footnote>
  <w:footnote w:type="continuationSeparator" w:id="0">
    <w:p w:rsidR="00497540" w:rsidRDefault="00497540" w:rsidP="00BB1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5F"/>
    <w:rsid w:val="000050E7"/>
    <w:rsid w:val="00010F3E"/>
    <w:rsid w:val="0002434B"/>
    <w:rsid w:val="0002535B"/>
    <w:rsid w:val="0002669E"/>
    <w:rsid w:val="00032314"/>
    <w:rsid w:val="00034117"/>
    <w:rsid w:val="00034AB9"/>
    <w:rsid w:val="000355DE"/>
    <w:rsid w:val="000370FA"/>
    <w:rsid w:val="00042A4D"/>
    <w:rsid w:val="00043571"/>
    <w:rsid w:val="00056CA1"/>
    <w:rsid w:val="000617BB"/>
    <w:rsid w:val="0006320E"/>
    <w:rsid w:val="00073569"/>
    <w:rsid w:val="000814F8"/>
    <w:rsid w:val="00086684"/>
    <w:rsid w:val="0008679D"/>
    <w:rsid w:val="000A0970"/>
    <w:rsid w:val="000A1284"/>
    <w:rsid w:val="000B4C92"/>
    <w:rsid w:val="000B5732"/>
    <w:rsid w:val="000C7CCC"/>
    <w:rsid w:val="000C7E93"/>
    <w:rsid w:val="000D264E"/>
    <w:rsid w:val="000E02B1"/>
    <w:rsid w:val="000E6BF6"/>
    <w:rsid w:val="000F6FA6"/>
    <w:rsid w:val="00100EBD"/>
    <w:rsid w:val="00113658"/>
    <w:rsid w:val="00136FB7"/>
    <w:rsid w:val="00137045"/>
    <w:rsid w:val="001458F0"/>
    <w:rsid w:val="00152522"/>
    <w:rsid w:val="00153D49"/>
    <w:rsid w:val="0015630E"/>
    <w:rsid w:val="00157DEC"/>
    <w:rsid w:val="0016115A"/>
    <w:rsid w:val="00162DF5"/>
    <w:rsid w:val="00166521"/>
    <w:rsid w:val="00173206"/>
    <w:rsid w:val="00183CFC"/>
    <w:rsid w:val="0018747F"/>
    <w:rsid w:val="0019280C"/>
    <w:rsid w:val="001A0017"/>
    <w:rsid w:val="001A15EB"/>
    <w:rsid w:val="001A3255"/>
    <w:rsid w:val="001A4113"/>
    <w:rsid w:val="001A456C"/>
    <w:rsid w:val="001A690A"/>
    <w:rsid w:val="001A7B72"/>
    <w:rsid w:val="001B0645"/>
    <w:rsid w:val="001B1339"/>
    <w:rsid w:val="001B3865"/>
    <w:rsid w:val="001B6C77"/>
    <w:rsid w:val="001B72AC"/>
    <w:rsid w:val="001D25AE"/>
    <w:rsid w:val="001D2B52"/>
    <w:rsid w:val="001D2CAC"/>
    <w:rsid w:val="001E17B4"/>
    <w:rsid w:val="001E4B9E"/>
    <w:rsid w:val="001E6B52"/>
    <w:rsid w:val="001E7A7B"/>
    <w:rsid w:val="001F1505"/>
    <w:rsid w:val="001F56FE"/>
    <w:rsid w:val="00205E54"/>
    <w:rsid w:val="002129B3"/>
    <w:rsid w:val="002205D0"/>
    <w:rsid w:val="00220D09"/>
    <w:rsid w:val="00221457"/>
    <w:rsid w:val="002242A4"/>
    <w:rsid w:val="0022509D"/>
    <w:rsid w:val="00225904"/>
    <w:rsid w:val="0023268E"/>
    <w:rsid w:val="00234066"/>
    <w:rsid w:val="00235FC4"/>
    <w:rsid w:val="00236267"/>
    <w:rsid w:val="00236318"/>
    <w:rsid w:val="0023761A"/>
    <w:rsid w:val="00246E02"/>
    <w:rsid w:val="00247A53"/>
    <w:rsid w:val="002562B0"/>
    <w:rsid w:val="00273080"/>
    <w:rsid w:val="002810AF"/>
    <w:rsid w:val="002828A1"/>
    <w:rsid w:val="00286DAD"/>
    <w:rsid w:val="0028799E"/>
    <w:rsid w:val="002904F9"/>
    <w:rsid w:val="002A1383"/>
    <w:rsid w:val="002A3F25"/>
    <w:rsid w:val="002B320C"/>
    <w:rsid w:val="002B6256"/>
    <w:rsid w:val="002B6D95"/>
    <w:rsid w:val="002B7752"/>
    <w:rsid w:val="002C792A"/>
    <w:rsid w:val="002D612C"/>
    <w:rsid w:val="002E46EF"/>
    <w:rsid w:val="002E5949"/>
    <w:rsid w:val="002E77F7"/>
    <w:rsid w:val="002E7ED0"/>
    <w:rsid w:val="002F26CC"/>
    <w:rsid w:val="00302D79"/>
    <w:rsid w:val="0030353A"/>
    <w:rsid w:val="00303638"/>
    <w:rsid w:val="003045B0"/>
    <w:rsid w:val="0031040B"/>
    <w:rsid w:val="003120A1"/>
    <w:rsid w:val="00312A55"/>
    <w:rsid w:val="003310ED"/>
    <w:rsid w:val="0034126F"/>
    <w:rsid w:val="003463E3"/>
    <w:rsid w:val="00377E9E"/>
    <w:rsid w:val="003820A7"/>
    <w:rsid w:val="00387E88"/>
    <w:rsid w:val="003A2BCF"/>
    <w:rsid w:val="003A4F58"/>
    <w:rsid w:val="003B3FEF"/>
    <w:rsid w:val="003B513A"/>
    <w:rsid w:val="003C1E39"/>
    <w:rsid w:val="003C340E"/>
    <w:rsid w:val="003C7132"/>
    <w:rsid w:val="003D031C"/>
    <w:rsid w:val="003D77DB"/>
    <w:rsid w:val="003D7B30"/>
    <w:rsid w:val="003E07B8"/>
    <w:rsid w:val="003E12EF"/>
    <w:rsid w:val="003E3DCC"/>
    <w:rsid w:val="003E5D68"/>
    <w:rsid w:val="003E7E21"/>
    <w:rsid w:val="003F1653"/>
    <w:rsid w:val="003F2A70"/>
    <w:rsid w:val="003F5037"/>
    <w:rsid w:val="003F77C0"/>
    <w:rsid w:val="004001D4"/>
    <w:rsid w:val="0040456B"/>
    <w:rsid w:val="00405AE8"/>
    <w:rsid w:val="00405DF0"/>
    <w:rsid w:val="00412007"/>
    <w:rsid w:val="004135D6"/>
    <w:rsid w:val="00416302"/>
    <w:rsid w:val="00417B36"/>
    <w:rsid w:val="0042141E"/>
    <w:rsid w:val="00426C80"/>
    <w:rsid w:val="00426E13"/>
    <w:rsid w:val="004324EB"/>
    <w:rsid w:val="004350BB"/>
    <w:rsid w:val="00435188"/>
    <w:rsid w:val="00440F7C"/>
    <w:rsid w:val="00444129"/>
    <w:rsid w:val="00446EF6"/>
    <w:rsid w:val="00456F61"/>
    <w:rsid w:val="004576CF"/>
    <w:rsid w:val="004620A9"/>
    <w:rsid w:val="0046227D"/>
    <w:rsid w:val="00463789"/>
    <w:rsid w:val="00472BE3"/>
    <w:rsid w:val="004740A4"/>
    <w:rsid w:val="004811A9"/>
    <w:rsid w:val="004861BB"/>
    <w:rsid w:val="0048774B"/>
    <w:rsid w:val="00490948"/>
    <w:rsid w:val="00497540"/>
    <w:rsid w:val="004A16BF"/>
    <w:rsid w:val="004A61B2"/>
    <w:rsid w:val="004A7A48"/>
    <w:rsid w:val="004B311C"/>
    <w:rsid w:val="004B3BF6"/>
    <w:rsid w:val="004B5C6B"/>
    <w:rsid w:val="004B65D0"/>
    <w:rsid w:val="004B7E69"/>
    <w:rsid w:val="004C5A71"/>
    <w:rsid w:val="004C7D23"/>
    <w:rsid w:val="004D208A"/>
    <w:rsid w:val="004D41EA"/>
    <w:rsid w:val="004D6521"/>
    <w:rsid w:val="004E5931"/>
    <w:rsid w:val="004F4BF0"/>
    <w:rsid w:val="004F7DAC"/>
    <w:rsid w:val="00504D60"/>
    <w:rsid w:val="00505D29"/>
    <w:rsid w:val="00512034"/>
    <w:rsid w:val="005146D9"/>
    <w:rsid w:val="00516972"/>
    <w:rsid w:val="00527500"/>
    <w:rsid w:val="00531762"/>
    <w:rsid w:val="00563E83"/>
    <w:rsid w:val="0056566A"/>
    <w:rsid w:val="00566A72"/>
    <w:rsid w:val="0057466F"/>
    <w:rsid w:val="00575435"/>
    <w:rsid w:val="00577995"/>
    <w:rsid w:val="005867AD"/>
    <w:rsid w:val="005970D9"/>
    <w:rsid w:val="00597831"/>
    <w:rsid w:val="005A097E"/>
    <w:rsid w:val="005A2BD9"/>
    <w:rsid w:val="005A43B1"/>
    <w:rsid w:val="005A4742"/>
    <w:rsid w:val="005A7EC1"/>
    <w:rsid w:val="005B011F"/>
    <w:rsid w:val="005B51FE"/>
    <w:rsid w:val="005B5813"/>
    <w:rsid w:val="005D00ED"/>
    <w:rsid w:val="005D31BF"/>
    <w:rsid w:val="005D5EE0"/>
    <w:rsid w:val="005E0E5A"/>
    <w:rsid w:val="005E331A"/>
    <w:rsid w:val="005E73CD"/>
    <w:rsid w:val="005F0F12"/>
    <w:rsid w:val="005F28C8"/>
    <w:rsid w:val="00602715"/>
    <w:rsid w:val="0061504D"/>
    <w:rsid w:val="006276A7"/>
    <w:rsid w:val="006372CA"/>
    <w:rsid w:val="0064139D"/>
    <w:rsid w:val="0064151A"/>
    <w:rsid w:val="00650FBF"/>
    <w:rsid w:val="006523E7"/>
    <w:rsid w:val="00665D6D"/>
    <w:rsid w:val="0067106B"/>
    <w:rsid w:val="006713A1"/>
    <w:rsid w:val="00673617"/>
    <w:rsid w:val="00674643"/>
    <w:rsid w:val="00675ECF"/>
    <w:rsid w:val="00681CEA"/>
    <w:rsid w:val="00683912"/>
    <w:rsid w:val="0068682B"/>
    <w:rsid w:val="006A09B0"/>
    <w:rsid w:val="006A0D99"/>
    <w:rsid w:val="006B0229"/>
    <w:rsid w:val="006B6BAD"/>
    <w:rsid w:val="006B79A2"/>
    <w:rsid w:val="006C0F67"/>
    <w:rsid w:val="006C386A"/>
    <w:rsid w:val="006D1165"/>
    <w:rsid w:val="006F229D"/>
    <w:rsid w:val="006F7C7F"/>
    <w:rsid w:val="0070353B"/>
    <w:rsid w:val="007134FD"/>
    <w:rsid w:val="007142A3"/>
    <w:rsid w:val="00717106"/>
    <w:rsid w:val="00720C80"/>
    <w:rsid w:val="007237FE"/>
    <w:rsid w:val="007247C2"/>
    <w:rsid w:val="00726DC3"/>
    <w:rsid w:val="00727EF6"/>
    <w:rsid w:val="00732214"/>
    <w:rsid w:val="00734A32"/>
    <w:rsid w:val="007451C1"/>
    <w:rsid w:val="00750654"/>
    <w:rsid w:val="00755458"/>
    <w:rsid w:val="00755FB9"/>
    <w:rsid w:val="00757C50"/>
    <w:rsid w:val="00772371"/>
    <w:rsid w:val="0078561D"/>
    <w:rsid w:val="007970E2"/>
    <w:rsid w:val="007B7D56"/>
    <w:rsid w:val="007C6794"/>
    <w:rsid w:val="007D0D61"/>
    <w:rsid w:val="007D6CA4"/>
    <w:rsid w:val="007D6F4E"/>
    <w:rsid w:val="007E1C4A"/>
    <w:rsid w:val="007E221E"/>
    <w:rsid w:val="007E52E0"/>
    <w:rsid w:val="007E5372"/>
    <w:rsid w:val="007F155B"/>
    <w:rsid w:val="007F4D91"/>
    <w:rsid w:val="008027F9"/>
    <w:rsid w:val="00804947"/>
    <w:rsid w:val="008146C7"/>
    <w:rsid w:val="0082218D"/>
    <w:rsid w:val="00824C39"/>
    <w:rsid w:val="008265DE"/>
    <w:rsid w:val="00833104"/>
    <w:rsid w:val="00835E30"/>
    <w:rsid w:val="00847F51"/>
    <w:rsid w:val="008517E9"/>
    <w:rsid w:val="00854E74"/>
    <w:rsid w:val="00866336"/>
    <w:rsid w:val="00872A24"/>
    <w:rsid w:val="00874114"/>
    <w:rsid w:val="00877749"/>
    <w:rsid w:val="00882284"/>
    <w:rsid w:val="00886261"/>
    <w:rsid w:val="008A0193"/>
    <w:rsid w:val="008A120E"/>
    <w:rsid w:val="008A28E9"/>
    <w:rsid w:val="008A4237"/>
    <w:rsid w:val="008A640B"/>
    <w:rsid w:val="008B2D77"/>
    <w:rsid w:val="008B449E"/>
    <w:rsid w:val="008C1F25"/>
    <w:rsid w:val="008C200A"/>
    <w:rsid w:val="008C3210"/>
    <w:rsid w:val="008C3F27"/>
    <w:rsid w:val="008D1B7A"/>
    <w:rsid w:val="008D53D4"/>
    <w:rsid w:val="008E116C"/>
    <w:rsid w:val="008E1418"/>
    <w:rsid w:val="008E265C"/>
    <w:rsid w:val="008E3739"/>
    <w:rsid w:val="008E53C1"/>
    <w:rsid w:val="008F0E91"/>
    <w:rsid w:val="008F10D0"/>
    <w:rsid w:val="008F1E66"/>
    <w:rsid w:val="008F6CDA"/>
    <w:rsid w:val="008F7313"/>
    <w:rsid w:val="00900A9E"/>
    <w:rsid w:val="00915C0C"/>
    <w:rsid w:val="00915FE0"/>
    <w:rsid w:val="009224FD"/>
    <w:rsid w:val="009226A2"/>
    <w:rsid w:val="0092754C"/>
    <w:rsid w:val="009345A9"/>
    <w:rsid w:val="00934CFA"/>
    <w:rsid w:val="00942496"/>
    <w:rsid w:val="009545C2"/>
    <w:rsid w:val="0095645E"/>
    <w:rsid w:val="009624E0"/>
    <w:rsid w:val="00965AD2"/>
    <w:rsid w:val="009676E5"/>
    <w:rsid w:val="00974199"/>
    <w:rsid w:val="0097429A"/>
    <w:rsid w:val="0097494E"/>
    <w:rsid w:val="0098243A"/>
    <w:rsid w:val="009824B4"/>
    <w:rsid w:val="00986F20"/>
    <w:rsid w:val="00990248"/>
    <w:rsid w:val="00994EB4"/>
    <w:rsid w:val="009A04B3"/>
    <w:rsid w:val="009B2765"/>
    <w:rsid w:val="009C5602"/>
    <w:rsid w:val="009D11E4"/>
    <w:rsid w:val="009D1814"/>
    <w:rsid w:val="009D1F14"/>
    <w:rsid w:val="009D5401"/>
    <w:rsid w:val="009E363E"/>
    <w:rsid w:val="009E700D"/>
    <w:rsid w:val="009E757B"/>
    <w:rsid w:val="00A04850"/>
    <w:rsid w:val="00A1137C"/>
    <w:rsid w:val="00A120F8"/>
    <w:rsid w:val="00A131CE"/>
    <w:rsid w:val="00A13C0F"/>
    <w:rsid w:val="00A14B81"/>
    <w:rsid w:val="00A173C8"/>
    <w:rsid w:val="00A20E82"/>
    <w:rsid w:val="00A21558"/>
    <w:rsid w:val="00A232B4"/>
    <w:rsid w:val="00A250E0"/>
    <w:rsid w:val="00A26ADB"/>
    <w:rsid w:val="00A33C3B"/>
    <w:rsid w:val="00A34303"/>
    <w:rsid w:val="00A3675F"/>
    <w:rsid w:val="00A429F0"/>
    <w:rsid w:val="00A43159"/>
    <w:rsid w:val="00A503CD"/>
    <w:rsid w:val="00A52843"/>
    <w:rsid w:val="00A554D0"/>
    <w:rsid w:val="00A64042"/>
    <w:rsid w:val="00A71680"/>
    <w:rsid w:val="00A910FD"/>
    <w:rsid w:val="00A95455"/>
    <w:rsid w:val="00A95EA8"/>
    <w:rsid w:val="00AA1B4B"/>
    <w:rsid w:val="00AB1FA4"/>
    <w:rsid w:val="00AB5F07"/>
    <w:rsid w:val="00AB6D87"/>
    <w:rsid w:val="00AC040D"/>
    <w:rsid w:val="00AC1AEA"/>
    <w:rsid w:val="00AC269B"/>
    <w:rsid w:val="00AC4DD2"/>
    <w:rsid w:val="00AD3FAA"/>
    <w:rsid w:val="00AD4967"/>
    <w:rsid w:val="00AD5CA0"/>
    <w:rsid w:val="00AD7BE9"/>
    <w:rsid w:val="00AE2796"/>
    <w:rsid w:val="00AE6DBA"/>
    <w:rsid w:val="00AF126A"/>
    <w:rsid w:val="00AF29CB"/>
    <w:rsid w:val="00B01962"/>
    <w:rsid w:val="00B05A5D"/>
    <w:rsid w:val="00B07659"/>
    <w:rsid w:val="00B20B83"/>
    <w:rsid w:val="00B34640"/>
    <w:rsid w:val="00B35F66"/>
    <w:rsid w:val="00B464DF"/>
    <w:rsid w:val="00B61612"/>
    <w:rsid w:val="00B62B1F"/>
    <w:rsid w:val="00B648B3"/>
    <w:rsid w:val="00B677E0"/>
    <w:rsid w:val="00B70AB7"/>
    <w:rsid w:val="00B744B2"/>
    <w:rsid w:val="00B746DC"/>
    <w:rsid w:val="00B75181"/>
    <w:rsid w:val="00B8465B"/>
    <w:rsid w:val="00B97D9D"/>
    <w:rsid w:val="00BA25A9"/>
    <w:rsid w:val="00BA4591"/>
    <w:rsid w:val="00BA6739"/>
    <w:rsid w:val="00BB1439"/>
    <w:rsid w:val="00BB3022"/>
    <w:rsid w:val="00BB3F67"/>
    <w:rsid w:val="00BC032C"/>
    <w:rsid w:val="00BC39C5"/>
    <w:rsid w:val="00BC4C10"/>
    <w:rsid w:val="00BD37BF"/>
    <w:rsid w:val="00BD3BC7"/>
    <w:rsid w:val="00BD4974"/>
    <w:rsid w:val="00BE378E"/>
    <w:rsid w:val="00C00A51"/>
    <w:rsid w:val="00C0204D"/>
    <w:rsid w:val="00C073B8"/>
    <w:rsid w:val="00C148D9"/>
    <w:rsid w:val="00C2267B"/>
    <w:rsid w:val="00C303A2"/>
    <w:rsid w:val="00C35A67"/>
    <w:rsid w:val="00C40B14"/>
    <w:rsid w:val="00C50350"/>
    <w:rsid w:val="00C61759"/>
    <w:rsid w:val="00C70258"/>
    <w:rsid w:val="00C77958"/>
    <w:rsid w:val="00C82D15"/>
    <w:rsid w:val="00C84553"/>
    <w:rsid w:val="00C87F8B"/>
    <w:rsid w:val="00C90507"/>
    <w:rsid w:val="00C90C3F"/>
    <w:rsid w:val="00C9223E"/>
    <w:rsid w:val="00CA1C3D"/>
    <w:rsid w:val="00CA25FF"/>
    <w:rsid w:val="00CA745C"/>
    <w:rsid w:val="00CA7E93"/>
    <w:rsid w:val="00CB5A57"/>
    <w:rsid w:val="00CB652B"/>
    <w:rsid w:val="00CC04C5"/>
    <w:rsid w:val="00CC317D"/>
    <w:rsid w:val="00CD3675"/>
    <w:rsid w:val="00CD4FDC"/>
    <w:rsid w:val="00CD767F"/>
    <w:rsid w:val="00CE3932"/>
    <w:rsid w:val="00CE5955"/>
    <w:rsid w:val="00D02B6B"/>
    <w:rsid w:val="00D03587"/>
    <w:rsid w:val="00D04672"/>
    <w:rsid w:val="00D07EA2"/>
    <w:rsid w:val="00D10F8E"/>
    <w:rsid w:val="00D13E73"/>
    <w:rsid w:val="00D221AF"/>
    <w:rsid w:val="00D25B98"/>
    <w:rsid w:val="00D312F8"/>
    <w:rsid w:val="00D33676"/>
    <w:rsid w:val="00D362F6"/>
    <w:rsid w:val="00D448E6"/>
    <w:rsid w:val="00D45A65"/>
    <w:rsid w:val="00D47405"/>
    <w:rsid w:val="00D504B6"/>
    <w:rsid w:val="00D64F6C"/>
    <w:rsid w:val="00D66330"/>
    <w:rsid w:val="00D75DFA"/>
    <w:rsid w:val="00D91079"/>
    <w:rsid w:val="00D928A4"/>
    <w:rsid w:val="00D93549"/>
    <w:rsid w:val="00D9537A"/>
    <w:rsid w:val="00D9648A"/>
    <w:rsid w:val="00DA74EA"/>
    <w:rsid w:val="00DB1227"/>
    <w:rsid w:val="00DB23F7"/>
    <w:rsid w:val="00DB4C79"/>
    <w:rsid w:val="00DC3943"/>
    <w:rsid w:val="00DD59F0"/>
    <w:rsid w:val="00DE1262"/>
    <w:rsid w:val="00DE3FAF"/>
    <w:rsid w:val="00DE5EDC"/>
    <w:rsid w:val="00DE7F44"/>
    <w:rsid w:val="00DF0117"/>
    <w:rsid w:val="00DF2D00"/>
    <w:rsid w:val="00DF38E6"/>
    <w:rsid w:val="00DF571E"/>
    <w:rsid w:val="00DF68CF"/>
    <w:rsid w:val="00DF77FA"/>
    <w:rsid w:val="00E06706"/>
    <w:rsid w:val="00E32D67"/>
    <w:rsid w:val="00E33FA2"/>
    <w:rsid w:val="00E35242"/>
    <w:rsid w:val="00E35CD9"/>
    <w:rsid w:val="00E42CA3"/>
    <w:rsid w:val="00E46C57"/>
    <w:rsid w:val="00E51682"/>
    <w:rsid w:val="00E520AF"/>
    <w:rsid w:val="00E54039"/>
    <w:rsid w:val="00E60116"/>
    <w:rsid w:val="00E63BEB"/>
    <w:rsid w:val="00E7688A"/>
    <w:rsid w:val="00E843FF"/>
    <w:rsid w:val="00E86C34"/>
    <w:rsid w:val="00E87C49"/>
    <w:rsid w:val="00E91748"/>
    <w:rsid w:val="00E94F99"/>
    <w:rsid w:val="00E956E3"/>
    <w:rsid w:val="00EA5D29"/>
    <w:rsid w:val="00EA62AA"/>
    <w:rsid w:val="00EA753E"/>
    <w:rsid w:val="00EB1CF4"/>
    <w:rsid w:val="00EB6C41"/>
    <w:rsid w:val="00EC10C0"/>
    <w:rsid w:val="00EC6921"/>
    <w:rsid w:val="00EC7863"/>
    <w:rsid w:val="00EE2B91"/>
    <w:rsid w:val="00EF01F8"/>
    <w:rsid w:val="00EF2176"/>
    <w:rsid w:val="00EF2E16"/>
    <w:rsid w:val="00F02331"/>
    <w:rsid w:val="00F1026F"/>
    <w:rsid w:val="00F12B2F"/>
    <w:rsid w:val="00F157E3"/>
    <w:rsid w:val="00F21A7E"/>
    <w:rsid w:val="00F236CA"/>
    <w:rsid w:val="00F252FA"/>
    <w:rsid w:val="00F27798"/>
    <w:rsid w:val="00F27FB1"/>
    <w:rsid w:val="00F317E1"/>
    <w:rsid w:val="00F31AB3"/>
    <w:rsid w:val="00F31D3C"/>
    <w:rsid w:val="00F334B7"/>
    <w:rsid w:val="00F364BC"/>
    <w:rsid w:val="00F379F9"/>
    <w:rsid w:val="00F40991"/>
    <w:rsid w:val="00F40F3C"/>
    <w:rsid w:val="00F41B6A"/>
    <w:rsid w:val="00F4266D"/>
    <w:rsid w:val="00F42C3E"/>
    <w:rsid w:val="00F42F2B"/>
    <w:rsid w:val="00F434DE"/>
    <w:rsid w:val="00F57401"/>
    <w:rsid w:val="00F65F73"/>
    <w:rsid w:val="00F70ED7"/>
    <w:rsid w:val="00F83008"/>
    <w:rsid w:val="00F86142"/>
    <w:rsid w:val="00F8615D"/>
    <w:rsid w:val="00F927C0"/>
    <w:rsid w:val="00F93832"/>
    <w:rsid w:val="00FA4F19"/>
    <w:rsid w:val="00FA5B49"/>
    <w:rsid w:val="00FA674E"/>
    <w:rsid w:val="00FB1B89"/>
    <w:rsid w:val="00FB4010"/>
    <w:rsid w:val="00FB67CB"/>
    <w:rsid w:val="00FB7B59"/>
    <w:rsid w:val="00FB7F9A"/>
    <w:rsid w:val="00FC18AB"/>
    <w:rsid w:val="00FC4363"/>
    <w:rsid w:val="00FC4749"/>
    <w:rsid w:val="00FC5573"/>
    <w:rsid w:val="00FD3773"/>
    <w:rsid w:val="00FD4478"/>
    <w:rsid w:val="00FD7BD8"/>
    <w:rsid w:val="00FF1DF0"/>
    <w:rsid w:val="00FF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DD1C4"/>
  <w15:chartTrackingRefBased/>
  <w15:docId w15:val="{3E912A6C-DD87-4A34-BB54-52E4972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3675F"/>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3675F"/>
    <w:pPr>
      <w:widowControl/>
      <w:spacing w:before="100" w:beforeAutospacing="1" w:after="100" w:afterAutospacing="1"/>
    </w:pPr>
    <w:rPr>
      <w:rFonts w:ascii="宋体" w:eastAsia="宋体" w:hAnsi="宋体" w:cs="Times New Roman"/>
      <w:color w:val="000000"/>
      <w:sz w:val="24"/>
      <w:szCs w:val="24"/>
      <w:lang w:eastAsia="zh-CN"/>
    </w:rPr>
  </w:style>
  <w:style w:type="paragraph" w:styleId="a4">
    <w:name w:val="header"/>
    <w:basedOn w:val="a"/>
    <w:link w:val="a5"/>
    <w:uiPriority w:val="99"/>
    <w:unhideWhenUsed/>
    <w:rsid w:val="00BB143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B1439"/>
    <w:rPr>
      <w:kern w:val="0"/>
      <w:sz w:val="18"/>
      <w:szCs w:val="18"/>
      <w:lang w:eastAsia="en-US"/>
    </w:rPr>
  </w:style>
  <w:style w:type="paragraph" w:styleId="a6">
    <w:name w:val="footer"/>
    <w:basedOn w:val="a"/>
    <w:link w:val="a7"/>
    <w:uiPriority w:val="99"/>
    <w:unhideWhenUsed/>
    <w:rsid w:val="00BB1439"/>
    <w:pPr>
      <w:tabs>
        <w:tab w:val="center" w:pos="4153"/>
        <w:tab w:val="right" w:pos="8306"/>
      </w:tabs>
      <w:snapToGrid w:val="0"/>
    </w:pPr>
    <w:rPr>
      <w:sz w:val="18"/>
      <w:szCs w:val="18"/>
    </w:rPr>
  </w:style>
  <w:style w:type="character" w:customStyle="1" w:styleId="a7">
    <w:name w:val="页脚 字符"/>
    <w:basedOn w:val="a0"/>
    <w:link w:val="a6"/>
    <w:uiPriority w:val="99"/>
    <w:rsid w:val="00BB1439"/>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ePTFE</a:t>
            </a:r>
            <a:r>
              <a:rPr lang="zh-CN" altLang="en-US"/>
              <a:t>微透产品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Sheet1!$C$49</c:f>
              <c:strCache>
                <c:ptCount val="1"/>
                <c:pt idx="0">
                  <c:v>营业收入</c:v>
                </c:pt>
              </c:strCache>
            </c:strRef>
          </c:tx>
          <c:spPr>
            <a:solidFill>
              <a:schemeClr val="accent6"/>
            </a:solidFill>
            <a:ln>
              <a:noFill/>
            </a:ln>
            <a:effectLst/>
          </c:spPr>
          <c:invertIfNegative val="0"/>
          <c:cat>
            <c:strRef>
              <c:f>Sheet1!$D$48:$K$48</c:f>
              <c:strCache>
                <c:ptCount val="8"/>
                <c:pt idx="0">
                  <c:v>2017年</c:v>
                </c:pt>
                <c:pt idx="1">
                  <c:v>2018年</c:v>
                </c:pt>
                <c:pt idx="2">
                  <c:v>2019年</c:v>
                </c:pt>
                <c:pt idx="3">
                  <c:v>2020年</c:v>
                </c:pt>
                <c:pt idx="4">
                  <c:v>2021年</c:v>
                </c:pt>
                <c:pt idx="5">
                  <c:v>2022年</c:v>
                </c:pt>
                <c:pt idx="6">
                  <c:v>2023年</c:v>
                </c:pt>
                <c:pt idx="7">
                  <c:v>2024年1-9月</c:v>
                </c:pt>
              </c:strCache>
            </c:strRef>
          </c:cat>
          <c:val>
            <c:numRef>
              <c:f>Sheet1!$D$49:$K$49</c:f>
              <c:numCache>
                <c:formatCode>#,##0.00</c:formatCode>
                <c:ptCount val="8"/>
                <c:pt idx="0">
                  <c:v>5478.22</c:v>
                </c:pt>
                <c:pt idx="1">
                  <c:v>5732.02</c:v>
                </c:pt>
                <c:pt idx="2">
                  <c:v>6839.76</c:v>
                </c:pt>
                <c:pt idx="3">
                  <c:v>8130.43</c:v>
                </c:pt>
                <c:pt idx="4">
                  <c:v>10490.33</c:v>
                </c:pt>
                <c:pt idx="5">
                  <c:v>11245.67</c:v>
                </c:pt>
                <c:pt idx="6">
                  <c:v>12099.45</c:v>
                </c:pt>
                <c:pt idx="7">
                  <c:v>11201.16</c:v>
                </c:pt>
              </c:numCache>
            </c:numRef>
          </c:val>
          <c:extLst>
            <c:ext xmlns:c16="http://schemas.microsoft.com/office/drawing/2014/chart" uri="{C3380CC4-5D6E-409C-BE32-E72D297353CC}">
              <c16:uniqueId val="{00000000-4F47-4DCF-BBC4-32F2E5A3C0FE}"/>
            </c:ext>
          </c:extLst>
        </c:ser>
        <c:ser>
          <c:idx val="1"/>
          <c:order val="1"/>
          <c:tx>
            <c:strRef>
              <c:f>Sheet1!$C$50</c:f>
              <c:strCache>
                <c:ptCount val="1"/>
                <c:pt idx="0">
                  <c:v>营业成本</c:v>
                </c:pt>
              </c:strCache>
            </c:strRef>
          </c:tx>
          <c:spPr>
            <a:solidFill>
              <a:schemeClr val="accent5"/>
            </a:solidFill>
            <a:ln>
              <a:noFill/>
            </a:ln>
            <a:effectLst/>
          </c:spPr>
          <c:invertIfNegative val="0"/>
          <c:cat>
            <c:strRef>
              <c:f>Sheet1!$D$48:$K$48</c:f>
              <c:strCache>
                <c:ptCount val="8"/>
                <c:pt idx="0">
                  <c:v>2017年</c:v>
                </c:pt>
                <c:pt idx="1">
                  <c:v>2018年</c:v>
                </c:pt>
                <c:pt idx="2">
                  <c:v>2019年</c:v>
                </c:pt>
                <c:pt idx="3">
                  <c:v>2020年</c:v>
                </c:pt>
                <c:pt idx="4">
                  <c:v>2021年</c:v>
                </c:pt>
                <c:pt idx="5">
                  <c:v>2022年</c:v>
                </c:pt>
                <c:pt idx="6">
                  <c:v>2023年</c:v>
                </c:pt>
                <c:pt idx="7">
                  <c:v>2024年1-9月</c:v>
                </c:pt>
              </c:strCache>
            </c:strRef>
          </c:cat>
          <c:val>
            <c:numRef>
              <c:f>Sheet1!$D$50:$K$50</c:f>
              <c:numCache>
                <c:formatCode>#,##0.00</c:formatCode>
                <c:ptCount val="8"/>
                <c:pt idx="0">
                  <c:v>1213.73</c:v>
                </c:pt>
                <c:pt idx="1">
                  <c:v>1519.93</c:v>
                </c:pt>
                <c:pt idx="2">
                  <c:v>1814.8</c:v>
                </c:pt>
                <c:pt idx="3">
                  <c:v>1794.7</c:v>
                </c:pt>
                <c:pt idx="4">
                  <c:v>2646.01</c:v>
                </c:pt>
                <c:pt idx="5">
                  <c:v>3116.79</c:v>
                </c:pt>
                <c:pt idx="6">
                  <c:v>3411.52</c:v>
                </c:pt>
                <c:pt idx="7">
                  <c:v>3106.2609931802444</c:v>
                </c:pt>
              </c:numCache>
            </c:numRef>
          </c:val>
          <c:extLst>
            <c:ext xmlns:c16="http://schemas.microsoft.com/office/drawing/2014/chart" uri="{C3380CC4-5D6E-409C-BE32-E72D297353CC}">
              <c16:uniqueId val="{00000001-4F47-4DCF-BBC4-32F2E5A3C0FE}"/>
            </c:ext>
          </c:extLst>
        </c:ser>
        <c:dLbls>
          <c:showLegendKey val="0"/>
          <c:showVal val="0"/>
          <c:showCatName val="0"/>
          <c:showSerName val="0"/>
          <c:showPercent val="0"/>
          <c:showBubbleSize val="0"/>
        </c:dLbls>
        <c:gapWidth val="150"/>
        <c:axId val="668142576"/>
        <c:axId val="668138832"/>
      </c:barChart>
      <c:lineChart>
        <c:grouping val="standard"/>
        <c:varyColors val="0"/>
        <c:ser>
          <c:idx val="2"/>
          <c:order val="2"/>
          <c:tx>
            <c:strRef>
              <c:f>Sheet1!$C$51</c:f>
              <c:strCache>
                <c:ptCount val="1"/>
                <c:pt idx="0">
                  <c:v>毛利率</c:v>
                </c:pt>
              </c:strCache>
            </c:strRef>
          </c:tx>
          <c:spPr>
            <a:ln w="28575" cap="rnd">
              <a:solidFill>
                <a:schemeClr val="accent4"/>
              </a:solidFill>
              <a:round/>
            </a:ln>
            <a:effectLst/>
          </c:spPr>
          <c:marker>
            <c:symbol val="none"/>
          </c:marker>
          <c:cat>
            <c:strRef>
              <c:f>Sheet1!$D$48:$K$48</c:f>
              <c:strCache>
                <c:ptCount val="8"/>
                <c:pt idx="0">
                  <c:v>2017年</c:v>
                </c:pt>
                <c:pt idx="1">
                  <c:v>2018年</c:v>
                </c:pt>
                <c:pt idx="2">
                  <c:v>2019年</c:v>
                </c:pt>
                <c:pt idx="3">
                  <c:v>2020年</c:v>
                </c:pt>
                <c:pt idx="4">
                  <c:v>2021年</c:v>
                </c:pt>
                <c:pt idx="5">
                  <c:v>2022年</c:v>
                </c:pt>
                <c:pt idx="6">
                  <c:v>2023年</c:v>
                </c:pt>
                <c:pt idx="7">
                  <c:v>2024年1-9月</c:v>
                </c:pt>
              </c:strCache>
            </c:strRef>
          </c:cat>
          <c:val>
            <c:numRef>
              <c:f>Sheet1!$D$51:$K$51</c:f>
              <c:numCache>
                <c:formatCode>0.00%</c:formatCode>
                <c:ptCount val="8"/>
                <c:pt idx="0">
                  <c:v>0.77844445823643449</c:v>
                </c:pt>
                <c:pt idx="1">
                  <c:v>0.73483518899096656</c:v>
                </c:pt>
                <c:pt idx="2">
                  <c:v>0.73466905271529992</c:v>
                </c:pt>
                <c:pt idx="3">
                  <c:v>0.77926136747994879</c:v>
                </c:pt>
                <c:pt idx="4">
                  <c:v>0.74776675280949223</c:v>
                </c:pt>
                <c:pt idx="5">
                  <c:v>0.7228453262455683</c:v>
                </c:pt>
                <c:pt idx="6">
                  <c:v>0.71804338213720453</c:v>
                </c:pt>
                <c:pt idx="7">
                  <c:v>0.72268399048132115</c:v>
                </c:pt>
              </c:numCache>
            </c:numRef>
          </c:val>
          <c:smooth val="0"/>
          <c:extLst>
            <c:ext xmlns:c16="http://schemas.microsoft.com/office/drawing/2014/chart" uri="{C3380CC4-5D6E-409C-BE32-E72D297353CC}">
              <c16:uniqueId val="{00000002-4F47-4DCF-BBC4-32F2E5A3C0FE}"/>
            </c:ext>
          </c:extLst>
        </c:ser>
        <c:dLbls>
          <c:showLegendKey val="0"/>
          <c:showVal val="0"/>
          <c:showCatName val="0"/>
          <c:showSerName val="0"/>
          <c:showPercent val="0"/>
          <c:showBubbleSize val="0"/>
        </c:dLbls>
        <c:marker val="1"/>
        <c:smooth val="0"/>
        <c:axId val="606387504"/>
        <c:axId val="606384176"/>
      </c:lineChart>
      <c:catAx>
        <c:axId val="66814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38832"/>
        <c:crosses val="autoZero"/>
        <c:auto val="1"/>
        <c:lblAlgn val="ctr"/>
        <c:lblOffset val="100"/>
        <c:noMultiLvlLbl val="0"/>
      </c:catAx>
      <c:valAx>
        <c:axId val="668138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42576"/>
        <c:crosses val="autoZero"/>
        <c:crossBetween val="between"/>
      </c:valAx>
      <c:valAx>
        <c:axId val="606384176"/>
        <c:scaling>
          <c:orientation val="minMax"/>
          <c:max val="1"/>
          <c:min val="0"/>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6387504"/>
        <c:crosses val="max"/>
        <c:crossBetween val="between"/>
      </c:valAx>
      <c:catAx>
        <c:axId val="606387504"/>
        <c:scaling>
          <c:orientation val="minMax"/>
        </c:scaling>
        <c:delete val="1"/>
        <c:axPos val="b"/>
        <c:numFmt formatCode="General" sourceLinked="1"/>
        <c:majorTickMark val="none"/>
        <c:minorTickMark val="none"/>
        <c:tickLblPos val="nextTo"/>
        <c:crossAx val="6063841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CMD</a:t>
            </a:r>
            <a:r>
              <a:rPr lang="zh-CN" altLang="en-US"/>
              <a:t>及气体管理</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Sheet1!$C$71</c:f>
              <c:strCache>
                <c:ptCount val="1"/>
                <c:pt idx="0">
                  <c:v>营业收入</c:v>
                </c:pt>
              </c:strCache>
            </c:strRef>
          </c:tx>
          <c:spPr>
            <a:solidFill>
              <a:schemeClr val="accent1"/>
            </a:solidFill>
            <a:ln>
              <a:noFill/>
            </a:ln>
            <a:effectLst/>
          </c:spPr>
          <c:invertIfNegative val="0"/>
          <c:cat>
            <c:strRef>
              <c:f>Sheet1!$D$70:$K$70</c:f>
              <c:strCache>
                <c:ptCount val="8"/>
                <c:pt idx="0">
                  <c:v>2017年</c:v>
                </c:pt>
                <c:pt idx="1">
                  <c:v>2018年</c:v>
                </c:pt>
                <c:pt idx="2">
                  <c:v>2019年</c:v>
                </c:pt>
                <c:pt idx="3">
                  <c:v>2020年</c:v>
                </c:pt>
                <c:pt idx="4">
                  <c:v>2021年</c:v>
                </c:pt>
                <c:pt idx="5">
                  <c:v>2022年</c:v>
                </c:pt>
                <c:pt idx="6">
                  <c:v>2023年</c:v>
                </c:pt>
                <c:pt idx="7">
                  <c:v>2024年1-9月</c:v>
                </c:pt>
              </c:strCache>
            </c:strRef>
          </c:cat>
          <c:val>
            <c:numRef>
              <c:f>Sheet1!$D$71:$K$71</c:f>
              <c:numCache>
                <c:formatCode>#,##0.00</c:formatCode>
                <c:ptCount val="8"/>
                <c:pt idx="0">
                  <c:v>44.3</c:v>
                </c:pt>
                <c:pt idx="1">
                  <c:v>742.2</c:v>
                </c:pt>
                <c:pt idx="2">
                  <c:v>1808.17</c:v>
                </c:pt>
                <c:pt idx="3">
                  <c:v>3034.95</c:v>
                </c:pt>
                <c:pt idx="4">
                  <c:v>4199.58</c:v>
                </c:pt>
                <c:pt idx="5">
                  <c:v>6678.82</c:v>
                </c:pt>
                <c:pt idx="6">
                  <c:v>9785.0400000000009</c:v>
                </c:pt>
                <c:pt idx="7">
                  <c:v>9883.66</c:v>
                </c:pt>
              </c:numCache>
            </c:numRef>
          </c:val>
          <c:extLst>
            <c:ext xmlns:c16="http://schemas.microsoft.com/office/drawing/2014/chart" uri="{C3380CC4-5D6E-409C-BE32-E72D297353CC}">
              <c16:uniqueId val="{00000000-717D-4EAA-93EC-37CEE716CC49}"/>
            </c:ext>
          </c:extLst>
        </c:ser>
        <c:ser>
          <c:idx val="1"/>
          <c:order val="1"/>
          <c:tx>
            <c:strRef>
              <c:f>Sheet1!$C$72</c:f>
              <c:strCache>
                <c:ptCount val="1"/>
                <c:pt idx="0">
                  <c:v>营业成本</c:v>
                </c:pt>
              </c:strCache>
            </c:strRef>
          </c:tx>
          <c:spPr>
            <a:solidFill>
              <a:schemeClr val="accent2"/>
            </a:solidFill>
            <a:ln>
              <a:noFill/>
            </a:ln>
            <a:effectLst/>
          </c:spPr>
          <c:invertIfNegative val="0"/>
          <c:cat>
            <c:strRef>
              <c:f>Sheet1!$D$70:$K$70</c:f>
              <c:strCache>
                <c:ptCount val="8"/>
                <c:pt idx="0">
                  <c:v>2017年</c:v>
                </c:pt>
                <c:pt idx="1">
                  <c:v>2018年</c:v>
                </c:pt>
                <c:pt idx="2">
                  <c:v>2019年</c:v>
                </c:pt>
                <c:pt idx="3">
                  <c:v>2020年</c:v>
                </c:pt>
                <c:pt idx="4">
                  <c:v>2021年</c:v>
                </c:pt>
                <c:pt idx="5">
                  <c:v>2022年</c:v>
                </c:pt>
                <c:pt idx="6">
                  <c:v>2023年</c:v>
                </c:pt>
                <c:pt idx="7">
                  <c:v>2024年1-9月</c:v>
                </c:pt>
              </c:strCache>
            </c:strRef>
          </c:cat>
          <c:val>
            <c:numRef>
              <c:f>Sheet1!$D$72:$K$72</c:f>
              <c:numCache>
                <c:formatCode>#,##0.00</c:formatCode>
                <c:ptCount val="8"/>
                <c:pt idx="0">
                  <c:v>21.03</c:v>
                </c:pt>
                <c:pt idx="1">
                  <c:v>149.05000000000001</c:v>
                </c:pt>
                <c:pt idx="2">
                  <c:v>470.54</c:v>
                </c:pt>
                <c:pt idx="3">
                  <c:v>842.91</c:v>
                </c:pt>
                <c:pt idx="4">
                  <c:v>1164.33</c:v>
                </c:pt>
                <c:pt idx="5">
                  <c:v>2113.6</c:v>
                </c:pt>
                <c:pt idx="6">
                  <c:v>3610.02</c:v>
                </c:pt>
                <c:pt idx="7">
                  <c:v>3845.7321060000004</c:v>
                </c:pt>
              </c:numCache>
            </c:numRef>
          </c:val>
          <c:extLst>
            <c:ext xmlns:c16="http://schemas.microsoft.com/office/drawing/2014/chart" uri="{C3380CC4-5D6E-409C-BE32-E72D297353CC}">
              <c16:uniqueId val="{00000001-717D-4EAA-93EC-37CEE716CC49}"/>
            </c:ext>
          </c:extLst>
        </c:ser>
        <c:dLbls>
          <c:showLegendKey val="0"/>
          <c:showVal val="0"/>
          <c:showCatName val="0"/>
          <c:showSerName val="0"/>
          <c:showPercent val="0"/>
          <c:showBubbleSize val="0"/>
        </c:dLbls>
        <c:gapWidth val="150"/>
        <c:axId val="671386096"/>
        <c:axId val="671388176"/>
      </c:barChart>
      <c:lineChart>
        <c:grouping val="standard"/>
        <c:varyColors val="0"/>
        <c:ser>
          <c:idx val="2"/>
          <c:order val="2"/>
          <c:tx>
            <c:strRef>
              <c:f>Sheet1!$C$73</c:f>
              <c:strCache>
                <c:ptCount val="1"/>
                <c:pt idx="0">
                  <c:v>毛利率</c:v>
                </c:pt>
              </c:strCache>
            </c:strRef>
          </c:tx>
          <c:spPr>
            <a:ln w="28575" cap="rnd">
              <a:solidFill>
                <a:schemeClr val="accent3"/>
              </a:solidFill>
              <a:round/>
            </a:ln>
            <a:effectLst/>
          </c:spPr>
          <c:marker>
            <c:symbol val="none"/>
          </c:marker>
          <c:cat>
            <c:strRef>
              <c:f>Sheet1!$D$70:$K$70</c:f>
              <c:strCache>
                <c:ptCount val="8"/>
                <c:pt idx="0">
                  <c:v>2017年</c:v>
                </c:pt>
                <c:pt idx="1">
                  <c:v>2018年</c:v>
                </c:pt>
                <c:pt idx="2">
                  <c:v>2019年</c:v>
                </c:pt>
                <c:pt idx="3">
                  <c:v>2020年</c:v>
                </c:pt>
                <c:pt idx="4">
                  <c:v>2021年</c:v>
                </c:pt>
                <c:pt idx="5">
                  <c:v>2022年</c:v>
                </c:pt>
                <c:pt idx="6">
                  <c:v>2023年</c:v>
                </c:pt>
                <c:pt idx="7">
                  <c:v>2024年1-9月</c:v>
                </c:pt>
              </c:strCache>
            </c:strRef>
          </c:cat>
          <c:val>
            <c:numRef>
              <c:f>Sheet1!$D$73:$K$73</c:f>
              <c:numCache>
                <c:formatCode>0.00%</c:formatCode>
                <c:ptCount val="8"/>
                <c:pt idx="0">
                  <c:v>0.52528216704288933</c:v>
                </c:pt>
                <c:pt idx="1">
                  <c:v>0.79917811910536241</c:v>
                </c:pt>
                <c:pt idx="2">
                  <c:v>0.73977004374588673</c:v>
                </c:pt>
                <c:pt idx="3">
                  <c:v>0.72226560569366871</c:v>
                </c:pt>
                <c:pt idx="4">
                  <c:v>0.72275084651322274</c:v>
                </c:pt>
                <c:pt idx="5">
                  <c:v>0.68353691220904289</c:v>
                </c:pt>
                <c:pt idx="6">
                  <c:v>0.6310674253758799</c:v>
                </c:pt>
                <c:pt idx="7">
                  <c:v>0.6109</c:v>
                </c:pt>
              </c:numCache>
            </c:numRef>
          </c:val>
          <c:smooth val="0"/>
          <c:extLst>
            <c:ext xmlns:c16="http://schemas.microsoft.com/office/drawing/2014/chart" uri="{C3380CC4-5D6E-409C-BE32-E72D297353CC}">
              <c16:uniqueId val="{00000002-717D-4EAA-93EC-37CEE716CC49}"/>
            </c:ext>
          </c:extLst>
        </c:ser>
        <c:dLbls>
          <c:showLegendKey val="0"/>
          <c:showVal val="0"/>
          <c:showCatName val="0"/>
          <c:showSerName val="0"/>
          <c:showPercent val="0"/>
          <c:showBubbleSize val="0"/>
        </c:dLbls>
        <c:marker val="1"/>
        <c:smooth val="0"/>
        <c:axId val="671389424"/>
        <c:axId val="671381520"/>
      </c:lineChart>
      <c:catAx>
        <c:axId val="67138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71388176"/>
        <c:crosses val="autoZero"/>
        <c:auto val="1"/>
        <c:lblAlgn val="ctr"/>
        <c:lblOffset val="100"/>
        <c:noMultiLvlLbl val="0"/>
      </c:catAx>
      <c:valAx>
        <c:axId val="671388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71386096"/>
        <c:crosses val="autoZero"/>
        <c:crossBetween val="between"/>
      </c:valAx>
      <c:valAx>
        <c:axId val="67138152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71389424"/>
        <c:crosses val="max"/>
        <c:crossBetween val="between"/>
      </c:valAx>
      <c:catAx>
        <c:axId val="671389424"/>
        <c:scaling>
          <c:orientation val="minMax"/>
        </c:scaling>
        <c:delete val="1"/>
        <c:axPos val="b"/>
        <c:numFmt formatCode="General" sourceLinked="1"/>
        <c:majorTickMark val="none"/>
        <c:minorTickMark val="none"/>
        <c:tickLblPos val="nextTo"/>
        <c:crossAx val="671381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b="1" dirty="0" smtClean="0">
                <a:solidFill>
                  <a:srgbClr val="FF0000"/>
                </a:solidFill>
              </a:rPr>
              <a:t>气凝胶产品</a:t>
            </a:r>
            <a:endParaRPr lang="zh-CN" altLang="en-US" b="1" dirty="0">
              <a:solidFill>
                <a:srgbClr val="FF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13491474536905909"/>
          <c:y val="0.30865533700179371"/>
          <c:w val="0.74502374478370059"/>
          <c:h val="0.46080270371608956"/>
        </c:manualLayout>
      </c:layout>
      <c:barChart>
        <c:barDir val="col"/>
        <c:grouping val="clustered"/>
        <c:varyColors val="0"/>
        <c:ser>
          <c:idx val="0"/>
          <c:order val="0"/>
          <c:tx>
            <c:strRef>
              <c:f>Sheet1!$C$103</c:f>
              <c:strCache>
                <c:ptCount val="1"/>
                <c:pt idx="0">
                  <c:v>营业收入</c:v>
                </c:pt>
              </c:strCache>
            </c:strRef>
          </c:tx>
          <c:spPr>
            <a:solidFill>
              <a:schemeClr val="accent1"/>
            </a:solidFill>
            <a:ln>
              <a:noFill/>
            </a:ln>
            <a:effectLst/>
          </c:spPr>
          <c:invertIfNegative val="0"/>
          <c:cat>
            <c:strRef>
              <c:f>Sheet1!$D$102:$G$102</c:f>
              <c:strCache>
                <c:ptCount val="4"/>
                <c:pt idx="0">
                  <c:v>2021年</c:v>
                </c:pt>
                <c:pt idx="1">
                  <c:v>2022年</c:v>
                </c:pt>
                <c:pt idx="2">
                  <c:v>2023年</c:v>
                </c:pt>
                <c:pt idx="3">
                  <c:v>2024年1-9月</c:v>
                </c:pt>
              </c:strCache>
            </c:strRef>
          </c:cat>
          <c:val>
            <c:numRef>
              <c:f>Sheet1!$D$103:$G$103</c:f>
              <c:numCache>
                <c:formatCode>#,##0.00</c:formatCode>
                <c:ptCount val="4"/>
                <c:pt idx="0">
                  <c:v>1580.44</c:v>
                </c:pt>
                <c:pt idx="1">
                  <c:v>1763.74</c:v>
                </c:pt>
                <c:pt idx="2">
                  <c:v>4444.17</c:v>
                </c:pt>
                <c:pt idx="3">
                  <c:v>4324.53</c:v>
                </c:pt>
              </c:numCache>
            </c:numRef>
          </c:val>
          <c:extLst>
            <c:ext xmlns:c16="http://schemas.microsoft.com/office/drawing/2014/chart" uri="{C3380CC4-5D6E-409C-BE32-E72D297353CC}">
              <c16:uniqueId val="{00000000-E83A-48DA-83DF-9DD1CC78E7C9}"/>
            </c:ext>
          </c:extLst>
        </c:ser>
        <c:ser>
          <c:idx val="1"/>
          <c:order val="1"/>
          <c:tx>
            <c:strRef>
              <c:f>Sheet1!$C$104</c:f>
              <c:strCache>
                <c:ptCount val="1"/>
                <c:pt idx="0">
                  <c:v>营业成本</c:v>
                </c:pt>
              </c:strCache>
            </c:strRef>
          </c:tx>
          <c:spPr>
            <a:solidFill>
              <a:schemeClr val="accent2"/>
            </a:solidFill>
            <a:ln>
              <a:noFill/>
            </a:ln>
            <a:effectLst/>
          </c:spPr>
          <c:invertIfNegative val="0"/>
          <c:cat>
            <c:strRef>
              <c:f>Sheet1!$D$102:$G$102</c:f>
              <c:strCache>
                <c:ptCount val="4"/>
                <c:pt idx="0">
                  <c:v>2021年</c:v>
                </c:pt>
                <c:pt idx="1">
                  <c:v>2022年</c:v>
                </c:pt>
                <c:pt idx="2">
                  <c:v>2023年</c:v>
                </c:pt>
                <c:pt idx="3">
                  <c:v>2024年1-9月</c:v>
                </c:pt>
              </c:strCache>
            </c:strRef>
          </c:cat>
          <c:val>
            <c:numRef>
              <c:f>Sheet1!$D$104:$G$104</c:f>
              <c:numCache>
                <c:formatCode>#,##0.00</c:formatCode>
                <c:ptCount val="4"/>
                <c:pt idx="0">
                  <c:v>1294.8</c:v>
                </c:pt>
                <c:pt idx="1">
                  <c:v>972.91</c:v>
                </c:pt>
                <c:pt idx="2">
                  <c:v>2157.38</c:v>
                </c:pt>
                <c:pt idx="3">
                  <c:v>2407.35</c:v>
                </c:pt>
              </c:numCache>
            </c:numRef>
          </c:val>
          <c:extLst>
            <c:ext xmlns:c16="http://schemas.microsoft.com/office/drawing/2014/chart" uri="{C3380CC4-5D6E-409C-BE32-E72D297353CC}">
              <c16:uniqueId val="{00000001-E83A-48DA-83DF-9DD1CC78E7C9}"/>
            </c:ext>
          </c:extLst>
        </c:ser>
        <c:dLbls>
          <c:showLegendKey val="0"/>
          <c:showVal val="0"/>
          <c:showCatName val="0"/>
          <c:showSerName val="0"/>
          <c:showPercent val="0"/>
          <c:showBubbleSize val="0"/>
        </c:dLbls>
        <c:gapWidth val="150"/>
        <c:axId val="668140080"/>
        <c:axId val="668141744"/>
      </c:barChart>
      <c:lineChart>
        <c:grouping val="standard"/>
        <c:varyColors val="0"/>
        <c:ser>
          <c:idx val="2"/>
          <c:order val="2"/>
          <c:tx>
            <c:strRef>
              <c:f>Sheet1!$C$105</c:f>
              <c:strCache>
                <c:ptCount val="1"/>
                <c:pt idx="0">
                  <c:v>毛利率</c:v>
                </c:pt>
              </c:strCache>
            </c:strRef>
          </c:tx>
          <c:spPr>
            <a:ln w="28575" cap="rnd">
              <a:solidFill>
                <a:schemeClr val="accent3"/>
              </a:solidFill>
              <a:round/>
            </a:ln>
            <a:effectLst/>
          </c:spPr>
          <c:marker>
            <c:symbol val="none"/>
          </c:marker>
          <c:cat>
            <c:strRef>
              <c:f>Sheet1!$D$102:$G$102</c:f>
              <c:strCache>
                <c:ptCount val="4"/>
                <c:pt idx="0">
                  <c:v>2021年</c:v>
                </c:pt>
                <c:pt idx="1">
                  <c:v>2022年</c:v>
                </c:pt>
                <c:pt idx="2">
                  <c:v>2023年</c:v>
                </c:pt>
                <c:pt idx="3">
                  <c:v>2024年1-9月</c:v>
                </c:pt>
              </c:strCache>
            </c:strRef>
          </c:cat>
          <c:val>
            <c:numRef>
              <c:f>Sheet1!$D$105:$G$105</c:f>
              <c:numCache>
                <c:formatCode>0.00%</c:formatCode>
                <c:ptCount val="4"/>
                <c:pt idx="0">
                  <c:v>0.18073447900584649</c:v>
                </c:pt>
                <c:pt idx="1">
                  <c:v>0.44838241464161388</c:v>
                </c:pt>
                <c:pt idx="2">
                  <c:v>0.51455952405061012</c:v>
                </c:pt>
                <c:pt idx="3">
                  <c:v>0.44332678926958535</c:v>
                </c:pt>
              </c:numCache>
            </c:numRef>
          </c:val>
          <c:smooth val="0"/>
          <c:extLst>
            <c:ext xmlns:c16="http://schemas.microsoft.com/office/drawing/2014/chart" uri="{C3380CC4-5D6E-409C-BE32-E72D297353CC}">
              <c16:uniqueId val="{00000002-E83A-48DA-83DF-9DD1CC78E7C9}"/>
            </c:ext>
          </c:extLst>
        </c:ser>
        <c:dLbls>
          <c:showLegendKey val="0"/>
          <c:showVal val="0"/>
          <c:showCatName val="0"/>
          <c:showSerName val="0"/>
          <c:showPercent val="0"/>
          <c:showBubbleSize val="0"/>
        </c:dLbls>
        <c:marker val="1"/>
        <c:smooth val="0"/>
        <c:axId val="375472272"/>
        <c:axId val="375473520"/>
      </c:lineChart>
      <c:catAx>
        <c:axId val="66814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41744"/>
        <c:crosses val="autoZero"/>
        <c:auto val="1"/>
        <c:lblAlgn val="ctr"/>
        <c:lblOffset val="100"/>
        <c:noMultiLvlLbl val="0"/>
      </c:catAx>
      <c:valAx>
        <c:axId val="668141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40080"/>
        <c:crosses val="autoZero"/>
        <c:crossBetween val="between"/>
      </c:valAx>
      <c:valAx>
        <c:axId val="37547352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75472272"/>
        <c:crosses val="max"/>
        <c:crossBetween val="between"/>
      </c:valAx>
      <c:catAx>
        <c:axId val="375472272"/>
        <c:scaling>
          <c:orientation val="minMax"/>
        </c:scaling>
        <c:delete val="1"/>
        <c:axPos val="b"/>
        <c:numFmt formatCode="General" sourceLinked="1"/>
        <c:majorTickMark val="none"/>
        <c:minorTickMark val="none"/>
        <c:tickLblPos val="nextTo"/>
        <c:crossAx val="375473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7</cp:revision>
  <dcterms:created xsi:type="dcterms:W3CDTF">2025-03-06T08:06:00Z</dcterms:created>
  <dcterms:modified xsi:type="dcterms:W3CDTF">2025-03-10T09:06:00Z</dcterms:modified>
</cp:coreProperties>
</file>