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3</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default" w:ascii="宋体" w:hAnsi="宋体" w:eastAsia="宋体" w:cs="宋体"/>
                <w:sz w:val="24"/>
                <w:szCs w:val="24"/>
                <w:lang w:val="en-US" w:eastAsia="zh-CN"/>
              </w:rPr>
            </w:pPr>
            <w:r>
              <w:rPr>
                <w:rFonts w:hint="eastAsia" w:ascii="宋体" w:hAnsi="宋体"/>
                <w:bCs/>
                <w:iCs/>
                <w:sz w:val="24"/>
                <w:szCs w:val="24"/>
                <w:lang w:val="en-US" w:eastAsia="zh-CN"/>
              </w:rPr>
              <w:t>长盛基金、中国人寿养老保险</w:t>
            </w:r>
          </w:p>
        </w:tc>
      </w:tr>
      <w:tr w14:paraId="63BC6D09">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3</w:t>
            </w:r>
            <w:r>
              <w:rPr>
                <w:rFonts w:hint="eastAsia" w:ascii="宋体" w:hAnsi="宋体"/>
                <w:bCs/>
                <w:iCs/>
                <w:sz w:val="24"/>
                <w:szCs w:val="24"/>
              </w:rPr>
              <w:t>月</w:t>
            </w:r>
            <w:r>
              <w:rPr>
                <w:rFonts w:hint="eastAsia" w:ascii="宋体" w:hAnsi="宋体"/>
                <w:bCs/>
                <w:iCs/>
                <w:sz w:val="24"/>
                <w:szCs w:val="24"/>
                <w:lang w:val="en-US" w:eastAsia="zh-CN"/>
              </w:rPr>
              <w:t>14</w:t>
            </w:r>
            <w:r>
              <w:rPr>
                <w:rFonts w:hint="eastAsia" w:ascii="宋体" w:hAnsi="宋体"/>
                <w:bCs/>
                <w:iCs/>
                <w:sz w:val="24"/>
                <w:szCs w:val="24"/>
              </w:rPr>
              <w:t>日</w:t>
            </w:r>
          </w:p>
        </w:tc>
      </w:tr>
      <w:tr w14:paraId="2448A6CD">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5422822E">
            <w:pPr>
              <w:spacing w:line="360" w:lineRule="auto"/>
              <w:rPr>
                <w:rFonts w:hint="default" w:ascii="宋体" w:hAnsi="宋体"/>
                <w:bCs/>
                <w:iCs/>
                <w:sz w:val="24"/>
                <w:szCs w:val="24"/>
                <w:lang w:val="en-US"/>
              </w:rPr>
            </w:pPr>
            <w:r>
              <w:rPr>
                <w:rFonts w:hint="eastAsia" w:ascii="宋体" w:hAnsi="宋体"/>
                <w:bCs/>
                <w:iCs/>
                <w:sz w:val="24"/>
                <w:szCs w:val="24"/>
                <w:lang w:val="en-US" w:eastAsia="zh-CN"/>
              </w:rPr>
              <w:t>投资者关系总监 郭心驰女士</w:t>
            </w:r>
          </w:p>
        </w:tc>
      </w:tr>
      <w:tr w14:paraId="276D98E0">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sz w:val="24"/>
              </w:rPr>
            </w:pPr>
            <w:r>
              <w:rPr>
                <w:rFonts w:hint="eastAsia"/>
                <w:sz w:val="24"/>
              </w:rPr>
              <w:t>一、公司介绍环节</w:t>
            </w:r>
          </w:p>
          <w:p w14:paraId="0BC77868">
            <w:pPr>
              <w:numPr>
                <w:ilvl w:val="255"/>
                <w:numId w:val="0"/>
              </w:numPr>
              <w:spacing w:before="156" w:beforeLines="50" w:line="360" w:lineRule="auto"/>
              <w:ind w:firstLine="480" w:firstLineChars="200"/>
              <w:rPr>
                <w:rFonts w:hint="eastAsia"/>
                <w:kern w:val="0"/>
                <w:sz w:val="24"/>
                <w:lang w:val="en-US" w:eastAsia="zh-CN"/>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p>
          <w:p w14:paraId="589DDFD0">
            <w:pPr>
              <w:numPr>
                <w:ilvl w:val="255"/>
                <w:numId w:val="0"/>
              </w:numPr>
              <w:spacing w:before="156" w:beforeLines="50" w:line="360" w:lineRule="auto"/>
              <w:ind w:firstLine="480" w:firstLineChars="200"/>
              <w:rPr>
                <w:rFonts w:hint="default" w:eastAsia="宋体"/>
                <w:sz w:val="24"/>
                <w:lang w:val="en-US" w:eastAsia="zh-CN"/>
              </w:rPr>
            </w:pPr>
            <w:r>
              <w:rPr>
                <w:rFonts w:hint="eastAsia"/>
                <w:sz w:val="24"/>
                <w:lang w:val="en-US" w:eastAsia="zh-CN"/>
              </w:rPr>
              <w:t>根据公司已发布的《2024年度业绩快报公告》：2024年全年公司实现营业收入107,772.45万元，同比增长15.62%；实现归属于母公司所有者的净利润18,028.92万元，同比下降2.42%；实现归属于母公司所有者的扣除非经常性损益的净利润16,817.01万元，同比下降6.61%。报告期末资产总额198,594.95万元，较报告期初增长6.60%;归属于母公司所有者权益110,351.68万元，较报告期初增长6.11%；归属于母公司所有者的每股净资产9.85元，较报告期初增长6.11%。</w:t>
            </w:r>
          </w:p>
          <w:p w14:paraId="5242BECC">
            <w:pPr>
              <w:numPr>
                <w:ilvl w:val="255"/>
                <w:numId w:val="0"/>
              </w:numPr>
              <w:spacing w:before="156" w:beforeLines="50" w:line="360" w:lineRule="auto"/>
              <w:ind w:firstLine="480" w:firstLineChars="200"/>
              <w:rPr>
                <w:rFonts w:hint="eastAsia" w:ascii="宋体" w:hAnsi="宋体"/>
                <w:b/>
                <w:iCs/>
                <w:sz w:val="24"/>
                <w:szCs w:val="24"/>
              </w:rPr>
            </w:pPr>
            <w:r>
              <w:rPr>
                <w:rFonts w:hint="eastAsia" w:ascii="宋体" w:hAnsi="宋体"/>
                <w:b/>
                <w:iCs/>
                <w:sz w:val="24"/>
                <w:szCs w:val="24"/>
              </w:rPr>
              <w:t>二、问答环节</w:t>
            </w:r>
          </w:p>
          <w:p w14:paraId="26B8C90D">
            <w:pPr>
              <w:numPr>
                <w:ilvl w:val="0"/>
                <w:numId w:val="1"/>
              </w:numPr>
              <w:spacing w:before="156" w:beforeLines="50" w:line="360" w:lineRule="auto"/>
              <w:ind w:left="425" w:leftChars="0" w:firstLine="1" w:firstLineChars="0"/>
              <w:rPr>
                <w:rFonts w:hint="eastAsia"/>
                <w:b/>
                <w:iCs/>
                <w:sz w:val="24"/>
                <w:szCs w:val="24"/>
                <w:lang w:val="en-US" w:eastAsia="zh-CN"/>
              </w:rPr>
            </w:pPr>
            <w:r>
              <w:rPr>
                <w:rFonts w:hint="eastAsia"/>
                <w:b/>
                <w:iCs/>
                <w:sz w:val="24"/>
                <w:szCs w:val="24"/>
                <w:lang w:val="en-US" w:eastAsia="zh-CN"/>
              </w:rPr>
              <w:t xml:space="preserve">2024年公司的经营情况如何？ </w:t>
            </w:r>
          </w:p>
          <w:p w14:paraId="5CC9A466">
            <w:pPr>
              <w:numPr>
                <w:ilvl w:val="255"/>
                <w:numId w:val="0"/>
              </w:numPr>
              <w:spacing w:before="156" w:beforeLines="50" w:line="360" w:lineRule="auto"/>
              <w:ind w:firstLine="480" w:firstLineChars="200"/>
              <w:rPr>
                <w:rFonts w:hint="default"/>
                <w:sz w:val="24"/>
                <w:lang w:val="en-US" w:eastAsia="zh-CN"/>
              </w:rPr>
            </w:pPr>
            <w:r>
              <w:rPr>
                <w:rFonts w:hint="eastAsia"/>
                <w:sz w:val="24"/>
                <w:lang w:val="en-US" w:eastAsia="zh-CN"/>
              </w:rPr>
              <w:t>请参考公司已发布的《2024年度业绩快报公告》：报告期内，公司实现营业收入107,772.45万元，同比增长15.62%；实现归属于母公司所有者的净利润18,028.92万元，同比下降2.42%；实现归属于母公司所有者的扣除非经常性损益的净利润16,817.01万元，同比下降6.61%。报告期末资产总额198,594.95万元，较报告期初增长6.60%;归属于母公司所有者权益110,351.68万元，较报告期初增长6.11%；归属于母公司所有者的每股净资产9.85元，较报告期初增长6.11%。报告期内，受集采政策及市场竞争加剧等因素影响，国内生物医药行业整体研发需求出现了一定波动。然而，公司凭借“临床前+临床”一体化服务模式，依托丰富的项目经验及完善的质量管理体系，为客户提供全方位、一站式解决方案，有效满足客户多样化需求。凭借该模式，公司成功赢得客户高度认可，推动市场订单稳定增长，进而实现全年营业收入同比增长。与此同时，为强化长期竞争力，公司致力于开发具有全球自主知识产权的创新药物，构建具有显著市场竞争力的产品线，并持续加大在多肽、长效微球制剂、缓控释制剂、局部递送与透皮吸收药物以及细胞治疗等前沿领域的研发投入。受研发费用同比增加的影响，归属于母公司所有者的净利润及归属于母公司所有者的扣除非经常性损益的净利润较去年同期略有下降。（注：以上2024年度主要财务数据为初步核算的合并报表数据，未经会计师事务所审计，具体数据以公司2024年年度报告中披露的数据为准，敬请广大投资者注意投资风险）。</w:t>
            </w:r>
          </w:p>
          <w:p w14:paraId="1579521E">
            <w:pPr>
              <w:numPr>
                <w:ilvl w:val="0"/>
                <w:numId w:val="1"/>
              </w:numPr>
              <w:spacing w:before="156" w:beforeLines="50" w:line="360" w:lineRule="auto"/>
              <w:ind w:left="425" w:leftChars="0" w:firstLine="1" w:firstLineChars="0"/>
              <w:rPr>
                <w:rFonts w:hint="eastAsia"/>
                <w:b/>
                <w:iCs/>
                <w:sz w:val="24"/>
                <w:szCs w:val="24"/>
              </w:rPr>
            </w:pPr>
            <w:r>
              <w:rPr>
                <w:rFonts w:hint="eastAsia"/>
                <w:b/>
                <w:iCs/>
                <w:sz w:val="24"/>
                <w:szCs w:val="24"/>
                <w:lang w:val="en-US" w:eastAsia="zh-CN"/>
              </w:rPr>
              <w:t>在期间</w:t>
            </w:r>
            <w:r>
              <w:rPr>
                <w:rFonts w:hint="eastAsia"/>
                <w:b/>
                <w:iCs/>
                <w:sz w:val="24"/>
                <w:szCs w:val="24"/>
              </w:rPr>
              <w:t>费用率</w:t>
            </w:r>
            <w:r>
              <w:rPr>
                <w:rFonts w:hint="eastAsia"/>
                <w:b/>
                <w:iCs/>
                <w:sz w:val="24"/>
                <w:szCs w:val="24"/>
                <w:lang w:val="en-US" w:eastAsia="zh-CN"/>
              </w:rPr>
              <w:t>方面</w:t>
            </w:r>
            <w:r>
              <w:rPr>
                <w:rFonts w:hint="eastAsia"/>
                <w:b/>
                <w:iCs/>
                <w:sz w:val="24"/>
                <w:szCs w:val="24"/>
              </w:rPr>
              <w:t>的趋势如何？</w:t>
            </w:r>
            <w:r>
              <w:rPr>
                <w:rFonts w:hint="eastAsia"/>
                <w:b/>
                <w:iCs/>
                <w:sz w:val="24"/>
                <w:szCs w:val="24"/>
                <w:lang w:val="en-US" w:eastAsia="zh-CN"/>
              </w:rPr>
              <w:t>公司有什么控费的措施？</w:t>
            </w:r>
            <w:r>
              <w:rPr>
                <w:rFonts w:hint="eastAsia"/>
                <w:b/>
                <w:iCs/>
                <w:sz w:val="24"/>
                <w:szCs w:val="24"/>
              </w:rPr>
              <w:t xml:space="preserve"> </w:t>
            </w:r>
          </w:p>
          <w:p w14:paraId="516074AE">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b w:val="0"/>
                <w:bCs/>
                <w:iCs/>
                <w:sz w:val="24"/>
                <w:szCs w:val="24"/>
              </w:rPr>
            </w:pPr>
            <w:r>
              <w:rPr>
                <w:rFonts w:hint="eastAsia" w:ascii="宋体" w:hAnsi="宋体"/>
                <w:b w:val="0"/>
                <w:bCs/>
                <w:iCs/>
                <w:sz w:val="24"/>
                <w:szCs w:val="24"/>
                <w:lang w:val="en-US" w:eastAsia="zh-CN"/>
              </w:rPr>
              <w:t>一方面，公司能较好的控制在</w:t>
            </w:r>
            <w:r>
              <w:rPr>
                <w:rFonts w:hint="eastAsia" w:ascii="宋体" w:hAnsi="宋体"/>
                <w:b w:val="0"/>
                <w:bCs/>
                <w:iCs/>
                <w:sz w:val="24"/>
                <w:szCs w:val="24"/>
              </w:rPr>
              <w:t>市场推广和销售</w:t>
            </w:r>
            <w:r>
              <w:rPr>
                <w:rFonts w:hint="eastAsia" w:ascii="宋体" w:hAnsi="宋体"/>
                <w:b w:val="0"/>
                <w:bCs/>
                <w:iCs/>
                <w:sz w:val="24"/>
                <w:szCs w:val="24"/>
                <w:lang w:eastAsia="zh-CN"/>
              </w:rPr>
              <w:t>、</w:t>
            </w:r>
            <w:r>
              <w:rPr>
                <w:rFonts w:hint="eastAsia" w:ascii="宋体" w:hAnsi="宋体"/>
                <w:b w:val="0"/>
                <w:bCs/>
                <w:iCs/>
                <w:sz w:val="24"/>
                <w:szCs w:val="24"/>
                <w:lang w:val="en-US" w:eastAsia="zh-CN"/>
              </w:rPr>
              <w:t>管理等</w:t>
            </w:r>
            <w:r>
              <w:rPr>
                <w:rFonts w:hint="eastAsia" w:ascii="宋体" w:hAnsi="宋体"/>
                <w:b w:val="0"/>
                <w:bCs/>
                <w:iCs/>
                <w:sz w:val="24"/>
                <w:szCs w:val="24"/>
              </w:rPr>
              <w:t>方面的成本</w:t>
            </w:r>
            <w:r>
              <w:rPr>
                <w:rFonts w:hint="eastAsia" w:ascii="宋体" w:hAnsi="宋体"/>
                <w:b w:val="0"/>
                <w:bCs/>
                <w:iCs/>
                <w:sz w:val="24"/>
                <w:szCs w:val="24"/>
                <w:lang w:eastAsia="zh-CN"/>
              </w:rPr>
              <w:t>，</w:t>
            </w:r>
            <w:r>
              <w:rPr>
                <w:rFonts w:hint="eastAsia" w:ascii="宋体" w:hAnsi="宋体"/>
                <w:b w:val="0"/>
                <w:bCs/>
                <w:iCs/>
                <w:sz w:val="24"/>
                <w:szCs w:val="24"/>
                <w:lang w:val="en-US" w:eastAsia="zh-CN"/>
              </w:rPr>
              <w:t>在</w:t>
            </w:r>
            <w:r>
              <w:rPr>
                <w:rFonts w:hint="eastAsia" w:ascii="宋体" w:hAnsi="宋体"/>
                <w:b w:val="0"/>
                <w:bCs/>
                <w:iCs/>
                <w:sz w:val="24"/>
                <w:szCs w:val="24"/>
              </w:rPr>
              <w:t>资金管理和利用上较为高效</w:t>
            </w:r>
            <w:r>
              <w:rPr>
                <w:rFonts w:hint="eastAsia" w:ascii="宋体" w:hAnsi="宋体"/>
                <w:b w:val="0"/>
                <w:bCs/>
                <w:iCs/>
                <w:sz w:val="24"/>
                <w:szCs w:val="24"/>
                <w:lang w:eastAsia="zh-CN"/>
              </w:rPr>
              <w:t>，</w:t>
            </w:r>
            <w:r>
              <w:rPr>
                <w:rFonts w:hint="eastAsia" w:ascii="宋体" w:hAnsi="宋体"/>
                <w:b w:val="0"/>
                <w:bCs/>
                <w:iCs/>
                <w:sz w:val="24"/>
                <w:szCs w:val="24"/>
                <w:lang w:val="en-US" w:eastAsia="zh-CN"/>
              </w:rPr>
              <w:t>公司</w:t>
            </w:r>
            <w:r>
              <w:rPr>
                <w:rFonts w:hint="eastAsia" w:ascii="宋体" w:hAnsi="宋体"/>
                <w:b w:val="0"/>
                <w:bCs/>
                <w:iCs/>
                <w:sz w:val="24"/>
                <w:szCs w:val="24"/>
              </w:rPr>
              <w:t>在追求业务</w:t>
            </w:r>
            <w:r>
              <w:rPr>
                <w:rFonts w:hint="eastAsia" w:ascii="宋体" w:hAnsi="宋体"/>
                <w:b w:val="0"/>
                <w:bCs/>
                <w:iCs/>
                <w:sz w:val="24"/>
                <w:szCs w:val="24"/>
                <w:lang w:val="en-US" w:eastAsia="zh-CN"/>
              </w:rPr>
              <w:t>收入</w:t>
            </w:r>
            <w:r>
              <w:rPr>
                <w:rFonts w:hint="eastAsia" w:ascii="宋体" w:hAnsi="宋体"/>
                <w:b w:val="0"/>
                <w:bCs/>
                <w:iCs/>
                <w:sz w:val="24"/>
                <w:szCs w:val="24"/>
              </w:rPr>
              <w:t>增长的同时，也在努力优化成本结构，</w:t>
            </w:r>
            <w:r>
              <w:rPr>
                <w:rFonts w:hint="eastAsia" w:ascii="宋体" w:hAnsi="宋体"/>
                <w:b w:val="0"/>
                <w:bCs/>
                <w:iCs/>
                <w:sz w:val="24"/>
                <w:szCs w:val="24"/>
                <w:lang w:val="en-US" w:eastAsia="zh-CN"/>
              </w:rPr>
              <w:t>尽可能保持费用率稳定控制在合理的水平内，提高运营效率，</w:t>
            </w:r>
            <w:r>
              <w:rPr>
                <w:rFonts w:hint="eastAsia" w:ascii="宋体" w:hAnsi="宋体"/>
                <w:b w:val="0"/>
                <w:bCs/>
                <w:iCs/>
                <w:sz w:val="24"/>
                <w:szCs w:val="24"/>
              </w:rPr>
              <w:t>以支持公司的长期发展</w:t>
            </w:r>
            <w:r>
              <w:rPr>
                <w:rFonts w:hint="eastAsia" w:ascii="宋体" w:hAnsi="宋体"/>
                <w:b w:val="0"/>
                <w:bCs/>
                <w:iCs/>
                <w:sz w:val="24"/>
                <w:szCs w:val="24"/>
                <w:lang w:eastAsia="zh-CN"/>
              </w:rPr>
              <w:t>。</w:t>
            </w:r>
            <w:r>
              <w:rPr>
                <w:rFonts w:hint="eastAsia" w:ascii="宋体" w:hAnsi="宋体"/>
                <w:b w:val="0"/>
                <w:bCs/>
                <w:iCs/>
                <w:sz w:val="24"/>
                <w:szCs w:val="24"/>
                <w:lang w:val="en-US" w:eastAsia="zh-CN"/>
              </w:rPr>
              <w:t>公司在进行</w:t>
            </w:r>
            <w:r>
              <w:rPr>
                <w:rFonts w:hint="eastAsia" w:ascii="宋体" w:hAnsi="宋体"/>
                <w:b w:val="0"/>
                <w:bCs/>
                <w:iCs/>
                <w:sz w:val="24"/>
                <w:szCs w:val="24"/>
              </w:rPr>
              <w:t>产业布局</w:t>
            </w:r>
            <w:r>
              <w:rPr>
                <w:rFonts w:hint="eastAsia" w:ascii="宋体" w:hAnsi="宋体"/>
                <w:b w:val="0"/>
                <w:bCs/>
                <w:iCs/>
                <w:sz w:val="24"/>
                <w:szCs w:val="24"/>
                <w:lang w:val="en-US" w:eastAsia="zh-CN"/>
              </w:rPr>
              <w:t>时</w:t>
            </w:r>
            <w:r>
              <w:rPr>
                <w:rFonts w:hint="eastAsia" w:ascii="宋体" w:hAnsi="宋体"/>
                <w:b w:val="0"/>
                <w:bCs/>
                <w:iCs/>
                <w:sz w:val="24"/>
                <w:szCs w:val="24"/>
              </w:rPr>
              <w:t>会明确投入和产出的要求，保证各个环节效率的提升和优化。</w:t>
            </w:r>
          </w:p>
          <w:p w14:paraId="643AED48">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ascii="宋体" w:hAnsi="宋体" w:eastAsia="宋体"/>
                <w:b w:val="0"/>
                <w:bCs/>
                <w:iCs/>
                <w:sz w:val="24"/>
                <w:szCs w:val="24"/>
                <w:lang w:val="en-US" w:eastAsia="zh-CN"/>
              </w:rPr>
            </w:pPr>
            <w:r>
              <w:rPr>
                <w:rFonts w:hint="eastAsia" w:ascii="宋体" w:hAnsi="宋体"/>
                <w:b w:val="0"/>
                <w:bCs/>
                <w:iCs/>
                <w:sz w:val="24"/>
                <w:szCs w:val="24"/>
                <w:lang w:val="en-US" w:eastAsia="zh-CN"/>
              </w:rPr>
              <w:t>另一方面，在研发投入上，公司一直将研发作为企业发展的核心驱动力，保持了持续增长的研发投入。公司近年来研发投入占营收的比重一直维持在10%-15%之间。公司的研发投入主要用于自主立项的创新药、改良型新药和仿制药项目。在自主研发的创新药项目方面，公司在研产品主要应用在镇痛、肾病与透析、肿瘤辅助、心脑血管、抗菌用药等适应症领域；在改良型新药方面，公司在药物传递系统上开展技术研发及产业转化研究，以长效微球制剂、缓控释制剂等为研发重点；在仿制药方面，公司在研产品重点包括复杂注射剂、多肽制剂、局部递送与透皮吸收药物、儿童用药、罕见病用药及其他特殊制剂等。为了在行业中保持良好的竞争力，为了长期可持续发展，公司未来将持续注重研发和创新能力提升。</w:t>
            </w:r>
          </w:p>
          <w:p w14:paraId="13EF8075">
            <w:pPr>
              <w:numPr>
                <w:ilvl w:val="0"/>
                <w:numId w:val="2"/>
              </w:numPr>
              <w:spacing w:before="156" w:beforeLines="50" w:line="360" w:lineRule="auto"/>
              <w:ind w:firstLine="480" w:firstLineChars="200"/>
              <w:rPr>
                <w:rFonts w:hint="eastAsia"/>
                <w:b/>
                <w:sz w:val="24"/>
              </w:rPr>
            </w:pPr>
            <w:r>
              <w:rPr>
                <w:rFonts w:hint="eastAsia"/>
                <w:b/>
                <w:sz w:val="24"/>
              </w:rPr>
              <w:t>公司</w:t>
            </w:r>
            <w:r>
              <w:rPr>
                <w:rFonts w:hint="eastAsia"/>
                <w:b/>
                <w:sz w:val="24"/>
                <w:lang w:val="en-US" w:eastAsia="zh-CN"/>
              </w:rPr>
              <w:t>目前的战略规划以及未来展望</w:t>
            </w:r>
            <w:r>
              <w:rPr>
                <w:rFonts w:hint="eastAsia"/>
                <w:b/>
                <w:sz w:val="24"/>
              </w:rPr>
              <w:t xml:space="preserve">？ </w:t>
            </w:r>
          </w:p>
          <w:p w14:paraId="783B609E">
            <w:pPr>
              <w:numPr>
                <w:ilvl w:val="-1"/>
                <w:numId w:val="0"/>
              </w:numPr>
              <w:spacing w:before="156" w:beforeLines="50" w:line="360" w:lineRule="auto"/>
              <w:ind w:firstLine="480" w:firstLineChars="200"/>
              <w:rPr>
                <w:rFonts w:hint="eastAsia"/>
                <w:bCs/>
                <w:iCs/>
                <w:sz w:val="24"/>
                <w:szCs w:val="24"/>
                <w:lang w:val="en-US" w:eastAsia="zh-CN"/>
              </w:rPr>
            </w:pPr>
            <w:r>
              <w:rPr>
                <w:rFonts w:hint="eastAsia"/>
                <w:bCs/>
                <w:iCs/>
                <w:sz w:val="24"/>
                <w:szCs w:val="24"/>
                <w:lang w:val="en-US" w:eastAsia="zh-CN"/>
              </w:rPr>
              <w:t>通过分析目前国内医药行业所处发展阶段，我们认为“创新”能够创造更大的发展空间。无论在</w:t>
            </w:r>
            <w:r>
              <w:rPr>
                <w:rFonts w:hint="default"/>
                <w:bCs/>
                <w:iCs/>
                <w:sz w:val="24"/>
                <w:szCs w:val="24"/>
                <w:lang w:val="en-US" w:eastAsia="zh-CN"/>
              </w:rPr>
              <w:t>CRO</w:t>
            </w:r>
            <w:r>
              <w:rPr>
                <w:rFonts w:hint="eastAsia"/>
                <w:bCs/>
                <w:iCs/>
                <w:sz w:val="24"/>
                <w:szCs w:val="24"/>
                <w:lang w:val="en-US" w:eastAsia="zh-CN"/>
              </w:rPr>
              <w:t>服务方面，还是在自主研发方面，公司近几年都在做创新转型和努力，目前来看已经有所成效。</w:t>
            </w:r>
          </w:p>
          <w:p w14:paraId="5ED59D97">
            <w:pPr>
              <w:numPr>
                <w:ilvl w:val="-1"/>
                <w:numId w:val="0"/>
              </w:numPr>
              <w:spacing w:before="156" w:beforeLines="50" w:line="360" w:lineRule="auto"/>
              <w:ind w:firstLine="480" w:firstLineChars="200"/>
              <w:rPr>
                <w:rFonts w:hint="default"/>
                <w:bCs/>
                <w:iCs/>
                <w:sz w:val="24"/>
                <w:szCs w:val="24"/>
                <w:lang w:val="en-US" w:eastAsia="zh-CN"/>
              </w:rPr>
            </w:pPr>
            <w:r>
              <w:rPr>
                <w:rFonts w:hint="eastAsia"/>
                <w:bCs/>
                <w:iCs/>
                <w:sz w:val="24"/>
                <w:szCs w:val="24"/>
                <w:lang w:val="en-US" w:eastAsia="zh-CN"/>
              </w:rPr>
              <w:t>首先在</w:t>
            </w:r>
            <w:r>
              <w:rPr>
                <w:rFonts w:hint="default"/>
                <w:bCs/>
                <w:iCs/>
                <w:sz w:val="24"/>
                <w:szCs w:val="24"/>
                <w:lang w:val="en-US" w:eastAsia="zh-CN"/>
              </w:rPr>
              <w:t>CRO</w:t>
            </w:r>
            <w:r>
              <w:rPr>
                <w:rFonts w:hint="eastAsia"/>
                <w:bCs/>
                <w:iCs/>
                <w:sz w:val="24"/>
                <w:szCs w:val="24"/>
                <w:lang w:val="en-US" w:eastAsia="zh-CN"/>
              </w:rPr>
              <w:t>服务方面，公司专注于临床前及临床一体化研发服务，在复杂制剂等高端仿制药和改良型新药领域具备技术优势，同时在临床及生物分析板块，创新药临床服务的占比逐年提升，涵盖的分子领域也从传统小分子向新兴领域拓展，例如小分子靶向抑制剂、多肽类、ADC、PDC等。</w:t>
            </w:r>
          </w:p>
          <w:p w14:paraId="404DB656">
            <w:pPr>
              <w:numPr>
                <w:ilvl w:val="-1"/>
                <w:numId w:val="0"/>
              </w:numPr>
              <w:spacing w:before="156" w:beforeLines="50" w:line="360" w:lineRule="auto"/>
              <w:ind w:firstLine="480" w:firstLineChars="200"/>
              <w:rPr>
                <w:rFonts w:hint="eastAsia"/>
                <w:b/>
                <w:sz w:val="24"/>
              </w:rPr>
            </w:pPr>
            <w:r>
              <w:rPr>
                <w:rFonts w:hint="eastAsia"/>
                <w:bCs/>
                <w:iCs/>
                <w:sz w:val="24"/>
                <w:szCs w:val="24"/>
                <w:lang w:val="en-US" w:eastAsia="zh-CN"/>
              </w:rPr>
              <w:t>其次在自主研发方面，公司</w:t>
            </w:r>
            <w:r>
              <w:rPr>
                <w:rFonts w:hint="eastAsia"/>
                <w:bCs/>
                <w:iCs/>
                <w:sz w:val="24"/>
                <w:szCs w:val="24"/>
              </w:rPr>
              <w:t>自主立项</w:t>
            </w:r>
            <w:r>
              <w:rPr>
                <w:rFonts w:hint="eastAsia"/>
                <w:bCs/>
                <w:iCs/>
                <w:sz w:val="24"/>
                <w:szCs w:val="24"/>
                <w:lang w:eastAsia="zh-CN"/>
              </w:rPr>
              <w:t>了</w:t>
            </w:r>
            <w:r>
              <w:rPr>
                <w:rFonts w:hint="eastAsia"/>
                <w:bCs/>
                <w:iCs/>
                <w:sz w:val="24"/>
                <w:szCs w:val="24"/>
                <w:lang w:val="en-US" w:eastAsia="zh-CN"/>
              </w:rPr>
              <w:t>400多项产品储备</w:t>
            </w:r>
            <w:r>
              <w:rPr>
                <w:rFonts w:hint="eastAsia"/>
                <w:bCs/>
                <w:iCs/>
                <w:sz w:val="24"/>
                <w:szCs w:val="24"/>
              </w:rPr>
              <w:t>，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w:t>
            </w:r>
            <w:r>
              <w:rPr>
                <w:rFonts w:hint="eastAsia"/>
                <w:bCs/>
                <w:iCs/>
                <w:sz w:val="24"/>
                <w:szCs w:val="24"/>
                <w:lang w:val="en-US" w:eastAsia="zh-CN"/>
              </w:rPr>
              <w:t>例如在多肽领域，公司目前已有3个适应症管线进入临床，其中“STC007注射液”目前具有手术镇痛和尿毒症瘙痒两个适应症都已进入二期临床试验阶段，“STC008注射液”也已进入一期临床试验阶段，其主要适应症为治疗晚期实体瘤相关的肿瘤恶液质，其他管线在临床前研究不同阶段，进展顺利</w:t>
            </w:r>
            <w:r>
              <w:rPr>
                <w:rFonts w:hint="eastAsia"/>
                <w:bCs/>
                <w:iCs/>
                <w:sz w:val="24"/>
                <w:szCs w:val="24"/>
              </w:rPr>
              <w:t>。</w:t>
            </w:r>
          </w:p>
          <w:p w14:paraId="1630CA43">
            <w:pPr>
              <w:numPr>
                <w:ilvl w:val="0"/>
                <w:numId w:val="3"/>
              </w:numPr>
              <w:spacing w:before="156" w:beforeLines="50" w:line="360" w:lineRule="auto"/>
              <w:ind w:firstLine="480" w:firstLineChars="200"/>
              <w:rPr>
                <w:rFonts w:hint="eastAsia"/>
                <w:b/>
                <w:sz w:val="24"/>
                <w:highlight w:val="none"/>
              </w:rPr>
            </w:pPr>
            <w:r>
              <w:rPr>
                <w:rFonts w:hint="eastAsia"/>
                <w:b/>
                <w:sz w:val="24"/>
                <w:highlight w:val="none"/>
                <w:lang w:val="en-US" w:eastAsia="zh-CN"/>
              </w:rPr>
              <w:t>公司客户结构如何？目前国内药企客户研发投入有什么趋势？</w:t>
            </w:r>
          </w:p>
          <w:p w14:paraId="1C24072B">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val="0"/>
                <w:bCs/>
                <w:sz w:val="24"/>
                <w:highlight w:val="none"/>
                <w:lang w:val="en-US" w:eastAsia="zh-CN"/>
              </w:rPr>
            </w:pPr>
            <w:r>
              <w:rPr>
                <w:rFonts w:hint="eastAsia"/>
                <w:b w:val="0"/>
                <w:bCs/>
                <w:sz w:val="24"/>
                <w:highlight w:val="none"/>
                <w:lang w:val="en-US" w:eastAsia="zh-CN"/>
              </w:rPr>
              <w:t>公司作为一家专业的CRO服务提供商，我们目前为超过800家客户提供了一站式全流程服务，涵盖了从药物研发到临床试验的各个环节。</w:t>
            </w:r>
          </w:p>
          <w:p w14:paraId="37707B2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eastAsia="宋体"/>
                <w:bCs/>
                <w:sz w:val="24"/>
                <w:lang w:val="en-US" w:eastAsia="zh-CN"/>
              </w:rPr>
            </w:pPr>
            <w:r>
              <w:rPr>
                <w:rFonts w:hint="eastAsia"/>
                <w:b w:val="0"/>
                <w:bCs/>
                <w:sz w:val="24"/>
                <w:highlight w:val="none"/>
                <w:lang w:val="en-US" w:eastAsia="zh-CN"/>
              </w:rPr>
              <w:t>目前，公司还是以服务国内药企客户为主。在国内药企客户类型上种类多样，</w:t>
            </w:r>
            <w:r>
              <w:rPr>
                <w:rFonts w:hint="eastAsia"/>
                <w:bCs/>
                <w:sz w:val="24"/>
                <w:highlight w:val="none"/>
                <w:lang w:eastAsia="zh-CN"/>
              </w:rPr>
              <w:t>以</w:t>
            </w:r>
            <w:r>
              <w:rPr>
                <w:rFonts w:hint="eastAsia"/>
                <w:bCs/>
                <w:sz w:val="24"/>
                <w:highlight w:val="none"/>
              </w:rPr>
              <w:t>国内传统的中大型药企</w:t>
            </w:r>
            <w:r>
              <w:rPr>
                <w:rFonts w:hint="eastAsia"/>
                <w:bCs/>
                <w:sz w:val="24"/>
                <w:highlight w:val="none"/>
                <w:lang w:val="en-US" w:eastAsia="zh-CN"/>
              </w:rPr>
              <w:t>为主</w:t>
            </w:r>
            <w:r>
              <w:rPr>
                <w:rFonts w:hint="eastAsia"/>
                <w:bCs/>
                <w:sz w:val="24"/>
                <w:highlight w:val="none"/>
              </w:rPr>
              <w:t>，</w:t>
            </w:r>
            <w:r>
              <w:rPr>
                <w:rFonts w:hint="eastAsia"/>
                <w:b w:val="0"/>
                <w:bCs/>
                <w:sz w:val="24"/>
                <w:highlight w:val="none"/>
                <w:lang w:val="en-US" w:eastAsia="zh-CN"/>
              </w:rPr>
              <w:t>也有新兴的Biotech公司和创新型药企。我们的主力的客户群体还是药企为主，基于存量合作客户的逐渐增加，我们会基于客户的特点做客户画像的分析，随着集采和行业变化的影响，各类客户也会根据本身的营收和利润情况，由单纯的仿制药布局转型到布局更多2类、3类产品甚至1类创新药上，2类、3类产品相对来说成药性更高、整个临床的投入也相对可控、周期比创新药来说相对短一些，客户在研发投入上更加积极。同时，公司积极开展与CRO或药企的合作，共同进行产品研发。由于从头立项不仅是对研发能力和全流程化研发体系的严峻考验，还面临着紧张的时间窗口期，因此，公司在深耕传统药物研发领域的同时，更加积极地探索多元化的发展模式。</w:t>
            </w:r>
          </w:p>
        </w:tc>
      </w:tr>
      <w:tr w14:paraId="4A63DE4C">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3</w:t>
            </w:r>
            <w:r>
              <w:rPr>
                <w:rFonts w:hint="default" w:ascii="Times New Roman" w:hAnsi="Times New Roman"/>
                <w:bCs/>
                <w:iCs/>
                <w:sz w:val="24"/>
                <w:szCs w:val="24"/>
              </w:rPr>
              <w:t>月</w:t>
            </w:r>
            <w:r>
              <w:rPr>
                <w:rFonts w:hint="eastAsia"/>
                <w:bCs/>
                <w:iCs/>
                <w:sz w:val="24"/>
                <w:szCs w:val="24"/>
                <w:lang w:val="en-US" w:eastAsia="zh-CN"/>
              </w:rPr>
              <w:t>14</w:t>
            </w:r>
            <w:bookmarkStart w:id="0" w:name="_GoBack"/>
            <w:bookmarkEnd w:id="0"/>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6A866"/>
    <w:multiLevelType w:val="singleLevel"/>
    <w:tmpl w:val="B956A866"/>
    <w:lvl w:ilvl="0" w:tentative="0">
      <w:start w:val="4"/>
      <w:numFmt w:val="decimal"/>
      <w:lvlText w:val="%1."/>
      <w:lvlJc w:val="left"/>
      <w:pPr>
        <w:tabs>
          <w:tab w:val="left" w:pos="312"/>
        </w:tabs>
      </w:pPr>
      <w:rPr>
        <w:rFonts w:hint="default"/>
        <w:b/>
        <w:bCs/>
      </w:rPr>
    </w:lvl>
  </w:abstractNum>
  <w:abstractNum w:abstractNumId="1">
    <w:nsid w:val="DC9D47E6"/>
    <w:multiLevelType w:val="singleLevel"/>
    <w:tmpl w:val="DC9D47E6"/>
    <w:lvl w:ilvl="0" w:tentative="0">
      <w:start w:val="3"/>
      <w:numFmt w:val="decimal"/>
      <w:lvlText w:val="%1."/>
      <w:lvlJc w:val="left"/>
      <w:pPr>
        <w:tabs>
          <w:tab w:val="left" w:pos="312"/>
        </w:tabs>
      </w:pPr>
    </w:lvl>
  </w:abstractNum>
  <w:abstractNum w:abstractNumId="2">
    <w:nsid w:val="FFFD3353"/>
    <w:multiLevelType w:val="singleLevel"/>
    <w:tmpl w:val="FFFD3353"/>
    <w:lvl w:ilvl="0" w:tentative="0">
      <w:start w:val="1"/>
      <w:numFmt w:val="decimal"/>
      <w:lvlText w:val="%1."/>
      <w:lvlJc w:val="left"/>
      <w:pPr>
        <w:tabs>
          <w:tab w:val="left" w:pos="425"/>
        </w:tabs>
        <w:ind w:left="425" w:leftChars="0" w:firstLine="1"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44511A"/>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CC92960"/>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F54F1"/>
    <w:rsid w:val="14EC5248"/>
    <w:rsid w:val="14ED4281"/>
    <w:rsid w:val="15930D03"/>
    <w:rsid w:val="15AA2CEE"/>
    <w:rsid w:val="15B14D16"/>
    <w:rsid w:val="16761466"/>
    <w:rsid w:val="16DA51E9"/>
    <w:rsid w:val="17345A11"/>
    <w:rsid w:val="17FB3086"/>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A01C5E"/>
    <w:rsid w:val="22F83CD2"/>
    <w:rsid w:val="2362320E"/>
    <w:rsid w:val="23910C76"/>
    <w:rsid w:val="23D01B44"/>
    <w:rsid w:val="23D06D2E"/>
    <w:rsid w:val="23EB5621"/>
    <w:rsid w:val="241427AF"/>
    <w:rsid w:val="249D14E3"/>
    <w:rsid w:val="24BB0950"/>
    <w:rsid w:val="256D51A0"/>
    <w:rsid w:val="25821C24"/>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631540"/>
    <w:rsid w:val="2DCD4D3B"/>
    <w:rsid w:val="2E6F33D5"/>
    <w:rsid w:val="2EA00B62"/>
    <w:rsid w:val="2EA9018A"/>
    <w:rsid w:val="2EDE674F"/>
    <w:rsid w:val="2F4F0EF9"/>
    <w:rsid w:val="2FA368BA"/>
    <w:rsid w:val="2FFA9855"/>
    <w:rsid w:val="303D276E"/>
    <w:rsid w:val="308E0410"/>
    <w:rsid w:val="30A2064A"/>
    <w:rsid w:val="31060FA7"/>
    <w:rsid w:val="31093612"/>
    <w:rsid w:val="31BF300D"/>
    <w:rsid w:val="32A42B73"/>
    <w:rsid w:val="32D27F68"/>
    <w:rsid w:val="33231F8D"/>
    <w:rsid w:val="33260499"/>
    <w:rsid w:val="332F655B"/>
    <w:rsid w:val="33687BF4"/>
    <w:rsid w:val="337942D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717AA0"/>
    <w:rsid w:val="4A830B91"/>
    <w:rsid w:val="4AAF5236"/>
    <w:rsid w:val="4AB212D8"/>
    <w:rsid w:val="4B1A52D2"/>
    <w:rsid w:val="4B265D22"/>
    <w:rsid w:val="4B35552C"/>
    <w:rsid w:val="4BB85758"/>
    <w:rsid w:val="4C014C57"/>
    <w:rsid w:val="4C020555"/>
    <w:rsid w:val="4C1E0FC8"/>
    <w:rsid w:val="4C556F25"/>
    <w:rsid w:val="4C84793E"/>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836DC8"/>
    <w:rsid w:val="58BA5B76"/>
    <w:rsid w:val="599C16F8"/>
    <w:rsid w:val="5A2A67F5"/>
    <w:rsid w:val="5A4F27F0"/>
    <w:rsid w:val="5A880128"/>
    <w:rsid w:val="5AAE4583"/>
    <w:rsid w:val="5B1D47FA"/>
    <w:rsid w:val="5D012421"/>
    <w:rsid w:val="5D674700"/>
    <w:rsid w:val="5DD427BF"/>
    <w:rsid w:val="5DDC2CA3"/>
    <w:rsid w:val="5DEC4365"/>
    <w:rsid w:val="5E7435BA"/>
    <w:rsid w:val="5E932ED8"/>
    <w:rsid w:val="60760873"/>
    <w:rsid w:val="60C214BD"/>
    <w:rsid w:val="60C265CF"/>
    <w:rsid w:val="611B583E"/>
    <w:rsid w:val="617862AC"/>
    <w:rsid w:val="62A30EA1"/>
    <w:rsid w:val="62F60387"/>
    <w:rsid w:val="63181F99"/>
    <w:rsid w:val="6320789A"/>
    <w:rsid w:val="63D1618C"/>
    <w:rsid w:val="64661261"/>
    <w:rsid w:val="64932BAD"/>
    <w:rsid w:val="649B4982"/>
    <w:rsid w:val="64BC0286"/>
    <w:rsid w:val="650C2A2C"/>
    <w:rsid w:val="65B7D2A7"/>
    <w:rsid w:val="65CA54AC"/>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C53B96"/>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8423920"/>
    <w:rsid w:val="78A45D63"/>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D54AA1"/>
    <w:rsid w:val="7CE44ECC"/>
    <w:rsid w:val="7CE571C4"/>
    <w:rsid w:val="7D0375F5"/>
    <w:rsid w:val="7D546905"/>
    <w:rsid w:val="7D6D7ABB"/>
    <w:rsid w:val="7D7234FB"/>
    <w:rsid w:val="7E4F6774"/>
    <w:rsid w:val="7F173DB2"/>
    <w:rsid w:val="7F2266A0"/>
    <w:rsid w:val="7F2E17A9"/>
    <w:rsid w:val="7FAD2049"/>
    <w:rsid w:val="7FEE7A90"/>
    <w:rsid w:val="7FEF3D0E"/>
    <w:rsid w:val="7FF23572"/>
    <w:rsid w:val="CEEA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2475</Words>
  <Characters>2686</Characters>
  <Lines>18</Lines>
  <Paragraphs>5</Paragraphs>
  <TotalTime>17</TotalTime>
  <ScaleCrop>false</ScaleCrop>
  <LinksUpToDate>false</LinksUpToDate>
  <CharactersWithSpaces>2759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2024-09-25T14:32:00Z</dcterms:created>
  <dc:creator>杨贵娇</dc:creator>
  <cp:lastModifiedBy>Anne马也</cp:lastModifiedBy>
  <dcterms:modified xsi:type="dcterms:W3CDTF">2025-03-14T01:49:29Z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6C50DA1D0F464CF3850B58D3366B7706_13</vt:lpwstr>
  </property>
  <property fmtid="{D5CDD505-2E9C-101B-9397-08002B2CF9AE}" pid="4" name="KSOTemplateDocerSaveRecord">
    <vt:lpwstr>eyJoZGlkIjoiZTM2MTRlOTE5NzU3Y2FhZmJjMTA4ODAwNjMyZWVhZDciLCJ1c2VySWQiOiIzOTQyNDEyNzQifQ==</vt:lpwstr>
  </property>
</Properties>
</file>