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60" w:after="260" w:line="360" w:lineRule="auto"/>
        <w:jc w:val="center"/>
        <w:outlineLvl w:val="1"/>
        <w:rPr>
          <w:rFonts w:ascii="宋体" w:hAnsi="宋体" w:eastAsia="宋体" w:cs="Times New Roman"/>
          <w:b/>
          <w:bCs/>
          <w:iCs/>
          <w:sz w:val="24"/>
          <w:szCs w:val="24"/>
        </w:rPr>
      </w:pPr>
      <w:r>
        <w:rPr>
          <w:rFonts w:hint="eastAsia" w:ascii="宋体" w:hAnsi="宋体" w:eastAsia="宋体" w:cs="Times New Roman"/>
          <w:b/>
          <w:bCs/>
          <w:iCs/>
          <w:sz w:val="24"/>
          <w:szCs w:val="24"/>
        </w:rPr>
        <w:t>证券代码：688573                        证券简称：信宇人</w:t>
      </w:r>
      <w:r>
        <w:rPr>
          <w:rFonts w:ascii="宋体" w:hAnsi="宋体" w:eastAsia="宋体" w:cs="Times New Roman"/>
          <w:b/>
          <w:bCs/>
          <w:iCs/>
          <w:sz w:val="24"/>
          <w:szCs w:val="24"/>
        </w:rPr>
        <w:t xml:space="preserve"> </w:t>
      </w:r>
    </w:p>
    <w:p>
      <w:pPr>
        <w:keepNext/>
        <w:keepLines/>
        <w:spacing w:before="156" w:before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深圳市信宇人科技股份有限公司</w:t>
      </w:r>
    </w:p>
    <w:p>
      <w:pPr>
        <w:keepNext/>
        <w:keepLines/>
        <w:spacing w:before="156" w:beforeLines="50" w:line="360" w:lineRule="auto"/>
        <w:jc w:val="center"/>
        <w:outlineLvl w:val="1"/>
        <w:rPr>
          <w:rFonts w:ascii="宋体" w:hAnsi="宋体" w:eastAsia="宋体" w:cs="Times New Roman"/>
          <w:b/>
          <w:bCs/>
          <w:sz w:val="32"/>
          <w:szCs w:val="32"/>
        </w:rPr>
      </w:pPr>
      <w:r>
        <w:rPr>
          <w:rFonts w:hint="eastAsia" w:ascii="宋体" w:hAnsi="宋体" w:eastAsia="宋体" w:cs="Times New Roman"/>
          <w:b/>
          <w:bCs/>
          <w:sz w:val="32"/>
          <w:szCs w:val="32"/>
        </w:rPr>
        <w:t>投资者关系活动记录表</w:t>
      </w:r>
    </w:p>
    <w:p>
      <w:pPr>
        <w:keepNext/>
        <w:keepLines/>
        <w:spacing w:before="260" w:after="260" w:line="360" w:lineRule="auto"/>
        <w:jc w:val="left"/>
        <w:outlineLvl w:val="1"/>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编号：2025-00</w:t>
      </w:r>
      <w:r>
        <w:rPr>
          <w:rFonts w:hint="eastAsia" w:ascii="宋体" w:hAnsi="宋体" w:eastAsia="宋体" w:cs="Times New Roman"/>
          <w:b/>
          <w:bCs/>
          <w:sz w:val="24"/>
          <w:szCs w:val="24"/>
          <w:lang w:val="en-US" w:eastAsia="zh-CN"/>
        </w:rPr>
        <w:t>2</w:t>
      </w:r>
    </w:p>
    <w:tbl>
      <w:tblPr>
        <w:tblStyle w:val="7"/>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7"/>
        <w:gridCol w:w="5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投资者关系活动类别</w:t>
            </w:r>
          </w:p>
          <w:p>
            <w:pPr>
              <w:spacing w:line="360" w:lineRule="auto"/>
              <w:rPr>
                <w:rFonts w:ascii="宋体" w:hAnsi="宋体" w:eastAsia="宋体" w:cs="Times New Roman"/>
                <w:b/>
                <w:bCs/>
                <w:iCs/>
                <w:sz w:val="24"/>
                <w:szCs w:val="24"/>
              </w:rPr>
            </w:pPr>
          </w:p>
        </w:tc>
        <w:tc>
          <w:tcPr>
            <w:tcW w:w="570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特定对象调研        </w:t>
            </w:r>
            <w:r>
              <w:rPr>
                <w:rFonts w:hint="eastAsia" w:ascii="宋体" w:hAnsi="宋体" w:eastAsia="宋体" w:cs="Times New Roman"/>
                <w:bCs/>
                <w:iCs/>
                <w:sz w:val="24"/>
                <w:szCs w:val="24"/>
              </w:rPr>
              <w:t>□</w:t>
            </w:r>
            <w:r>
              <w:rPr>
                <w:rFonts w:hint="eastAsia" w:ascii="宋体" w:hAnsi="宋体" w:eastAsia="宋体" w:cs="Times New Roman"/>
                <w:sz w:val="24"/>
                <w:szCs w:val="24"/>
              </w:rPr>
              <w:t>分析师会议</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媒体采访            </w:t>
            </w:r>
            <w:r>
              <w:rPr>
                <w:rFonts w:hint="eastAsia" w:ascii="宋体" w:hAnsi="宋体" w:eastAsia="宋体" w:cs="Times New Roman"/>
                <w:bCs/>
                <w:iCs/>
                <w:sz w:val="24"/>
                <w:szCs w:val="24"/>
              </w:rPr>
              <w:t>□</w:t>
            </w:r>
            <w:r>
              <w:rPr>
                <w:rFonts w:hint="eastAsia" w:ascii="宋体" w:hAnsi="宋体" w:eastAsia="宋体" w:cs="Times New Roman"/>
                <w:sz w:val="24"/>
                <w:szCs w:val="24"/>
              </w:rPr>
              <w:t>业绩说明会</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新闻发布会          </w:t>
            </w:r>
            <w:r>
              <w:rPr>
                <w:rFonts w:hint="eastAsia" w:ascii="宋体" w:hAnsi="宋体" w:eastAsia="宋体" w:cs="Times New Roman"/>
                <w:bCs/>
                <w:iCs/>
                <w:sz w:val="24"/>
                <w:szCs w:val="24"/>
              </w:rPr>
              <w:t>□</w:t>
            </w:r>
            <w:r>
              <w:rPr>
                <w:rFonts w:hint="eastAsia" w:ascii="宋体" w:hAnsi="宋体" w:eastAsia="宋体" w:cs="Times New Roman"/>
                <w:sz w:val="24"/>
                <w:szCs w:val="24"/>
              </w:rPr>
              <w:t>路演活动</w:t>
            </w:r>
          </w:p>
          <w:p>
            <w:pPr>
              <w:tabs>
                <w:tab w:val="left" w:pos="2690"/>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 xml:space="preserve">现场参观            </w:t>
            </w:r>
            <w:r>
              <w:rPr>
                <w:rFonts w:hint="eastAsia" w:ascii="宋体" w:hAnsi="宋体" w:eastAsia="宋体" w:cs="Times New Roman"/>
                <w:sz w:val="24"/>
                <w:szCs w:val="24"/>
                <w:lang w:eastAsia="zh-CN"/>
              </w:rPr>
              <w:t>□</w:t>
            </w:r>
            <w:r>
              <w:rPr>
                <w:rFonts w:hint="eastAsia" w:ascii="宋体" w:hAnsi="宋体" w:eastAsia="宋体" w:cs="Times New Roman"/>
                <w:sz w:val="24"/>
                <w:szCs w:val="24"/>
              </w:rPr>
              <w:t>电话会议</w:t>
            </w:r>
          </w:p>
          <w:p>
            <w:pPr>
              <w:tabs>
                <w:tab w:val="center" w:pos="3199"/>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w:t>
            </w:r>
            <w:r>
              <w:rPr>
                <w:rFonts w:hint="eastAsia" w:ascii="宋体" w:hAnsi="宋体" w:eastAsia="宋体" w:cs="Times New Roman"/>
                <w:sz w:val="24"/>
                <w:szCs w:val="24"/>
              </w:rPr>
              <w:t>其他 （</w:t>
            </w:r>
            <w:r>
              <w:rPr>
                <w:rFonts w:hint="eastAsia" w:ascii="宋体" w:hAnsi="宋体" w:eastAsia="宋体" w:cs="Times New Roman"/>
                <w:sz w:val="24"/>
                <w:szCs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参与单位名称</w:t>
            </w:r>
          </w:p>
        </w:tc>
        <w:tc>
          <w:tcPr>
            <w:tcW w:w="5704" w:type="dxa"/>
            <w:shd w:val="clear" w:color="auto" w:fill="auto"/>
          </w:tcPr>
          <w:p>
            <w:pPr>
              <w:tabs>
                <w:tab w:val="center" w:pos="2798"/>
              </w:tabs>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民沣资本</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安卓投资、丰坤资本、中肯基金、黄石经开产投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会议时间</w:t>
            </w:r>
          </w:p>
        </w:tc>
        <w:tc>
          <w:tcPr>
            <w:tcW w:w="570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202</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年3月</w:t>
            </w:r>
            <w:r>
              <w:rPr>
                <w:rFonts w:hint="eastAsia" w:ascii="宋体" w:hAnsi="宋体" w:eastAsia="宋体" w:cs="Times New Roman"/>
                <w:bCs/>
                <w:iCs/>
                <w:sz w:val="24"/>
                <w:szCs w:val="24"/>
                <w:lang w:val="en-US" w:eastAsia="zh-CN"/>
              </w:rPr>
              <w:t>1</w:t>
            </w:r>
            <w:r>
              <w:rPr>
                <w:rFonts w:hint="eastAsia" w:ascii="宋体" w:hAnsi="宋体" w:eastAsia="宋体" w:cs="Times New Roman"/>
                <w:bCs/>
                <w:iCs/>
                <w:sz w:val="24"/>
                <w:szCs w:val="24"/>
              </w:rPr>
              <w:t>3日  1</w:t>
            </w:r>
            <w:r>
              <w:rPr>
                <w:rFonts w:hint="eastAsia" w:ascii="宋体" w:hAnsi="宋体" w:eastAsia="宋体" w:cs="Times New Roman"/>
                <w:bCs/>
                <w:iCs/>
                <w:sz w:val="24"/>
                <w:szCs w:val="24"/>
                <w:lang w:val="en-US" w:eastAsia="zh-CN"/>
              </w:rPr>
              <w:t>5</w:t>
            </w:r>
            <w:r>
              <w:rPr>
                <w:rFonts w:hint="eastAsia" w:ascii="宋体" w:hAnsi="宋体" w:eastAsia="宋体" w:cs="Times New Roman"/>
                <w:bCs/>
                <w:iCs/>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会议地点</w:t>
            </w:r>
          </w:p>
        </w:tc>
        <w:tc>
          <w:tcPr>
            <w:tcW w:w="570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上市公司接待人员姓名</w:t>
            </w:r>
          </w:p>
        </w:tc>
        <w:tc>
          <w:tcPr>
            <w:tcW w:w="570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val="en-US" w:eastAsia="zh-CN"/>
              </w:rPr>
              <w:t>董事、</w:t>
            </w:r>
            <w:r>
              <w:rPr>
                <w:rFonts w:hint="eastAsia" w:ascii="宋体" w:hAnsi="宋体" w:eastAsia="宋体" w:cs="Times New Roman"/>
                <w:bCs/>
                <w:iCs/>
                <w:sz w:val="24"/>
                <w:szCs w:val="24"/>
              </w:rPr>
              <w:t>董事会秘书：余德山</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证券事务代表：谢怡凡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817"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投资者关系活动主要内容介绍</w:t>
            </w:r>
          </w:p>
        </w:tc>
        <w:tc>
          <w:tcPr>
            <w:tcW w:w="5704" w:type="dxa"/>
            <w:shd w:val="clear" w:color="auto" w:fill="auto"/>
          </w:tcPr>
          <w:p>
            <w:pPr>
              <w:numPr>
                <w:ilvl w:val="0"/>
                <w:numId w:val="1"/>
              </w:numPr>
              <w:spacing w:line="360" w:lineRule="auto"/>
              <w:rPr>
                <w:rFonts w:ascii="宋体" w:hAnsi="宋体" w:eastAsia="宋体" w:cs="Times New Roman"/>
                <w:b/>
                <w:iCs/>
                <w:sz w:val="24"/>
                <w:szCs w:val="24"/>
              </w:rPr>
            </w:pPr>
            <w:r>
              <w:rPr>
                <w:rFonts w:hint="eastAsia" w:ascii="宋体" w:hAnsi="宋体" w:eastAsia="宋体" w:cs="Times New Roman"/>
                <w:b/>
                <w:iCs/>
                <w:sz w:val="24"/>
                <w:szCs w:val="24"/>
                <w:lang w:val="en-US" w:eastAsia="zh-CN"/>
              </w:rPr>
              <w:t>公司最近在手订单情况如何</w:t>
            </w:r>
            <w:r>
              <w:rPr>
                <w:rFonts w:hint="eastAsia" w:ascii="宋体" w:hAnsi="宋体" w:eastAsia="宋体" w:cs="Times New Roman"/>
                <w:b/>
                <w:iCs/>
                <w:sz w:val="24"/>
                <w:szCs w:val="24"/>
              </w:rPr>
              <w:t>？</w:t>
            </w:r>
          </w:p>
          <w:p>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公司目前订单拓展顺利，主要以头部客户订单为主，近期工厂产能满负荷运行。具体的订单详情请关注公司的后续公告</w:t>
            </w:r>
            <w:r>
              <w:rPr>
                <w:rFonts w:hint="eastAsia" w:ascii="宋体" w:hAnsi="宋体" w:eastAsia="宋体" w:cs="Times New Roman"/>
                <w:bCs/>
                <w:iCs/>
                <w:sz w:val="24"/>
                <w:szCs w:val="24"/>
                <w:lang w:val="en-US" w:eastAsia="zh-CN"/>
              </w:rPr>
              <w:t>。</w:t>
            </w:r>
          </w:p>
          <w:p>
            <w:pPr>
              <w:spacing w:line="360" w:lineRule="auto"/>
              <w:rPr>
                <w:rFonts w:hint="eastAsia" w:ascii="宋体" w:hAnsi="宋体" w:eastAsia="宋体" w:cs="Times New Roman"/>
                <w:bCs/>
                <w:iCs/>
                <w:sz w:val="24"/>
                <w:szCs w:val="24"/>
              </w:rPr>
            </w:pPr>
          </w:p>
          <w:p>
            <w:pPr>
              <w:spacing w:line="360" w:lineRule="auto"/>
              <w:rPr>
                <w:rFonts w:ascii="宋体" w:hAnsi="宋体" w:eastAsia="宋体" w:cs="Times New Roman"/>
                <w:b/>
                <w:iCs/>
                <w:sz w:val="24"/>
                <w:szCs w:val="24"/>
              </w:rPr>
            </w:pPr>
            <w:r>
              <w:rPr>
                <w:rFonts w:hint="eastAsia" w:ascii="宋体" w:hAnsi="宋体" w:eastAsia="宋体" w:cs="Times New Roman"/>
                <w:b/>
                <w:iCs/>
                <w:sz w:val="24"/>
                <w:szCs w:val="24"/>
              </w:rPr>
              <w:t>2、</w:t>
            </w:r>
            <w:r>
              <w:rPr>
                <w:rFonts w:hint="eastAsia" w:ascii="宋体" w:hAnsi="宋体" w:eastAsia="宋体" w:cs="Times New Roman"/>
                <w:b/>
                <w:iCs/>
                <w:sz w:val="24"/>
                <w:szCs w:val="24"/>
              </w:rPr>
              <w:tab/>
            </w:r>
            <w:r>
              <w:rPr>
                <w:rFonts w:hint="eastAsia" w:ascii="宋体" w:hAnsi="宋体" w:eastAsia="宋体" w:cs="Times New Roman"/>
                <w:b/>
                <w:iCs/>
                <w:sz w:val="24"/>
                <w:szCs w:val="24"/>
                <w:lang w:val="en-US" w:eastAsia="zh-CN"/>
              </w:rPr>
              <w:t>公司在固态电池领域有哪些布局</w:t>
            </w:r>
            <w:r>
              <w:rPr>
                <w:rFonts w:hint="eastAsia" w:ascii="宋体" w:hAnsi="宋体" w:eastAsia="宋体" w:cs="Times New Roman"/>
                <w:b/>
                <w:iCs/>
                <w:sz w:val="24"/>
                <w:szCs w:val="24"/>
              </w:rPr>
              <w:t>？</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在固态电池领域，公司从干法电极设备及固态电解质两方面进行布局。</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在干法电极设备方面，公司已授权3项发明专利，并有新专利在申请中。此前，公司与国内头部企业就干法电极设备进行了技术交流，未来存在进一步合作的可能性。目前，干法电极样机处于试制改进阶段。</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lang w:val="en-US" w:eastAsia="zh-CN"/>
              </w:rPr>
              <w:t>在固态</w:t>
            </w:r>
            <w:r>
              <w:rPr>
                <w:rFonts w:hint="eastAsia" w:ascii="宋体" w:hAnsi="宋体" w:eastAsia="宋体" w:cs="Times New Roman"/>
                <w:bCs/>
                <w:iCs/>
                <w:sz w:val="24"/>
                <w:szCs w:val="24"/>
              </w:rPr>
              <w:t>电解质材料方面</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公司</w:t>
            </w:r>
            <w:r>
              <w:rPr>
                <w:rFonts w:hint="eastAsia" w:ascii="宋体" w:hAnsi="宋体" w:eastAsia="宋体" w:cs="Times New Roman"/>
                <w:bCs/>
                <w:iCs/>
                <w:sz w:val="24"/>
                <w:szCs w:val="24"/>
                <w:lang w:val="en-US" w:eastAsia="zh-CN"/>
              </w:rPr>
              <w:t>正积极</w:t>
            </w:r>
            <w:r>
              <w:rPr>
                <w:rFonts w:hint="eastAsia" w:ascii="宋体" w:hAnsi="宋体" w:eastAsia="宋体" w:cs="Times New Roman"/>
                <w:bCs/>
                <w:iCs/>
                <w:sz w:val="24"/>
                <w:szCs w:val="24"/>
              </w:rPr>
              <w:t>布局卤化物</w:t>
            </w:r>
            <w:r>
              <w:rPr>
                <w:rFonts w:hint="eastAsia" w:ascii="宋体" w:hAnsi="宋体" w:eastAsia="宋体" w:cs="Times New Roman"/>
                <w:bCs/>
                <w:iCs/>
                <w:sz w:val="24"/>
                <w:szCs w:val="24"/>
                <w:lang w:val="en-US" w:eastAsia="zh-CN"/>
              </w:rPr>
              <w:t>固态</w:t>
            </w:r>
            <w:r>
              <w:rPr>
                <w:rFonts w:hint="eastAsia" w:ascii="宋体" w:hAnsi="宋体" w:eastAsia="宋体" w:cs="Times New Roman"/>
                <w:bCs/>
                <w:iCs/>
                <w:sz w:val="24"/>
                <w:szCs w:val="24"/>
              </w:rPr>
              <w:t>电解质。中期来看，卤化物</w:t>
            </w:r>
            <w:r>
              <w:rPr>
                <w:rFonts w:hint="eastAsia" w:ascii="宋体" w:hAnsi="宋体" w:eastAsia="宋体" w:cs="Times New Roman"/>
                <w:bCs/>
                <w:iCs/>
                <w:sz w:val="24"/>
                <w:szCs w:val="24"/>
                <w:lang w:val="en-US" w:eastAsia="zh-CN"/>
              </w:rPr>
              <w:t>固态</w:t>
            </w:r>
            <w:r>
              <w:rPr>
                <w:rFonts w:hint="eastAsia" w:ascii="宋体" w:hAnsi="宋体" w:eastAsia="宋体" w:cs="Times New Roman"/>
                <w:bCs/>
                <w:iCs/>
                <w:sz w:val="24"/>
                <w:szCs w:val="24"/>
              </w:rPr>
              <w:t>电解质因电导率优于聚合物和氧化物、成本低于硫化物，有望率先实现产品化</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未来公司也考虑研发</w:t>
            </w:r>
            <w:r>
              <w:rPr>
                <w:rFonts w:hint="eastAsia" w:ascii="宋体" w:hAnsi="宋体" w:eastAsia="宋体" w:cs="Times New Roman"/>
                <w:bCs/>
                <w:iCs/>
                <w:sz w:val="24"/>
                <w:szCs w:val="24"/>
              </w:rPr>
              <w:t>复合型</w:t>
            </w:r>
            <w:r>
              <w:rPr>
                <w:rFonts w:hint="eastAsia" w:ascii="宋体" w:hAnsi="宋体" w:eastAsia="宋体" w:cs="Times New Roman"/>
                <w:bCs/>
                <w:iCs/>
                <w:sz w:val="24"/>
                <w:szCs w:val="24"/>
                <w:lang w:val="en-US" w:eastAsia="zh-CN"/>
              </w:rPr>
              <w:t>固态</w:t>
            </w:r>
            <w:r>
              <w:rPr>
                <w:rFonts w:hint="eastAsia" w:ascii="宋体" w:hAnsi="宋体" w:eastAsia="宋体" w:cs="Times New Roman"/>
                <w:bCs/>
                <w:iCs/>
                <w:sz w:val="24"/>
                <w:szCs w:val="24"/>
              </w:rPr>
              <w:t>电解质材料，其兼具高电导率与低成本优势，有助于提升固态电池的性能与经济性。</w:t>
            </w:r>
          </w:p>
          <w:p>
            <w:pPr>
              <w:spacing w:line="360" w:lineRule="auto"/>
              <w:rPr>
                <w:rFonts w:ascii="宋体" w:hAnsi="宋体" w:eastAsia="宋体" w:cs="Times New Roman"/>
                <w:bCs/>
                <w:iCs/>
                <w:sz w:val="24"/>
                <w:szCs w:val="24"/>
              </w:rPr>
            </w:pPr>
          </w:p>
          <w:p>
            <w:pPr>
              <w:spacing w:line="360" w:lineRule="auto"/>
              <w:rPr>
                <w:rFonts w:ascii="宋体" w:hAnsi="宋体" w:eastAsia="宋体" w:cs="Times New Roman"/>
                <w:b/>
                <w:iCs/>
                <w:sz w:val="24"/>
                <w:szCs w:val="24"/>
              </w:rPr>
            </w:pPr>
            <w:r>
              <w:rPr>
                <w:rFonts w:hint="eastAsia" w:ascii="宋体" w:hAnsi="宋体" w:eastAsia="宋体" w:cs="Times New Roman"/>
                <w:b/>
                <w:iCs/>
                <w:sz w:val="24"/>
                <w:szCs w:val="24"/>
              </w:rPr>
              <w:t>3、</w:t>
            </w:r>
            <w:r>
              <w:rPr>
                <w:rFonts w:hint="eastAsia" w:ascii="宋体" w:hAnsi="宋体" w:eastAsia="宋体" w:cs="Times New Roman"/>
                <w:b/>
                <w:iCs/>
                <w:sz w:val="24"/>
                <w:szCs w:val="24"/>
                <w:lang w:val="en-US" w:eastAsia="zh-CN"/>
              </w:rPr>
              <w:t>对于固态电池电解质的研发公司有什么具体的计划吗</w:t>
            </w:r>
            <w:r>
              <w:rPr>
                <w:rFonts w:hint="eastAsia" w:ascii="宋体" w:hAnsi="宋体" w:eastAsia="宋体" w:cs="Times New Roman"/>
                <w:b/>
                <w:iCs/>
                <w:sz w:val="24"/>
                <w:szCs w:val="24"/>
              </w:rPr>
              <w:t>？</w:t>
            </w:r>
          </w:p>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公司计划于2025年上半年建成实验室，年底完成卤化物和硫化物的初步材料样品制备及公司内部初步测试；2026年上半年对材料进行优化并完成第三方检测鉴定，下半年制备干法电极和隔膜样品</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若前期进展顺利，有望在2026年底提前完成电池样品组装；2027年进行电池样品组装与测试。</w:t>
            </w:r>
          </w:p>
          <w:p>
            <w:pPr>
              <w:spacing w:line="360" w:lineRule="auto"/>
              <w:rPr>
                <w:rFonts w:ascii="宋体" w:hAnsi="宋体" w:eastAsia="宋体" w:cs="Times New Roman"/>
                <w:b/>
                <w:iCs/>
                <w:sz w:val="24"/>
                <w:szCs w:val="24"/>
              </w:rPr>
            </w:pPr>
          </w:p>
          <w:p>
            <w:pPr>
              <w:spacing w:line="360" w:lineRule="auto"/>
              <w:rPr>
                <w:rFonts w:ascii="宋体" w:hAnsi="宋体" w:eastAsia="宋体" w:cs="Times New Roman"/>
                <w:b/>
                <w:iCs/>
                <w:sz w:val="24"/>
                <w:szCs w:val="24"/>
              </w:rPr>
            </w:pPr>
            <w:r>
              <w:rPr>
                <w:rFonts w:hint="eastAsia" w:ascii="宋体" w:hAnsi="宋体" w:eastAsia="宋体" w:cs="Times New Roman"/>
                <w:b/>
                <w:iCs/>
                <w:sz w:val="24"/>
                <w:szCs w:val="24"/>
              </w:rPr>
              <w:t>4、公司2024年业绩下滑的原因？</w:t>
            </w:r>
          </w:p>
          <w:p>
            <w:pPr>
              <w:spacing w:line="360" w:lineRule="auto"/>
              <w:rPr>
                <w:rFonts w:hint="eastAsia" w:ascii="宋体" w:hAnsi="宋体" w:eastAsia="宋体" w:cs="Times New Roman"/>
                <w:bCs/>
                <w:iCs/>
                <w:sz w:val="24"/>
                <w:szCs w:val="24"/>
              </w:rPr>
            </w:pPr>
            <w:r>
              <w:rPr>
                <w:rFonts w:hint="eastAsia" w:ascii="宋体" w:hAnsi="宋体" w:eastAsia="宋体" w:cs="Times New Roman"/>
                <w:bCs/>
                <w:iCs/>
                <w:sz w:val="24"/>
                <w:szCs w:val="24"/>
              </w:rPr>
              <w:t>公司2024年业绩下滑主要由于产品结构调整导致综合毛利和毛利率下降，行业结构性产能过剩，市场竞争加剧致使产品价格下滑和资产减值损失</w:t>
            </w:r>
            <w:r>
              <w:rPr>
                <w:rFonts w:hint="eastAsia" w:ascii="宋体" w:hAnsi="宋体" w:eastAsia="宋体" w:cs="Times New Roman"/>
                <w:bCs/>
                <w:iCs/>
                <w:sz w:val="24"/>
                <w:szCs w:val="24"/>
                <w:lang w:val="en-US" w:eastAsia="zh-CN"/>
              </w:rPr>
              <w:t>相较往年同期</w:t>
            </w:r>
            <w:r>
              <w:rPr>
                <w:rFonts w:hint="eastAsia" w:ascii="宋体" w:hAnsi="宋体" w:eastAsia="宋体" w:cs="Times New Roman"/>
                <w:bCs/>
                <w:iCs/>
                <w:sz w:val="24"/>
                <w:szCs w:val="24"/>
              </w:rPr>
              <w:t>增加，以及下游行业不景气造成客户回款困难和坏账计提金额大幅上升。</w:t>
            </w:r>
          </w:p>
          <w:p>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lang w:val="en-US" w:eastAsia="zh-CN"/>
              </w:rPr>
              <w:t>公司也积极采取一系列的应对措施，在市场拓展方面，公司积极调整市场策略，深化与头部客户的战略合作；在技术领域，公司全力布局固态电池研发，并推动新材料的创新与应用；在账款管理上，公司加强应收账款的管控，以保障回款的及时。</w:t>
            </w:r>
          </w:p>
          <w:p>
            <w:pPr>
              <w:spacing w:line="360" w:lineRule="auto"/>
              <w:rPr>
                <w:rFonts w:ascii="宋体" w:hAnsi="宋体" w:eastAsia="宋体" w:cs="Times New Roman"/>
                <w:b/>
                <w:iCs/>
                <w:sz w:val="24"/>
                <w:szCs w:val="24"/>
              </w:rPr>
            </w:pPr>
          </w:p>
          <w:p>
            <w:pPr>
              <w:numPr>
                <w:ilvl w:val="0"/>
                <w:numId w:val="2"/>
              </w:numPr>
              <w:spacing w:line="360" w:lineRule="auto"/>
              <w:rPr>
                <w:rFonts w:ascii="宋体" w:hAnsi="宋体" w:eastAsia="宋体" w:cs="Times New Roman"/>
                <w:b/>
                <w:iCs/>
                <w:sz w:val="24"/>
                <w:szCs w:val="24"/>
              </w:rPr>
            </w:pPr>
            <w:r>
              <w:rPr>
                <w:rFonts w:hint="eastAsia" w:ascii="宋体" w:hAnsi="宋体" w:eastAsia="宋体" w:cs="Times New Roman"/>
                <w:b/>
                <w:iCs/>
                <w:sz w:val="24"/>
                <w:szCs w:val="24"/>
                <w:lang w:val="en-US" w:eastAsia="zh-CN"/>
              </w:rPr>
              <w:t>子公司亚微新材的发展情况如何</w:t>
            </w:r>
            <w:r>
              <w:rPr>
                <w:rFonts w:hint="eastAsia" w:ascii="宋体" w:hAnsi="宋体" w:eastAsia="宋体" w:cs="Times New Roman"/>
                <w:b/>
                <w:iCs/>
                <w:sz w:val="24"/>
                <w:szCs w:val="24"/>
              </w:rPr>
              <w:t>？</w:t>
            </w:r>
          </w:p>
          <w:p>
            <w:pPr>
              <w:spacing w:line="360" w:lineRule="auto"/>
              <w:rPr>
                <w:rFonts w:hint="default" w:ascii="宋体" w:hAnsi="宋体" w:eastAsia="宋体" w:cs="Times New Roman"/>
                <w:bCs/>
                <w:iCs/>
                <w:sz w:val="24"/>
                <w:szCs w:val="24"/>
                <w:lang w:val="en-US" w:eastAsia="zh-CN"/>
              </w:rPr>
            </w:pPr>
            <w:r>
              <w:rPr>
                <w:rFonts w:hint="eastAsia" w:ascii="宋体" w:hAnsi="宋体" w:eastAsia="宋体" w:cs="Times New Roman"/>
                <w:bCs/>
                <w:iCs/>
                <w:sz w:val="24"/>
                <w:szCs w:val="24"/>
              </w:rPr>
              <w:t>亚微新材在Mini/Micro LED封装材料、光学膜材料及功能性胶带领域发展态势良好。其Mini/Micro LED芯片巨量转移膜材已具备量产能力，开始向国内主力客户小批量出货，但暂未对收入及业绩产生显著影响</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lang w:val="en-US" w:eastAsia="zh-CN"/>
              </w:rPr>
              <w:t>若后续能规模供货，则会对业绩有利好影响</w:t>
            </w:r>
            <w:r>
              <w:rPr>
                <w:rFonts w:hint="eastAsia" w:ascii="宋体" w:hAnsi="宋体" w:eastAsia="宋体" w:cs="Times New Roman"/>
                <w:bCs/>
                <w:iCs/>
                <w:sz w:val="24"/>
                <w:szCs w:val="24"/>
              </w:rPr>
              <w:t>；防水泡棉胶带、EMI屏蔽胶带等在3C手机终端稳定供货</w:t>
            </w:r>
            <w:r>
              <w:rPr>
                <w:rFonts w:hint="eastAsia" w:ascii="宋体" w:hAnsi="宋体" w:eastAsia="宋体" w:cs="Times New Roman"/>
                <w:bCs/>
                <w:iCs/>
                <w:sz w:val="24"/>
                <w:szCs w:val="24"/>
                <w:lang w:eastAsia="zh-CN"/>
              </w:rPr>
              <w:t>；</w:t>
            </w:r>
            <w:bookmarkStart w:id="0" w:name="_GoBack"/>
            <w:bookmarkEnd w:id="0"/>
            <w:r>
              <w:rPr>
                <w:rFonts w:hint="eastAsia" w:ascii="宋体" w:hAnsi="宋体" w:eastAsia="宋体" w:cs="Times New Roman"/>
                <w:bCs/>
                <w:iCs/>
                <w:sz w:val="24"/>
                <w:szCs w:val="24"/>
              </w:rPr>
              <w:t>热减粘、电池用电减粘胶带等新产品已送样国内头部手机厂商测试；</w:t>
            </w:r>
            <w:r>
              <w:rPr>
                <w:rFonts w:hint="eastAsia" w:ascii="宋体" w:hAnsi="宋体" w:eastAsia="宋体" w:cs="Times New Roman"/>
                <w:bCs/>
                <w:iCs/>
                <w:sz w:val="24"/>
                <w:szCs w:val="24"/>
                <w:lang w:val="en-US" w:eastAsia="zh-CN"/>
              </w:rPr>
              <w:t>光学膜</w:t>
            </w:r>
            <w:r>
              <w:rPr>
                <w:rFonts w:hint="eastAsia" w:ascii="宋体" w:hAnsi="宋体" w:eastAsia="宋体" w:cs="Times New Roman"/>
                <w:bCs/>
                <w:iCs/>
                <w:sz w:val="24"/>
                <w:szCs w:val="24"/>
              </w:rPr>
              <w:t>Mini LED用封装膜已交付核心客户</w:t>
            </w:r>
            <w:r>
              <w:rPr>
                <w:rFonts w:hint="eastAsia" w:ascii="宋体" w:hAnsi="宋体" w:eastAsia="宋体" w:cs="Times New Roman"/>
                <w:bCs/>
                <w:iCs/>
                <w:sz w:val="24"/>
                <w:szCs w:val="24"/>
                <w:lang w:eastAsia="zh-CN"/>
              </w:rPr>
              <w:t>；</w:t>
            </w:r>
            <w:r>
              <w:rPr>
                <w:rFonts w:hint="eastAsia" w:ascii="宋体" w:hAnsi="宋体" w:eastAsia="宋体" w:cs="Times New Roman"/>
                <w:bCs/>
                <w:iCs/>
                <w:sz w:val="24"/>
                <w:szCs w:val="24"/>
              </w:rPr>
              <w:t>水汽阻隔封装膜在柔性钙钛矿领域应用于高校研发和小批量量产客户端测试，效果显著。</w:t>
            </w:r>
            <w:r>
              <w:rPr>
                <w:rFonts w:hint="eastAsia" w:ascii="宋体" w:hAnsi="宋体" w:eastAsia="宋体" w:cs="Times New Roman"/>
                <w:bCs/>
                <w:iCs/>
                <w:sz w:val="24"/>
                <w:szCs w:val="24"/>
                <w:lang w:val="en-US" w:eastAsia="zh-CN"/>
              </w:rPr>
              <w:t>但目前亚微新材发展尚处初期，具体收入情况请关注公司后续公告。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附件清单（如有）</w:t>
            </w:r>
          </w:p>
        </w:tc>
        <w:tc>
          <w:tcPr>
            <w:tcW w:w="5704" w:type="dxa"/>
            <w:shd w:val="clear" w:color="auto" w:fill="auto"/>
          </w:tcPr>
          <w:p>
            <w:pPr>
              <w:spacing w:line="360" w:lineRule="auto"/>
              <w:rPr>
                <w:rFonts w:ascii="宋体" w:hAnsi="宋体" w:eastAsia="宋体" w:cs="Times New Roman"/>
                <w:bCs/>
                <w:iCs/>
                <w:sz w:val="24"/>
                <w:szCs w:val="24"/>
              </w:rPr>
            </w:pPr>
            <w:r>
              <w:rPr>
                <w:rFonts w:hint="eastAsia" w:ascii="宋体" w:hAnsi="宋体" w:eastAsia="宋体" w:cs="Times New Roman"/>
                <w:bCs/>
                <w:iCs/>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是否涉及应当披露重大信息</w:t>
            </w:r>
          </w:p>
        </w:tc>
        <w:tc>
          <w:tcPr>
            <w:tcW w:w="5704" w:type="dxa"/>
            <w:shd w:val="clear" w:color="auto" w:fill="auto"/>
          </w:tcPr>
          <w:p>
            <w:pPr>
              <w:spacing w:line="360" w:lineRule="auto"/>
              <w:jc w:val="left"/>
              <w:rPr>
                <w:rFonts w:ascii="宋体" w:hAnsi="宋体" w:eastAsia="宋体" w:cs="Times New Roman"/>
                <w:bCs/>
                <w:iCs/>
                <w:sz w:val="24"/>
                <w:szCs w:val="24"/>
              </w:rPr>
            </w:pPr>
            <w:r>
              <w:rPr>
                <w:rFonts w:hint="eastAsia" w:ascii="宋体" w:hAnsi="宋体" w:eastAsia="宋体" w:cs="Times New Roman"/>
                <w:bCs/>
                <w:iCs/>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shd w:val="clear" w:color="auto" w:fill="auto"/>
            <w:vAlign w:val="center"/>
          </w:tcPr>
          <w:p>
            <w:pPr>
              <w:spacing w:line="360" w:lineRule="auto"/>
              <w:rPr>
                <w:rFonts w:ascii="宋体" w:hAnsi="宋体" w:eastAsia="宋体" w:cs="Times New Roman"/>
                <w:b/>
                <w:bCs/>
                <w:iCs/>
                <w:sz w:val="24"/>
                <w:szCs w:val="24"/>
              </w:rPr>
            </w:pPr>
            <w:r>
              <w:rPr>
                <w:rFonts w:hint="eastAsia" w:ascii="宋体" w:hAnsi="宋体" w:eastAsia="宋体" w:cs="Times New Roman"/>
                <w:b/>
                <w:bCs/>
                <w:iCs/>
                <w:sz w:val="24"/>
                <w:szCs w:val="24"/>
              </w:rPr>
              <w:t>日期</w:t>
            </w:r>
          </w:p>
        </w:tc>
        <w:tc>
          <w:tcPr>
            <w:tcW w:w="5704" w:type="dxa"/>
            <w:shd w:val="clear" w:color="auto" w:fill="auto"/>
            <w:vAlign w:val="center"/>
          </w:tcPr>
          <w:p>
            <w:pPr>
              <w:spacing w:line="360" w:lineRule="auto"/>
              <w:rPr>
                <w:rFonts w:ascii="宋体" w:hAnsi="宋体" w:eastAsia="宋体" w:cs="Times New Roman"/>
                <w:iCs/>
                <w:sz w:val="24"/>
                <w:szCs w:val="24"/>
              </w:rPr>
            </w:pPr>
            <w:r>
              <w:rPr>
                <w:rFonts w:hint="eastAsia" w:ascii="宋体" w:hAnsi="宋体" w:eastAsia="宋体" w:cs="Times New Roman"/>
                <w:iCs/>
                <w:sz w:val="24"/>
                <w:szCs w:val="24"/>
              </w:rPr>
              <w:t>2025年3月</w:t>
            </w:r>
            <w:r>
              <w:rPr>
                <w:rFonts w:hint="eastAsia" w:ascii="宋体" w:hAnsi="宋体" w:eastAsia="宋体" w:cs="Times New Roman"/>
                <w:iCs/>
                <w:sz w:val="24"/>
                <w:szCs w:val="24"/>
                <w:lang w:val="en-US" w:eastAsia="zh-CN"/>
              </w:rPr>
              <w:t>14</w:t>
            </w:r>
            <w:r>
              <w:rPr>
                <w:rFonts w:hint="eastAsia" w:ascii="宋体" w:hAnsi="宋体" w:eastAsia="宋体" w:cs="Times New Roman"/>
                <w:iCs/>
                <w:sz w:val="24"/>
                <w:szCs w:val="24"/>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92C50"/>
    <w:multiLevelType w:val="singleLevel"/>
    <w:tmpl w:val="CFC92C50"/>
    <w:lvl w:ilvl="0" w:tentative="0">
      <w:start w:val="5"/>
      <w:numFmt w:val="decimal"/>
      <w:lvlText w:val="%1、"/>
      <w:lvlJc w:val="left"/>
    </w:lvl>
  </w:abstractNum>
  <w:abstractNum w:abstractNumId="1">
    <w:nsid w:val="FF1C6B92"/>
    <w:multiLevelType w:val="singleLevel"/>
    <w:tmpl w:val="FF1C6B92"/>
    <w:lvl w:ilvl="0" w:tentative="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MDY3Y2RiZDljNTAxNDIzMzNlMTRkMmRkYjJhZGMifQ=="/>
  </w:docVars>
  <w:rsids>
    <w:rsidRoot w:val="00D20A50"/>
    <w:rsid w:val="004C0075"/>
    <w:rsid w:val="006244DD"/>
    <w:rsid w:val="00D20A50"/>
    <w:rsid w:val="00F02B9B"/>
    <w:rsid w:val="00FB07AB"/>
    <w:rsid w:val="04FF506B"/>
    <w:rsid w:val="11796994"/>
    <w:rsid w:val="184328A0"/>
    <w:rsid w:val="270C74B9"/>
    <w:rsid w:val="27430976"/>
    <w:rsid w:val="28DA1DEF"/>
    <w:rsid w:val="48DD3F9B"/>
    <w:rsid w:val="4CD90842"/>
    <w:rsid w:val="54060014"/>
    <w:rsid w:val="5EBF2697"/>
    <w:rsid w:val="5FF21B28"/>
    <w:rsid w:val="6FE91939"/>
    <w:rsid w:val="71C24EFF"/>
    <w:rsid w:val="72D15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unhideWhenUsed/>
    <w:qFormat/>
    <w:uiPriority w:val="99"/>
    <w:pPr>
      <w:jc w:val="left"/>
    </w:pPr>
  </w:style>
  <w:style w:type="paragraph" w:styleId="3">
    <w:name w:val="Balloon Text"/>
    <w:basedOn w:val="1"/>
    <w:link w:val="16"/>
    <w:autoRedefine/>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autoRedefine/>
    <w:unhideWhenUsed/>
    <w:qFormat/>
    <w:uiPriority w:val="99"/>
    <w:rPr>
      <w:b/>
      <w:bCs/>
    </w:rPr>
  </w:style>
  <w:style w:type="table" w:styleId="8">
    <w:name w:val="Table Grid"/>
    <w:basedOn w:val="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annotation reference"/>
    <w:basedOn w:val="9"/>
    <w:autoRedefine/>
    <w:unhideWhenUsed/>
    <w:qFormat/>
    <w:uiPriority w:val="99"/>
    <w:rPr>
      <w:sz w:val="21"/>
      <w:szCs w:val="21"/>
    </w:rPr>
  </w:style>
  <w:style w:type="character" w:customStyle="1" w:styleId="11">
    <w:name w:val="页眉 Char"/>
    <w:basedOn w:val="9"/>
    <w:link w:val="5"/>
    <w:autoRedefine/>
    <w:qFormat/>
    <w:uiPriority w:val="99"/>
    <w:rPr>
      <w:kern w:val="2"/>
      <w:sz w:val="18"/>
      <w:szCs w:val="18"/>
    </w:rPr>
  </w:style>
  <w:style w:type="character" w:customStyle="1" w:styleId="12">
    <w:name w:val="页脚 Char"/>
    <w:basedOn w:val="9"/>
    <w:link w:val="4"/>
    <w:autoRedefine/>
    <w:qFormat/>
    <w:uiPriority w:val="99"/>
    <w:rPr>
      <w:kern w:val="2"/>
      <w:sz w:val="18"/>
      <w:szCs w:val="18"/>
    </w:rPr>
  </w:style>
  <w:style w:type="paragraph" w:customStyle="1" w:styleId="13">
    <w:name w:val="列出段落1"/>
    <w:basedOn w:val="1"/>
    <w:autoRedefine/>
    <w:qFormat/>
    <w:uiPriority w:val="99"/>
    <w:pPr>
      <w:ind w:firstLine="420" w:firstLineChars="200"/>
    </w:pPr>
  </w:style>
  <w:style w:type="character" w:customStyle="1" w:styleId="14">
    <w:name w:val="批注文字 Char"/>
    <w:basedOn w:val="9"/>
    <w:link w:val="2"/>
    <w:autoRedefine/>
    <w:semiHidden/>
    <w:qFormat/>
    <w:uiPriority w:val="99"/>
    <w:rPr>
      <w:kern w:val="2"/>
      <w:sz w:val="21"/>
      <w:szCs w:val="22"/>
    </w:rPr>
  </w:style>
  <w:style w:type="character" w:customStyle="1" w:styleId="15">
    <w:name w:val="批注主题 Char"/>
    <w:basedOn w:val="14"/>
    <w:link w:val="6"/>
    <w:autoRedefine/>
    <w:semiHidden/>
    <w:qFormat/>
    <w:uiPriority w:val="99"/>
    <w:rPr>
      <w:b/>
      <w:bCs/>
      <w:kern w:val="2"/>
      <w:sz w:val="21"/>
      <w:szCs w:val="22"/>
    </w:rPr>
  </w:style>
  <w:style w:type="character" w:customStyle="1" w:styleId="16">
    <w:name w:val="批注框文本 Char"/>
    <w:basedOn w:val="9"/>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311</Words>
  <Characters>1779</Characters>
  <Lines>14</Lines>
  <Paragraphs>4</Paragraphs>
  <TotalTime>1</TotalTime>
  <ScaleCrop>false</ScaleCrop>
  <LinksUpToDate>false</LinksUpToDate>
  <CharactersWithSpaces>2086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2025-03-03T08:49:00Z</dcterms:created>
  <dc:creator>Li Xiang</dc:creator>
  <cp:lastModifiedBy>谢怡凡</cp:lastModifiedBy>
  <dcterms:modified xsi:type="dcterms:W3CDTF">2025-03-14T08:53:31Z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E1A8CA8A852F41E698FBBC1D47AA9CC9_13</vt:lpwstr>
  </property>
</Properties>
</file>