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DAE9B" w14:textId="77777777" w:rsidR="00C74D31" w:rsidRDefault="00D575F7">
      <w:pPr>
        <w:jc w:val="center"/>
        <w:rPr>
          <w:rFonts w:ascii="宋体" w:hAnsi="宋体"/>
          <w:b/>
          <w:bCs/>
          <w:sz w:val="28"/>
          <w:szCs w:val="28"/>
        </w:rPr>
      </w:pPr>
      <w:r>
        <w:rPr>
          <w:rFonts w:ascii="宋体" w:hAnsi="宋体" w:hint="eastAsia"/>
          <w:b/>
          <w:bCs/>
          <w:sz w:val="28"/>
          <w:szCs w:val="28"/>
        </w:rPr>
        <w:t>烟台德邦科技股份有限公司</w:t>
      </w:r>
    </w:p>
    <w:p w14:paraId="2040462E" w14:textId="77777777" w:rsidR="00C74D31" w:rsidRDefault="00D575F7">
      <w:pPr>
        <w:jc w:val="center"/>
        <w:rPr>
          <w:rFonts w:ascii="宋体" w:hAnsi="宋体"/>
          <w:b/>
          <w:bCs/>
          <w:sz w:val="28"/>
          <w:szCs w:val="28"/>
        </w:rPr>
      </w:pPr>
      <w:r>
        <w:rPr>
          <w:rFonts w:ascii="宋体" w:hAnsi="宋体" w:hint="eastAsia"/>
          <w:b/>
          <w:bCs/>
          <w:sz w:val="28"/>
          <w:szCs w:val="28"/>
        </w:rPr>
        <w:t>投资者关系活动记录表</w:t>
      </w:r>
    </w:p>
    <w:p w14:paraId="5CD10C54" w14:textId="77777777" w:rsidR="00C74D31" w:rsidRDefault="00C74D31">
      <w:pPr>
        <w:jc w:val="center"/>
        <w:rPr>
          <w:rFonts w:ascii="宋体" w:hAnsi="宋体"/>
          <w:b/>
          <w:bCs/>
          <w:sz w:val="28"/>
          <w:szCs w:val="28"/>
        </w:rPr>
      </w:pPr>
    </w:p>
    <w:p w14:paraId="5AD2E681" w14:textId="77777777" w:rsidR="00C74D31" w:rsidRDefault="00D575F7">
      <w:pPr>
        <w:ind w:firstLineChars="100" w:firstLine="241"/>
        <w:rPr>
          <w:rFonts w:ascii="宋体" w:hAnsi="宋体"/>
          <w:b/>
          <w:bCs/>
          <w:szCs w:val="24"/>
        </w:rPr>
      </w:pPr>
      <w:r>
        <w:rPr>
          <w:rFonts w:ascii="宋体" w:hAnsi="宋体" w:hint="eastAsia"/>
          <w:b/>
          <w:bCs/>
          <w:szCs w:val="24"/>
        </w:rPr>
        <w:t xml:space="preserve">证券简称：德邦科技 </w:t>
      </w:r>
      <w:r>
        <w:rPr>
          <w:rFonts w:ascii="宋体" w:hAnsi="宋体"/>
          <w:b/>
          <w:bCs/>
          <w:szCs w:val="24"/>
        </w:rPr>
        <w:t xml:space="preserve">        </w:t>
      </w:r>
      <w:r>
        <w:rPr>
          <w:rFonts w:ascii="宋体" w:hAnsi="宋体" w:hint="eastAsia"/>
          <w:b/>
          <w:bCs/>
          <w:szCs w:val="24"/>
        </w:rPr>
        <w:t xml:space="preserve">证券代码：688035 </w:t>
      </w:r>
      <w:r>
        <w:rPr>
          <w:rFonts w:ascii="宋体" w:hAnsi="宋体"/>
          <w:b/>
          <w:bCs/>
          <w:szCs w:val="24"/>
        </w:rPr>
        <w:t xml:space="preserve">       </w:t>
      </w:r>
      <w:r>
        <w:rPr>
          <w:rFonts w:ascii="宋体" w:hAnsi="宋体" w:hint="eastAsia"/>
          <w:b/>
          <w:bCs/>
          <w:szCs w:val="24"/>
        </w:rPr>
        <w:t>编号：202</w:t>
      </w:r>
      <w:r>
        <w:rPr>
          <w:rFonts w:ascii="宋体" w:hAnsi="宋体"/>
          <w:b/>
          <w:bCs/>
          <w:szCs w:val="24"/>
        </w:rPr>
        <w:t>5-002</w:t>
      </w:r>
    </w:p>
    <w:tbl>
      <w:tblPr>
        <w:tblStyle w:val="a7"/>
        <w:tblW w:w="0" w:type="auto"/>
        <w:tblLook w:val="04A0" w:firstRow="1" w:lastRow="0" w:firstColumn="1" w:lastColumn="0" w:noHBand="0" w:noVBand="1"/>
      </w:tblPr>
      <w:tblGrid>
        <w:gridCol w:w="2405"/>
        <w:gridCol w:w="5891"/>
      </w:tblGrid>
      <w:tr w:rsidR="00C74D31" w14:paraId="305818D7" w14:textId="77777777">
        <w:tc>
          <w:tcPr>
            <w:tcW w:w="2405" w:type="dxa"/>
            <w:vAlign w:val="center"/>
          </w:tcPr>
          <w:p w14:paraId="67E1C398" w14:textId="77777777" w:rsidR="00C74D31" w:rsidRDefault="00D575F7">
            <w:pPr>
              <w:jc w:val="center"/>
              <w:rPr>
                <w:rFonts w:ascii="宋体" w:hAnsi="宋体"/>
                <w:b/>
                <w:bCs/>
                <w:szCs w:val="24"/>
              </w:rPr>
            </w:pPr>
            <w:r>
              <w:rPr>
                <w:rFonts w:ascii="宋体" w:hAnsi="宋体" w:hint="eastAsia"/>
                <w:b/>
                <w:bCs/>
                <w:szCs w:val="24"/>
              </w:rPr>
              <w:t>投资者关系活动</w:t>
            </w:r>
          </w:p>
          <w:p w14:paraId="5B198B2A" w14:textId="77777777" w:rsidR="00C74D31" w:rsidRDefault="00D575F7">
            <w:pPr>
              <w:jc w:val="center"/>
              <w:rPr>
                <w:rFonts w:ascii="宋体" w:hAnsi="宋体"/>
                <w:b/>
                <w:bCs/>
                <w:szCs w:val="24"/>
              </w:rPr>
            </w:pPr>
            <w:r>
              <w:rPr>
                <w:rFonts w:ascii="宋体" w:hAnsi="宋体" w:hint="eastAsia"/>
                <w:b/>
                <w:bCs/>
                <w:szCs w:val="24"/>
              </w:rPr>
              <w:t>类别</w:t>
            </w:r>
          </w:p>
        </w:tc>
        <w:tc>
          <w:tcPr>
            <w:tcW w:w="5891" w:type="dxa"/>
            <w:vAlign w:val="center"/>
          </w:tcPr>
          <w:p w14:paraId="7DFCA824" w14:textId="77777777" w:rsidR="00C74D31" w:rsidRDefault="00D575F7">
            <w:pPr>
              <w:spacing w:line="360" w:lineRule="auto"/>
              <w:rPr>
                <w:rFonts w:ascii="宋体" w:hAnsi="宋体"/>
                <w:szCs w:val="24"/>
              </w:rPr>
            </w:pPr>
            <w:r>
              <w:rPr>
                <w:rFonts w:ascii="宋体" w:hAnsi="宋体"/>
                <w:kern w:val="0"/>
                <w:szCs w:val="24"/>
              </w:rPr>
              <w:sym w:font="Wingdings 2" w:char="0052"/>
            </w:r>
            <w:r>
              <w:rPr>
                <w:rFonts w:ascii="宋体" w:hAnsi="宋体"/>
                <w:szCs w:val="24"/>
              </w:rPr>
              <w:t xml:space="preserve">特定对象调研       </w:t>
            </w:r>
            <w:r>
              <w:rPr>
                <w:rFonts w:ascii="宋体" w:hAnsi="宋体"/>
                <w:kern w:val="0"/>
                <w:szCs w:val="24"/>
              </w:rPr>
              <w:t>□</w:t>
            </w:r>
            <w:r>
              <w:rPr>
                <w:rFonts w:ascii="宋体" w:hAnsi="宋体"/>
                <w:szCs w:val="24"/>
              </w:rPr>
              <w:t>分析师会议</w:t>
            </w:r>
          </w:p>
          <w:p w14:paraId="60CB5DC5" w14:textId="77777777" w:rsidR="00C74D31" w:rsidRDefault="00D575F7">
            <w:pPr>
              <w:spacing w:line="360" w:lineRule="auto"/>
              <w:rPr>
                <w:rFonts w:ascii="宋体" w:hAnsi="宋体"/>
                <w:kern w:val="0"/>
                <w:szCs w:val="24"/>
              </w:rPr>
            </w:pPr>
            <w:r>
              <w:rPr>
                <w:rFonts w:ascii="宋体" w:hAnsi="宋体"/>
                <w:kern w:val="0"/>
                <w:szCs w:val="24"/>
              </w:rPr>
              <w:t>□媒体采访           □业绩说明会</w:t>
            </w:r>
          </w:p>
          <w:p w14:paraId="74D92F98" w14:textId="77777777" w:rsidR="00C74D31" w:rsidRDefault="00D575F7">
            <w:pPr>
              <w:spacing w:line="360" w:lineRule="auto"/>
              <w:rPr>
                <w:rFonts w:ascii="宋体" w:hAnsi="宋体"/>
                <w:kern w:val="0"/>
                <w:szCs w:val="24"/>
              </w:rPr>
            </w:pPr>
            <w:r>
              <w:rPr>
                <w:rFonts w:ascii="宋体" w:hAnsi="宋体"/>
                <w:kern w:val="0"/>
                <w:szCs w:val="24"/>
              </w:rPr>
              <w:t xml:space="preserve">□新闻发布会         </w:t>
            </w:r>
            <w:r>
              <w:rPr>
                <w:rFonts w:ascii="宋体" w:hAnsi="宋体" w:hint="eastAsia"/>
                <w:kern w:val="0"/>
                <w:szCs w:val="24"/>
              </w:rPr>
              <w:t>☑</w:t>
            </w:r>
            <w:r>
              <w:rPr>
                <w:rFonts w:ascii="宋体" w:hAnsi="宋体"/>
                <w:kern w:val="0"/>
                <w:szCs w:val="24"/>
              </w:rPr>
              <w:t>路演活动</w:t>
            </w:r>
          </w:p>
          <w:p w14:paraId="6F29C42E" w14:textId="77777777" w:rsidR="00C74D31" w:rsidRDefault="00D575F7">
            <w:pPr>
              <w:spacing w:line="360" w:lineRule="auto"/>
              <w:rPr>
                <w:rFonts w:ascii="宋体" w:hAnsi="宋体"/>
                <w:kern w:val="0"/>
                <w:szCs w:val="24"/>
              </w:rPr>
            </w:pPr>
            <w:r>
              <w:rPr>
                <w:rFonts w:ascii="宋体" w:hAnsi="宋体"/>
                <w:kern w:val="0"/>
                <w:szCs w:val="24"/>
              </w:rPr>
              <w:t xml:space="preserve">□现场参观           </w:t>
            </w:r>
            <w:r>
              <w:rPr>
                <w:rFonts w:ascii="宋体" w:hAnsi="宋体" w:hint="eastAsia"/>
                <w:kern w:val="0"/>
                <w:szCs w:val="24"/>
              </w:rPr>
              <w:t>☑</w:t>
            </w:r>
            <w:r>
              <w:rPr>
                <w:rFonts w:ascii="宋体" w:hAnsi="宋体"/>
                <w:kern w:val="0"/>
                <w:szCs w:val="24"/>
              </w:rPr>
              <w:t>其他(</w:t>
            </w:r>
            <w:r>
              <w:rPr>
                <w:rFonts w:ascii="宋体" w:hAnsi="宋体" w:hint="eastAsia"/>
                <w:kern w:val="0"/>
                <w:szCs w:val="24"/>
              </w:rPr>
              <w:t>电话</w:t>
            </w:r>
            <w:r>
              <w:rPr>
                <w:rFonts w:ascii="宋体" w:hAnsi="宋体"/>
                <w:kern w:val="0"/>
                <w:szCs w:val="24"/>
              </w:rPr>
              <w:t>会议)</w:t>
            </w:r>
          </w:p>
        </w:tc>
      </w:tr>
      <w:tr w:rsidR="00C74D31" w14:paraId="0C7E94C7" w14:textId="77777777">
        <w:trPr>
          <w:trHeight w:val="1527"/>
        </w:trPr>
        <w:tc>
          <w:tcPr>
            <w:tcW w:w="2405" w:type="dxa"/>
            <w:vAlign w:val="center"/>
          </w:tcPr>
          <w:p w14:paraId="3EBDBAF6" w14:textId="77777777" w:rsidR="00C74D31" w:rsidRDefault="00D575F7">
            <w:pPr>
              <w:jc w:val="center"/>
              <w:rPr>
                <w:rFonts w:ascii="宋体" w:hAnsi="宋体"/>
                <w:b/>
                <w:bCs/>
                <w:szCs w:val="24"/>
              </w:rPr>
            </w:pPr>
            <w:r>
              <w:rPr>
                <w:rFonts w:ascii="宋体" w:hAnsi="宋体" w:hint="eastAsia"/>
                <w:b/>
                <w:bCs/>
                <w:szCs w:val="24"/>
              </w:rPr>
              <w:t>参与单位名称</w:t>
            </w:r>
          </w:p>
          <w:p w14:paraId="0FBA3474" w14:textId="77777777" w:rsidR="00C74D31" w:rsidRDefault="00D575F7">
            <w:pPr>
              <w:jc w:val="center"/>
              <w:rPr>
                <w:rFonts w:ascii="宋体" w:hAnsi="宋体"/>
                <w:b/>
                <w:bCs/>
                <w:szCs w:val="24"/>
              </w:rPr>
            </w:pPr>
            <w:r>
              <w:rPr>
                <w:rFonts w:ascii="宋体" w:hAnsi="宋体" w:hint="eastAsia"/>
                <w:b/>
                <w:bCs/>
                <w:szCs w:val="24"/>
              </w:rPr>
              <w:t>及人员姓名</w:t>
            </w:r>
          </w:p>
        </w:tc>
        <w:tc>
          <w:tcPr>
            <w:tcW w:w="5891" w:type="dxa"/>
            <w:vAlign w:val="center"/>
          </w:tcPr>
          <w:p w14:paraId="757B0BBF" w14:textId="58FA0C5A" w:rsidR="00C74D31" w:rsidRDefault="00D575F7">
            <w:pPr>
              <w:spacing w:line="360" w:lineRule="auto"/>
              <w:jc w:val="left"/>
              <w:rPr>
                <w:rFonts w:ascii="宋体" w:hAnsi="宋体"/>
                <w:szCs w:val="24"/>
              </w:rPr>
            </w:pPr>
            <w:r>
              <w:rPr>
                <w:rFonts w:ascii="宋体" w:hAnsi="宋体" w:hint="eastAsia"/>
                <w:szCs w:val="24"/>
              </w:rPr>
              <w:t>西部证券、招商证券、东北证券、东方证券、中信证券、华安证券、睿远基金、长江证券、浙商证券、国联基金、易方达、平安基金、博时基金、宝盈基金、万和证券、大成基金、金信基金、摩根士丹利、创金合信、泓澄投资、民生加银基金、国投瑞银、慎和资</w:t>
            </w:r>
            <w:r w:rsidR="0056503C">
              <w:rPr>
                <w:rFonts w:ascii="宋体" w:hAnsi="宋体" w:hint="eastAsia"/>
                <w:szCs w:val="24"/>
              </w:rPr>
              <w:t>产、长城基金、盈泰投资、银华基金、浦银安盛、宏利基金、兴银基金</w:t>
            </w:r>
            <w:r>
              <w:rPr>
                <w:rFonts w:ascii="宋体" w:hAnsi="宋体" w:hint="eastAsia"/>
                <w:szCs w:val="24"/>
              </w:rPr>
              <w:t>等</w:t>
            </w:r>
            <w:bookmarkStart w:id="0" w:name="_GoBack"/>
            <w:bookmarkEnd w:id="0"/>
          </w:p>
        </w:tc>
      </w:tr>
      <w:tr w:rsidR="00C74D31" w14:paraId="1AF44224" w14:textId="77777777">
        <w:trPr>
          <w:trHeight w:val="724"/>
        </w:trPr>
        <w:tc>
          <w:tcPr>
            <w:tcW w:w="2405" w:type="dxa"/>
            <w:vAlign w:val="center"/>
          </w:tcPr>
          <w:p w14:paraId="6F1E4977" w14:textId="77777777" w:rsidR="00C74D31" w:rsidRDefault="00D575F7">
            <w:pPr>
              <w:jc w:val="center"/>
              <w:rPr>
                <w:rFonts w:ascii="宋体" w:hAnsi="宋体"/>
                <w:b/>
                <w:bCs/>
                <w:szCs w:val="24"/>
              </w:rPr>
            </w:pPr>
            <w:r>
              <w:rPr>
                <w:rFonts w:ascii="宋体" w:hAnsi="宋体" w:hint="eastAsia"/>
                <w:b/>
                <w:bCs/>
                <w:szCs w:val="24"/>
              </w:rPr>
              <w:t>时间</w:t>
            </w:r>
          </w:p>
        </w:tc>
        <w:tc>
          <w:tcPr>
            <w:tcW w:w="5891" w:type="dxa"/>
            <w:vAlign w:val="center"/>
          </w:tcPr>
          <w:p w14:paraId="77F55CC1" w14:textId="480B0FDD" w:rsidR="00C74D31" w:rsidRDefault="00D575F7" w:rsidP="001F3092">
            <w:pPr>
              <w:spacing w:line="360" w:lineRule="auto"/>
              <w:jc w:val="left"/>
              <w:rPr>
                <w:rFonts w:ascii="宋体" w:hAnsi="宋体"/>
                <w:szCs w:val="24"/>
              </w:rPr>
            </w:pPr>
            <w:r>
              <w:rPr>
                <w:rFonts w:ascii="宋体" w:hAnsi="宋体" w:hint="eastAsia"/>
                <w:szCs w:val="24"/>
              </w:rPr>
              <w:t>202</w:t>
            </w:r>
            <w:r>
              <w:rPr>
                <w:rFonts w:ascii="宋体" w:hAnsi="宋体"/>
                <w:szCs w:val="24"/>
              </w:rPr>
              <w:t>5</w:t>
            </w:r>
            <w:r>
              <w:rPr>
                <w:rFonts w:ascii="宋体" w:hAnsi="宋体" w:hint="eastAsia"/>
                <w:szCs w:val="24"/>
              </w:rPr>
              <w:t>年</w:t>
            </w:r>
            <w:r>
              <w:rPr>
                <w:rFonts w:ascii="宋体" w:hAnsi="宋体"/>
                <w:szCs w:val="24"/>
              </w:rPr>
              <w:t>2</w:t>
            </w:r>
            <w:r>
              <w:rPr>
                <w:rFonts w:ascii="宋体" w:hAnsi="宋体" w:hint="eastAsia"/>
                <w:szCs w:val="24"/>
              </w:rPr>
              <w:t>月2</w:t>
            </w:r>
            <w:r>
              <w:rPr>
                <w:rFonts w:ascii="宋体" w:hAnsi="宋体"/>
                <w:szCs w:val="24"/>
              </w:rPr>
              <w:t>5</w:t>
            </w:r>
            <w:r w:rsidRPr="001F3092">
              <w:rPr>
                <w:rFonts w:ascii="宋体" w:hAnsi="宋体" w:hint="eastAsia"/>
                <w:szCs w:val="24"/>
              </w:rPr>
              <w:t>日-</w:t>
            </w:r>
            <w:r w:rsidRPr="001F3092">
              <w:rPr>
                <w:rFonts w:ascii="宋体" w:hAnsi="宋体"/>
                <w:szCs w:val="24"/>
              </w:rPr>
              <w:t>3月</w:t>
            </w:r>
            <w:r w:rsidRPr="001F3092">
              <w:rPr>
                <w:rFonts w:ascii="宋体" w:hAnsi="宋体" w:hint="eastAsia"/>
                <w:szCs w:val="24"/>
              </w:rPr>
              <w:t>1</w:t>
            </w:r>
            <w:r w:rsidR="001F3092" w:rsidRPr="001F3092">
              <w:rPr>
                <w:rFonts w:ascii="宋体" w:hAnsi="宋体"/>
                <w:szCs w:val="24"/>
              </w:rPr>
              <w:t>7</w:t>
            </w:r>
            <w:r w:rsidRPr="001F3092">
              <w:rPr>
                <w:rFonts w:ascii="宋体" w:hAnsi="宋体" w:hint="eastAsia"/>
                <w:szCs w:val="24"/>
              </w:rPr>
              <w:t>日</w:t>
            </w:r>
          </w:p>
        </w:tc>
      </w:tr>
      <w:tr w:rsidR="00C74D31" w14:paraId="76BEEB0D" w14:textId="77777777">
        <w:trPr>
          <w:trHeight w:val="646"/>
        </w:trPr>
        <w:tc>
          <w:tcPr>
            <w:tcW w:w="2405" w:type="dxa"/>
            <w:vAlign w:val="center"/>
          </w:tcPr>
          <w:p w14:paraId="279A1374" w14:textId="77777777" w:rsidR="00C74D31" w:rsidRDefault="00D575F7">
            <w:pPr>
              <w:jc w:val="center"/>
              <w:rPr>
                <w:rFonts w:ascii="宋体" w:hAnsi="宋体"/>
                <w:b/>
                <w:bCs/>
                <w:szCs w:val="24"/>
              </w:rPr>
            </w:pPr>
            <w:r>
              <w:rPr>
                <w:rFonts w:ascii="宋体" w:hAnsi="宋体" w:hint="eastAsia"/>
                <w:b/>
                <w:bCs/>
                <w:szCs w:val="24"/>
              </w:rPr>
              <w:t>地点</w:t>
            </w:r>
          </w:p>
        </w:tc>
        <w:tc>
          <w:tcPr>
            <w:tcW w:w="5891" w:type="dxa"/>
            <w:vAlign w:val="center"/>
          </w:tcPr>
          <w:p w14:paraId="5CE921B4" w14:textId="77777777" w:rsidR="00C74D31" w:rsidRDefault="00D575F7">
            <w:pPr>
              <w:spacing w:line="360" w:lineRule="auto"/>
              <w:jc w:val="left"/>
              <w:rPr>
                <w:rFonts w:ascii="宋体" w:hAnsi="宋体"/>
                <w:szCs w:val="24"/>
              </w:rPr>
            </w:pPr>
            <w:r>
              <w:rPr>
                <w:rFonts w:ascii="宋体" w:hAnsi="宋体" w:hint="eastAsia"/>
                <w:szCs w:val="24"/>
              </w:rPr>
              <w:t>现场交流（烟台、深圳、武汉）</w:t>
            </w:r>
          </w:p>
        </w:tc>
      </w:tr>
      <w:tr w:rsidR="00C74D31" w14:paraId="1F51054E" w14:textId="77777777">
        <w:trPr>
          <w:trHeight w:val="1467"/>
        </w:trPr>
        <w:tc>
          <w:tcPr>
            <w:tcW w:w="2405" w:type="dxa"/>
            <w:vAlign w:val="center"/>
          </w:tcPr>
          <w:p w14:paraId="154C4ACF" w14:textId="77777777" w:rsidR="00C74D31" w:rsidRDefault="00D575F7">
            <w:pPr>
              <w:jc w:val="center"/>
              <w:rPr>
                <w:rFonts w:ascii="宋体" w:hAnsi="宋体"/>
                <w:b/>
                <w:bCs/>
                <w:szCs w:val="24"/>
              </w:rPr>
            </w:pPr>
            <w:r>
              <w:rPr>
                <w:rFonts w:ascii="宋体" w:hAnsi="宋体" w:hint="eastAsia"/>
                <w:b/>
                <w:bCs/>
                <w:szCs w:val="24"/>
              </w:rPr>
              <w:t>上市公司接待人员</w:t>
            </w:r>
          </w:p>
          <w:p w14:paraId="2ADEAF0F" w14:textId="77777777" w:rsidR="00C74D31" w:rsidRDefault="00D575F7">
            <w:pPr>
              <w:jc w:val="center"/>
              <w:rPr>
                <w:rFonts w:ascii="宋体" w:hAnsi="宋体"/>
                <w:b/>
                <w:bCs/>
                <w:szCs w:val="24"/>
              </w:rPr>
            </w:pPr>
            <w:r>
              <w:rPr>
                <w:rFonts w:ascii="宋体" w:hAnsi="宋体" w:hint="eastAsia"/>
                <w:b/>
                <w:bCs/>
                <w:szCs w:val="24"/>
              </w:rPr>
              <w:t>姓名</w:t>
            </w:r>
          </w:p>
        </w:tc>
        <w:tc>
          <w:tcPr>
            <w:tcW w:w="5891" w:type="dxa"/>
            <w:vAlign w:val="center"/>
          </w:tcPr>
          <w:p w14:paraId="5B0BC9B1" w14:textId="77777777" w:rsidR="00C74D31" w:rsidRDefault="00D575F7">
            <w:pPr>
              <w:spacing w:line="360" w:lineRule="auto"/>
              <w:jc w:val="left"/>
              <w:rPr>
                <w:rFonts w:ascii="宋体" w:hAnsi="宋体"/>
                <w:szCs w:val="24"/>
              </w:rPr>
            </w:pPr>
            <w:r>
              <w:rPr>
                <w:rFonts w:ascii="宋体" w:hAnsi="宋体" w:hint="eastAsia"/>
                <w:szCs w:val="24"/>
              </w:rPr>
              <w:t>副总经理、董事会秘书、财务总监：于杰</w:t>
            </w:r>
          </w:p>
          <w:p w14:paraId="2F09A022" w14:textId="77777777" w:rsidR="00C74D31" w:rsidRDefault="00D575F7">
            <w:pPr>
              <w:spacing w:line="360" w:lineRule="auto"/>
              <w:jc w:val="left"/>
              <w:rPr>
                <w:rFonts w:ascii="宋体" w:hAnsi="宋体"/>
                <w:szCs w:val="24"/>
              </w:rPr>
            </w:pPr>
            <w:r>
              <w:rPr>
                <w:rFonts w:ascii="宋体" w:hAnsi="宋体"/>
                <w:szCs w:val="24"/>
              </w:rPr>
              <w:t>公司证券总监：战世能</w:t>
            </w:r>
          </w:p>
        </w:tc>
      </w:tr>
      <w:tr w:rsidR="00C74D31" w14:paraId="64A1AAB0" w14:textId="77777777">
        <w:tc>
          <w:tcPr>
            <w:tcW w:w="2405" w:type="dxa"/>
            <w:vAlign w:val="center"/>
          </w:tcPr>
          <w:p w14:paraId="024549B9" w14:textId="77777777" w:rsidR="00C74D31" w:rsidRDefault="00D575F7">
            <w:pPr>
              <w:jc w:val="center"/>
              <w:rPr>
                <w:rFonts w:ascii="宋体" w:hAnsi="宋体"/>
                <w:b/>
                <w:bCs/>
                <w:szCs w:val="24"/>
              </w:rPr>
            </w:pPr>
            <w:r>
              <w:rPr>
                <w:rFonts w:ascii="宋体" w:hAnsi="宋体" w:hint="eastAsia"/>
                <w:b/>
                <w:bCs/>
                <w:szCs w:val="24"/>
              </w:rPr>
              <w:t>投资者关系活动主要内容介绍</w:t>
            </w:r>
          </w:p>
        </w:tc>
        <w:tc>
          <w:tcPr>
            <w:tcW w:w="5891" w:type="dxa"/>
            <w:vAlign w:val="center"/>
          </w:tcPr>
          <w:p w14:paraId="3729DD27" w14:textId="77777777" w:rsidR="00C74D31" w:rsidRDefault="00D575F7">
            <w:pPr>
              <w:spacing w:before="240" w:line="560" w:lineRule="exact"/>
              <w:ind w:firstLineChars="200" w:firstLine="482"/>
              <w:rPr>
                <w:rFonts w:ascii="宋体" w:hAnsi="宋体"/>
                <w:b/>
                <w:szCs w:val="24"/>
              </w:rPr>
            </w:pPr>
            <w:r>
              <w:rPr>
                <w:rFonts w:ascii="宋体" w:hAnsi="宋体" w:hint="eastAsia"/>
                <w:b/>
                <w:szCs w:val="24"/>
              </w:rPr>
              <w:t>1、请介绍一下2024年公司各业务板块业务情况？</w:t>
            </w:r>
          </w:p>
          <w:p w14:paraId="25758005" w14:textId="77777777" w:rsidR="00C74D31" w:rsidRDefault="00D575F7">
            <w:pPr>
              <w:spacing w:line="560" w:lineRule="exact"/>
              <w:ind w:firstLineChars="200" w:firstLine="480"/>
              <w:rPr>
                <w:rFonts w:ascii="宋体" w:hAnsi="宋体"/>
                <w:szCs w:val="24"/>
              </w:rPr>
            </w:pPr>
            <w:r>
              <w:rPr>
                <w:rFonts w:ascii="宋体" w:hAnsi="宋体"/>
                <w:szCs w:val="24"/>
              </w:rPr>
              <w:t>答：</w:t>
            </w:r>
            <w:r>
              <w:rPr>
                <w:rFonts w:ascii="宋体" w:hAnsi="宋体" w:hint="eastAsia"/>
                <w:szCs w:val="24"/>
              </w:rPr>
              <w:t>根据公司业绩快报，2024年公司全年收入同比增长25.19%，利润同比下降5.66%。</w:t>
            </w:r>
          </w:p>
          <w:p w14:paraId="769C2F51" w14:textId="77777777" w:rsidR="00C74D31" w:rsidRDefault="00D575F7">
            <w:pPr>
              <w:spacing w:line="560" w:lineRule="exact"/>
              <w:ind w:firstLineChars="200" w:firstLine="480"/>
              <w:rPr>
                <w:rFonts w:ascii="宋体" w:hAnsi="宋体" w:cs="宋体"/>
                <w:szCs w:val="24"/>
              </w:rPr>
            </w:pPr>
            <w:r>
              <w:rPr>
                <w:rFonts w:ascii="宋体" w:hAnsi="宋体" w:cs="宋体" w:hint="eastAsia"/>
                <w:szCs w:val="24"/>
              </w:rPr>
              <w:t>（1）</w:t>
            </w:r>
            <w:r>
              <w:rPr>
                <w:rFonts w:ascii="宋体" w:hAnsi="宋体" w:cs="宋体"/>
                <w:szCs w:val="24"/>
              </w:rPr>
              <w:t>收入方面，公司集成电路、智能终端、新能源和高端装备四个业务板块</w:t>
            </w:r>
            <w:r>
              <w:rPr>
                <w:rFonts w:ascii="宋体" w:hAnsi="宋体" w:cs="宋体" w:hint="eastAsia"/>
                <w:szCs w:val="24"/>
              </w:rPr>
              <w:t>均呈现不同程度的增长，得益</w:t>
            </w:r>
            <w:r>
              <w:rPr>
                <w:rFonts w:ascii="宋体" w:hAnsi="宋体" w:cs="宋体" w:hint="eastAsia"/>
                <w:szCs w:val="24"/>
              </w:rPr>
              <w:lastRenderedPageBreak/>
              <w:t>于</w:t>
            </w:r>
            <w:r>
              <w:rPr>
                <w:rFonts w:ascii="宋体" w:hAnsi="宋体" w:cs="宋体"/>
                <w:szCs w:val="24"/>
              </w:rPr>
              <w:t>产品系列不断</w:t>
            </w:r>
            <w:r>
              <w:rPr>
                <w:rFonts w:ascii="宋体" w:hAnsi="宋体" w:cs="宋体" w:hint="eastAsia"/>
                <w:szCs w:val="24"/>
              </w:rPr>
              <w:t>丰富、新的应用点持续突破，集成电路、智能终端两个板块增速明显好于行业整体增速</w:t>
            </w:r>
            <w:r>
              <w:rPr>
                <w:rFonts w:ascii="宋体" w:hAnsi="宋体" w:cs="宋体"/>
                <w:szCs w:val="24"/>
              </w:rPr>
              <w:t>；新能源</w:t>
            </w:r>
            <w:r>
              <w:rPr>
                <w:rFonts w:ascii="宋体" w:hAnsi="宋体" w:cs="宋体" w:hint="eastAsia"/>
                <w:szCs w:val="24"/>
              </w:rPr>
              <w:t>领域锂电产品份额保持稳定，实现收入小幅增长</w:t>
            </w:r>
            <w:r>
              <w:rPr>
                <w:rFonts w:ascii="宋体" w:hAnsi="宋体" w:cs="宋体"/>
                <w:szCs w:val="24"/>
              </w:rPr>
              <w:t xml:space="preserve">。 </w:t>
            </w:r>
          </w:p>
          <w:p w14:paraId="39D62298" w14:textId="77777777" w:rsidR="00C74D31" w:rsidRDefault="00D575F7">
            <w:pPr>
              <w:spacing w:line="560" w:lineRule="exact"/>
              <w:ind w:firstLineChars="200" w:firstLine="480"/>
              <w:rPr>
                <w:rFonts w:ascii="宋体" w:hAnsi="宋体"/>
                <w:szCs w:val="24"/>
              </w:rPr>
            </w:pPr>
            <w:r>
              <w:rPr>
                <w:rFonts w:ascii="宋体" w:hAnsi="宋体" w:cs="宋体"/>
                <w:szCs w:val="24"/>
              </w:rPr>
              <w:t>（2）利润方面，</w:t>
            </w:r>
            <w:r>
              <w:rPr>
                <w:rFonts w:ascii="宋体" w:hAnsi="宋体" w:cs="宋体" w:hint="eastAsia"/>
                <w:szCs w:val="24"/>
              </w:rPr>
              <w:t>全年毛利率逐季度稳步提升，</w:t>
            </w:r>
            <w:r>
              <w:rPr>
                <w:rFonts w:ascii="宋体" w:hAnsi="宋体" w:cs="宋体"/>
                <w:szCs w:val="24"/>
              </w:rPr>
              <w:t>集成电路、智能终端</w:t>
            </w:r>
            <w:r>
              <w:rPr>
                <w:rFonts w:ascii="宋体" w:hAnsi="宋体" w:cs="宋体" w:hint="eastAsia"/>
                <w:szCs w:val="24"/>
              </w:rPr>
              <w:t>随着板块整体规模的增长量以及高毛利产品的持续上量，毛利率实现小幅增长</w:t>
            </w:r>
            <w:r>
              <w:rPr>
                <w:rFonts w:ascii="宋体" w:hAnsi="宋体" w:cs="宋体"/>
                <w:szCs w:val="24"/>
              </w:rPr>
              <w:t>，新能源板块毛利率受部分产品降价影响</w:t>
            </w:r>
            <w:r>
              <w:rPr>
                <w:rFonts w:ascii="宋体" w:hAnsi="宋体" w:cs="宋体" w:hint="eastAsia"/>
                <w:szCs w:val="24"/>
              </w:rPr>
              <w:t>整体上</w:t>
            </w:r>
            <w:r>
              <w:rPr>
                <w:rFonts w:ascii="宋体" w:hAnsi="宋体" w:cs="宋体"/>
                <w:szCs w:val="24"/>
              </w:rPr>
              <w:t>有所降低</w:t>
            </w:r>
            <w:r>
              <w:rPr>
                <w:rFonts w:ascii="宋体" w:hAnsi="宋体" w:cs="宋体" w:hint="eastAsia"/>
                <w:szCs w:val="24"/>
              </w:rPr>
              <w:t>，但得益于公司自动化产线全面投产，原材料降本、技术降本的有效推进，新能源板块毛利率全年呈现稳步回升的趋势</w:t>
            </w:r>
            <w:r>
              <w:rPr>
                <w:rFonts w:ascii="宋体" w:hAnsi="宋体" w:cs="宋体"/>
                <w:szCs w:val="24"/>
              </w:rPr>
              <w:t>。</w:t>
            </w:r>
          </w:p>
          <w:p w14:paraId="1BB0038F" w14:textId="77777777" w:rsidR="00C74D31" w:rsidRDefault="00C74D31">
            <w:pPr>
              <w:spacing w:line="560" w:lineRule="exact"/>
              <w:rPr>
                <w:rFonts w:ascii="宋体" w:hAnsi="宋体"/>
                <w:szCs w:val="24"/>
              </w:rPr>
            </w:pPr>
          </w:p>
          <w:p w14:paraId="0BB75AD1" w14:textId="77777777" w:rsidR="00C74D31" w:rsidRDefault="00D575F7">
            <w:pPr>
              <w:spacing w:line="560" w:lineRule="exact"/>
              <w:ind w:firstLineChars="200" w:firstLine="482"/>
              <w:rPr>
                <w:rFonts w:ascii="宋体" w:hAnsi="宋体"/>
                <w:b/>
                <w:szCs w:val="24"/>
              </w:rPr>
            </w:pPr>
            <w:r>
              <w:rPr>
                <w:rFonts w:ascii="宋体" w:hAnsi="宋体" w:hint="eastAsia"/>
                <w:b/>
                <w:szCs w:val="24"/>
              </w:rPr>
              <w:t>2、先进封装材料目前竞争格局如何？公司先进封装材料进展如何？</w:t>
            </w:r>
          </w:p>
          <w:p w14:paraId="24F1A681" w14:textId="77777777" w:rsidR="00C74D31" w:rsidRDefault="00D575F7">
            <w:pPr>
              <w:spacing w:line="560" w:lineRule="exact"/>
              <w:ind w:firstLineChars="200" w:firstLine="480"/>
              <w:rPr>
                <w:rFonts w:ascii="宋体" w:hAnsi="宋体"/>
                <w:szCs w:val="24"/>
              </w:rPr>
            </w:pPr>
            <w:r>
              <w:rPr>
                <w:rFonts w:ascii="宋体" w:hAnsi="宋体" w:hint="eastAsia"/>
                <w:szCs w:val="24"/>
              </w:rPr>
              <w:t>答：先进封装材料市场目前主要是日韩、欧美等厂商为主导，与国际先进水平相比，国内先进封装材料目前仍有很大的完善和提升空间，特别是核心封装材料仍主要依赖进口。公司经过多年的技术积累与沉淀，在先进封装材料部分领域已具备一系列成熟技术，积累了丰富的验证数据和应用案例，得到了越来越多的客户的检验和导入。目前公司芯片级Underfill、AD胶等几个品类的先进封装材料已实现国产替代，实现小批量交付；TIM1在客户端处于验证导入阶段，今年有望实现突破。</w:t>
            </w:r>
          </w:p>
          <w:p w14:paraId="39B596CA" w14:textId="77777777" w:rsidR="00C74D31" w:rsidRDefault="00C74D31">
            <w:pPr>
              <w:spacing w:line="560" w:lineRule="exact"/>
              <w:ind w:firstLineChars="200" w:firstLine="482"/>
              <w:rPr>
                <w:rFonts w:ascii="宋体" w:hAnsi="宋体"/>
                <w:b/>
                <w:szCs w:val="24"/>
              </w:rPr>
            </w:pPr>
          </w:p>
          <w:p w14:paraId="40378BA6" w14:textId="77777777" w:rsidR="00C74D31" w:rsidRDefault="00D575F7">
            <w:pPr>
              <w:spacing w:line="560" w:lineRule="exact"/>
              <w:ind w:firstLineChars="200" w:firstLine="482"/>
              <w:rPr>
                <w:rFonts w:ascii="宋体" w:hAnsi="宋体"/>
                <w:b/>
                <w:szCs w:val="24"/>
              </w:rPr>
            </w:pPr>
            <w:r>
              <w:rPr>
                <w:rFonts w:ascii="宋体" w:hAnsi="宋体"/>
                <w:b/>
                <w:szCs w:val="24"/>
              </w:rPr>
              <w:t>3</w:t>
            </w:r>
            <w:r>
              <w:rPr>
                <w:rFonts w:ascii="宋体" w:hAnsi="宋体" w:hint="eastAsia"/>
                <w:b/>
                <w:szCs w:val="24"/>
              </w:rPr>
              <w:t>、智能终端增长是否与客户产品周期相关？</w:t>
            </w:r>
            <w:r>
              <w:rPr>
                <w:rFonts w:ascii="宋体" w:hAnsi="宋体"/>
                <w:b/>
                <w:szCs w:val="24"/>
              </w:rPr>
              <w:t xml:space="preserve"> </w:t>
            </w:r>
          </w:p>
          <w:p w14:paraId="653606D0" w14:textId="77777777" w:rsidR="00C74D31" w:rsidRDefault="00D575F7">
            <w:pPr>
              <w:spacing w:line="560" w:lineRule="exact"/>
              <w:ind w:firstLineChars="200" w:firstLine="480"/>
              <w:rPr>
                <w:rFonts w:ascii="宋体" w:hAnsi="宋体"/>
                <w:szCs w:val="24"/>
              </w:rPr>
            </w:pPr>
            <w:r>
              <w:rPr>
                <w:rFonts w:ascii="宋体" w:hAnsi="宋体" w:hint="eastAsia"/>
                <w:szCs w:val="24"/>
              </w:rPr>
              <w:t>答：公司智能终端封装材料的增长与客户产品周期</w:t>
            </w:r>
            <w:r>
              <w:rPr>
                <w:rFonts w:ascii="宋体" w:hAnsi="宋体" w:hint="eastAsia"/>
                <w:szCs w:val="24"/>
              </w:rPr>
              <w:lastRenderedPageBreak/>
              <w:t>存在一定的相关性，终端产品更新迭代与升级会给公司带来市场突破和产品导入的机会。例如：公司产品在小米15手机LIPO工艺上的成功应用。在多应用场景持续突破、上量也是2024年公司智能终端板块增长的主要驱动力之一。</w:t>
            </w:r>
          </w:p>
          <w:p w14:paraId="3E162E90" w14:textId="77777777" w:rsidR="00C74D31" w:rsidRDefault="00C74D31">
            <w:pPr>
              <w:spacing w:line="560" w:lineRule="exact"/>
              <w:ind w:firstLineChars="200" w:firstLine="480"/>
              <w:rPr>
                <w:rFonts w:ascii="宋体" w:hAnsi="宋体"/>
                <w:szCs w:val="24"/>
              </w:rPr>
            </w:pPr>
          </w:p>
          <w:p w14:paraId="442348ED" w14:textId="77777777" w:rsidR="00C74D31" w:rsidRDefault="00D575F7">
            <w:pPr>
              <w:spacing w:line="560" w:lineRule="exact"/>
              <w:ind w:firstLineChars="200" w:firstLine="482"/>
              <w:rPr>
                <w:rFonts w:ascii="宋体" w:hAnsi="宋体"/>
                <w:b/>
                <w:szCs w:val="24"/>
              </w:rPr>
            </w:pPr>
            <w:r>
              <w:rPr>
                <w:rFonts w:ascii="宋体" w:hAnsi="宋体"/>
                <w:b/>
                <w:szCs w:val="24"/>
              </w:rPr>
              <w:t>4</w:t>
            </w:r>
            <w:r>
              <w:rPr>
                <w:rFonts w:ascii="宋体" w:hAnsi="宋体" w:hint="eastAsia"/>
                <w:b/>
                <w:szCs w:val="24"/>
              </w:rPr>
              <w:t>、请介绍一下公司新能源锂电材料目前竞争格局如何？主要竞争对手情况？</w:t>
            </w:r>
          </w:p>
          <w:p w14:paraId="4F572F1B" w14:textId="77777777" w:rsidR="00C74D31" w:rsidRDefault="00D575F7">
            <w:pPr>
              <w:spacing w:line="560" w:lineRule="exact"/>
              <w:ind w:firstLineChars="200" w:firstLine="480"/>
              <w:rPr>
                <w:rFonts w:ascii="宋体" w:hAnsi="宋体"/>
                <w:szCs w:val="24"/>
              </w:rPr>
            </w:pPr>
            <w:r>
              <w:rPr>
                <w:rFonts w:ascii="宋体" w:hAnsi="宋体" w:hint="eastAsia"/>
                <w:szCs w:val="24"/>
              </w:rPr>
              <w:t>答：公司新能源主要产品是新能源汽车电池包内部的聚氨酯结构导热材料，目前公司该产品国内市占率在30%-40%之间，市占率一直保持稳定，客户包括宁德时代、中创新航、亿维、国轩、蜂巢等国内头部电池厂商，在主要客户均保持较高的市场份额。随着下游新能源汽车销量的稳步提升，公司该业务处于稳定增长的态势。</w:t>
            </w:r>
          </w:p>
          <w:p w14:paraId="42E632BE" w14:textId="77777777" w:rsidR="00C74D31" w:rsidRDefault="00D575F7">
            <w:pPr>
              <w:spacing w:line="560" w:lineRule="exact"/>
              <w:ind w:firstLineChars="200" w:firstLine="480"/>
              <w:rPr>
                <w:rFonts w:ascii="宋体" w:hAnsi="宋体"/>
                <w:szCs w:val="24"/>
              </w:rPr>
            </w:pPr>
            <w:r>
              <w:rPr>
                <w:rFonts w:ascii="宋体" w:hAnsi="宋体" w:hint="eastAsia"/>
                <w:szCs w:val="24"/>
              </w:rPr>
              <w:t>中国在新能源汽车领域处于领先的地位，整个供应链大部分以国内企业为主，公司的聚氨酯结构导热材料亦是如此，目前竞争者以国内友商为主。</w:t>
            </w:r>
          </w:p>
          <w:p w14:paraId="0D1CA9FD" w14:textId="77777777" w:rsidR="00C74D31" w:rsidRDefault="00C74D31">
            <w:pPr>
              <w:spacing w:line="560" w:lineRule="exact"/>
              <w:rPr>
                <w:rFonts w:ascii="宋体" w:hAnsi="宋体"/>
                <w:b/>
                <w:szCs w:val="24"/>
              </w:rPr>
            </w:pPr>
          </w:p>
          <w:p w14:paraId="5D8C727D" w14:textId="77777777" w:rsidR="00C74D31" w:rsidRDefault="00D575F7">
            <w:pPr>
              <w:spacing w:line="560" w:lineRule="exact"/>
              <w:ind w:firstLineChars="200" w:firstLine="482"/>
              <w:rPr>
                <w:b/>
                <w:bCs/>
              </w:rPr>
            </w:pPr>
            <w:r>
              <w:rPr>
                <w:b/>
                <w:bCs/>
              </w:rPr>
              <w:t>5</w:t>
            </w:r>
            <w:r>
              <w:rPr>
                <w:rFonts w:hint="eastAsia"/>
                <w:b/>
                <w:bCs/>
              </w:rPr>
              <w:t>、公司收购泰吉诺是如何考量的？</w:t>
            </w:r>
          </w:p>
          <w:p w14:paraId="4BC95827" w14:textId="0F0C69CE" w:rsidR="00C74D31" w:rsidRDefault="00D575F7">
            <w:pPr>
              <w:spacing w:line="360" w:lineRule="auto"/>
              <w:ind w:firstLineChars="200" w:firstLine="480"/>
            </w:pPr>
            <w:r>
              <w:rPr>
                <w:rFonts w:hint="eastAsia"/>
              </w:rPr>
              <w:t>答：热界面材料在先进封装中占据重要地位，目前国内高端热界面材料市场仍少数国际头部厂商</w:t>
            </w:r>
            <w:r w:rsidR="00C37C85">
              <w:rPr>
                <w:rFonts w:hint="eastAsia"/>
              </w:rPr>
              <w:t>为</w:t>
            </w:r>
            <w:r>
              <w:rPr>
                <w:rFonts w:hint="eastAsia"/>
              </w:rPr>
              <w:t>主导，泰吉诺主营高端导热界面材料，主要应用于集成电路封装领域，提供从</w:t>
            </w:r>
            <w:r>
              <w:rPr>
                <w:rFonts w:hint="eastAsia"/>
              </w:rPr>
              <w:t>TIM 1</w:t>
            </w:r>
            <w:r>
              <w:rPr>
                <w:rFonts w:hint="eastAsia"/>
              </w:rPr>
              <w:t>、</w:t>
            </w:r>
            <w:r>
              <w:rPr>
                <w:rFonts w:hint="eastAsia"/>
              </w:rPr>
              <w:t>TIM1.5</w:t>
            </w:r>
            <w:r>
              <w:rPr>
                <w:rFonts w:hint="eastAsia"/>
              </w:rPr>
              <w:t>到</w:t>
            </w:r>
            <w:r>
              <w:rPr>
                <w:rFonts w:hint="eastAsia"/>
              </w:rPr>
              <w:t>TIM 2</w:t>
            </w:r>
            <w:r>
              <w:rPr>
                <w:rFonts w:hint="eastAsia"/>
              </w:rPr>
              <w:t>的全套解决方案，产品主要集中在</w:t>
            </w:r>
            <w:r>
              <w:rPr>
                <w:rFonts w:hint="eastAsia"/>
              </w:rPr>
              <w:t>AI</w:t>
            </w:r>
            <w:r>
              <w:rPr>
                <w:rFonts w:hint="eastAsia"/>
              </w:rPr>
              <w:t>服务器、通讯基站、汽车电子、消费电子、高功率工业设备和医疗设备等领域，与</w:t>
            </w:r>
            <w:r>
              <w:rPr>
                <w:rFonts w:hint="eastAsia"/>
              </w:rPr>
              <w:lastRenderedPageBreak/>
              <w:t>公司业务具有较强的协同性和互补性。公司收购泰吉诺旨在深化公司在半导体封装材料领域的布局，本次收购是公司在先进封装材料领域加快战略步伐的重要举措，有利于进一步完善公司热界面材料产品序列，在高端热界面材料市场占据一席之地。</w:t>
            </w:r>
          </w:p>
          <w:p w14:paraId="4A8AAF64" w14:textId="77777777" w:rsidR="00C74D31" w:rsidRDefault="00C74D31">
            <w:pPr>
              <w:spacing w:line="360" w:lineRule="auto"/>
              <w:ind w:firstLineChars="200" w:firstLine="480"/>
            </w:pPr>
          </w:p>
          <w:p w14:paraId="1AECE9CF" w14:textId="77777777" w:rsidR="00C74D31" w:rsidRDefault="00D575F7">
            <w:pPr>
              <w:spacing w:line="360" w:lineRule="auto"/>
              <w:ind w:firstLineChars="200" w:firstLine="482"/>
              <w:rPr>
                <w:b/>
                <w:bCs/>
              </w:rPr>
            </w:pPr>
            <w:r>
              <w:rPr>
                <w:rFonts w:hint="eastAsia"/>
                <w:b/>
                <w:bCs/>
              </w:rPr>
              <w:t>6</w:t>
            </w:r>
            <w:r>
              <w:rPr>
                <w:rFonts w:hint="eastAsia"/>
                <w:b/>
                <w:bCs/>
              </w:rPr>
              <w:t>、请介绍一下</w:t>
            </w:r>
            <w:r>
              <w:rPr>
                <w:rFonts w:hint="eastAsia"/>
                <w:b/>
                <w:bCs/>
              </w:rPr>
              <w:t>TIM 1</w:t>
            </w:r>
            <w:r>
              <w:rPr>
                <w:rFonts w:hint="eastAsia"/>
                <w:b/>
                <w:bCs/>
              </w:rPr>
              <w:t>、</w:t>
            </w:r>
            <w:r>
              <w:rPr>
                <w:rFonts w:hint="eastAsia"/>
                <w:b/>
                <w:bCs/>
              </w:rPr>
              <w:t>TIM</w:t>
            </w:r>
            <w:r>
              <w:rPr>
                <w:b/>
                <w:bCs/>
              </w:rPr>
              <w:t>1.5</w:t>
            </w:r>
            <w:r>
              <w:rPr>
                <w:rFonts w:hint="eastAsia"/>
                <w:b/>
                <w:bCs/>
              </w:rPr>
              <w:t>到</w:t>
            </w:r>
            <w:r>
              <w:rPr>
                <w:rFonts w:hint="eastAsia"/>
                <w:b/>
                <w:bCs/>
              </w:rPr>
              <w:t>TIM 2</w:t>
            </w:r>
            <w:r>
              <w:rPr>
                <w:rFonts w:hint="eastAsia"/>
                <w:b/>
                <w:bCs/>
              </w:rPr>
              <w:t>应用位置的区别以及公司产品量产情况？</w:t>
            </w:r>
          </w:p>
          <w:p w14:paraId="1E4FBE1F" w14:textId="77777777" w:rsidR="00C74D31" w:rsidRDefault="00D575F7">
            <w:pPr>
              <w:spacing w:line="560" w:lineRule="exact"/>
              <w:ind w:firstLineChars="200" w:firstLine="480"/>
              <w:rPr>
                <w:rFonts w:ascii="宋体" w:hAnsi="宋体"/>
                <w:bCs/>
                <w:szCs w:val="24"/>
              </w:rPr>
            </w:pPr>
            <w:r>
              <w:rPr>
                <w:rFonts w:ascii="宋体" w:hAnsi="宋体" w:hint="eastAsia"/>
                <w:bCs/>
                <w:szCs w:val="24"/>
              </w:rPr>
              <w:t>答：从应用位置来区分，TIM材料一般分</w:t>
            </w:r>
            <w:r>
              <w:rPr>
                <w:rFonts w:hint="eastAsia"/>
                <w:bCs/>
              </w:rPr>
              <w:t>TIM 1</w:t>
            </w:r>
            <w:r>
              <w:rPr>
                <w:rFonts w:hint="eastAsia"/>
                <w:bCs/>
              </w:rPr>
              <w:t>、</w:t>
            </w:r>
            <w:r>
              <w:rPr>
                <w:rFonts w:hint="eastAsia"/>
                <w:bCs/>
              </w:rPr>
              <w:t>TIM</w:t>
            </w:r>
            <w:r>
              <w:rPr>
                <w:bCs/>
              </w:rPr>
              <w:t>1.5</w:t>
            </w:r>
            <w:r>
              <w:rPr>
                <w:rFonts w:hint="eastAsia"/>
                <w:bCs/>
              </w:rPr>
              <w:t>和</w:t>
            </w:r>
            <w:r>
              <w:rPr>
                <w:rFonts w:hint="eastAsia"/>
                <w:bCs/>
              </w:rPr>
              <w:t>TIM 2</w:t>
            </w:r>
            <w:r>
              <w:rPr>
                <w:rFonts w:hint="eastAsia"/>
                <w:bCs/>
              </w:rPr>
              <w:t>，</w:t>
            </w:r>
            <w:r>
              <w:rPr>
                <w:rFonts w:ascii="宋体" w:hAnsi="宋体" w:hint="eastAsia"/>
                <w:bCs/>
                <w:szCs w:val="24"/>
              </w:rPr>
              <w:t>TIM1应用于芯片（Die）和芯片保护壳（Lid框）之间；TIM1.5应用于芯片和散热器件之间；TIM2应用于芯片保护壳和散热器件之间。公司</w:t>
            </w:r>
            <w:r>
              <w:rPr>
                <w:rFonts w:hint="eastAsia"/>
                <w:bCs/>
              </w:rPr>
              <w:t>TIM</w:t>
            </w:r>
            <w:r>
              <w:rPr>
                <w:bCs/>
              </w:rPr>
              <w:t>1.5</w:t>
            </w:r>
            <w:r>
              <w:rPr>
                <w:rFonts w:hint="eastAsia"/>
                <w:bCs/>
              </w:rPr>
              <w:t>和</w:t>
            </w:r>
            <w:r>
              <w:rPr>
                <w:rFonts w:hint="eastAsia"/>
                <w:bCs/>
              </w:rPr>
              <w:t>TIM 2</w:t>
            </w:r>
            <w:r>
              <w:rPr>
                <w:rFonts w:hint="eastAsia"/>
                <w:bCs/>
              </w:rPr>
              <w:t>产品均稳定出货，</w:t>
            </w:r>
            <w:r>
              <w:rPr>
                <w:rFonts w:ascii="宋体" w:hAnsi="宋体" w:hint="eastAsia"/>
              </w:rPr>
              <w:t>TIM1目前尚处于验证导入阶段。</w:t>
            </w:r>
          </w:p>
          <w:p w14:paraId="77EE6635" w14:textId="77777777" w:rsidR="00C74D31" w:rsidRDefault="00C74D31">
            <w:pPr>
              <w:spacing w:line="360" w:lineRule="auto"/>
              <w:ind w:firstLineChars="200" w:firstLine="480"/>
            </w:pPr>
          </w:p>
          <w:p w14:paraId="34FE2366" w14:textId="77777777" w:rsidR="00C74D31" w:rsidRDefault="00D575F7">
            <w:pPr>
              <w:spacing w:line="360" w:lineRule="auto"/>
              <w:ind w:firstLineChars="200" w:firstLine="482"/>
              <w:rPr>
                <w:b/>
                <w:bCs/>
              </w:rPr>
            </w:pPr>
            <w:r>
              <w:rPr>
                <w:rFonts w:hint="eastAsia"/>
                <w:b/>
                <w:bCs/>
              </w:rPr>
              <w:t>7</w:t>
            </w:r>
            <w:r>
              <w:rPr>
                <w:rFonts w:hint="eastAsia"/>
                <w:b/>
                <w:bCs/>
              </w:rPr>
              <w:t>、公司</w:t>
            </w:r>
            <w:r>
              <w:rPr>
                <w:rFonts w:hint="eastAsia"/>
                <w:b/>
                <w:bCs/>
              </w:rPr>
              <w:t>TIM</w:t>
            </w:r>
            <w:r>
              <w:rPr>
                <w:rFonts w:hint="eastAsia"/>
                <w:b/>
                <w:bCs/>
              </w:rPr>
              <w:t>材料都包括哪些具体产品？</w:t>
            </w:r>
          </w:p>
          <w:p w14:paraId="1B7E3720" w14:textId="77777777" w:rsidR="00C74D31" w:rsidRDefault="00D575F7">
            <w:pPr>
              <w:spacing w:line="560" w:lineRule="exact"/>
              <w:ind w:firstLineChars="200" w:firstLine="480"/>
              <w:rPr>
                <w:rFonts w:ascii="宋体" w:hAnsi="宋体"/>
                <w:bCs/>
                <w:szCs w:val="24"/>
              </w:rPr>
            </w:pPr>
            <w:r>
              <w:rPr>
                <w:rFonts w:ascii="宋体" w:hAnsi="宋体" w:hint="eastAsia"/>
                <w:bCs/>
                <w:szCs w:val="24"/>
              </w:rPr>
              <w:t>答：目前公司产品包括导热垫片、导热凝胶、导热硅脂、导热吸波材料、相变材料、液态金属等多品类、多系列产品，能够为集成电路、器件模组、系统等不同层级提供全面、系统的热管理解决方案。</w:t>
            </w:r>
          </w:p>
          <w:p w14:paraId="70928C4C" w14:textId="77777777" w:rsidR="00C74D31" w:rsidRDefault="00C74D31">
            <w:pPr>
              <w:spacing w:line="560" w:lineRule="exact"/>
              <w:ind w:firstLineChars="200" w:firstLine="480"/>
              <w:rPr>
                <w:rFonts w:ascii="宋体" w:hAnsi="宋体"/>
                <w:bCs/>
                <w:szCs w:val="24"/>
              </w:rPr>
            </w:pPr>
          </w:p>
          <w:p w14:paraId="2A311D09" w14:textId="77777777" w:rsidR="00C74D31" w:rsidRDefault="00D575F7">
            <w:pPr>
              <w:spacing w:line="360" w:lineRule="auto"/>
              <w:ind w:firstLineChars="200" w:firstLine="482"/>
              <w:rPr>
                <w:b/>
                <w:bCs/>
              </w:rPr>
            </w:pPr>
            <w:r>
              <w:rPr>
                <w:rFonts w:hint="eastAsia"/>
                <w:b/>
                <w:bCs/>
              </w:rPr>
              <w:t>8</w:t>
            </w:r>
            <w:r>
              <w:rPr>
                <w:rFonts w:hint="eastAsia"/>
                <w:b/>
                <w:bCs/>
              </w:rPr>
              <w:t>、请问公司目前在人形机器人领域的布局及未来的规划？</w:t>
            </w:r>
          </w:p>
          <w:p w14:paraId="0BDCAC66" w14:textId="77777777" w:rsidR="00C74D31" w:rsidRDefault="00D575F7">
            <w:pPr>
              <w:spacing w:line="560" w:lineRule="exact"/>
              <w:ind w:firstLineChars="200" w:firstLine="480"/>
              <w:rPr>
                <w:rFonts w:ascii="宋体" w:hAnsi="宋体"/>
                <w:bCs/>
                <w:szCs w:val="24"/>
              </w:rPr>
            </w:pPr>
            <w:r>
              <w:rPr>
                <w:rFonts w:ascii="宋体" w:hAnsi="宋体" w:hint="eastAsia"/>
                <w:bCs/>
                <w:szCs w:val="24"/>
              </w:rPr>
              <w:t>答：公司关注到人形机器人的快速发展以及未来可能带来的市场机遇。公司产品应用广泛，可为人形机器人产业链在芯片封装、传感器封装以及整机封装等方面</w:t>
            </w:r>
            <w:r>
              <w:rPr>
                <w:rFonts w:ascii="宋体" w:hAnsi="宋体" w:hint="eastAsia"/>
                <w:bCs/>
                <w:szCs w:val="24"/>
              </w:rPr>
              <w:lastRenderedPageBreak/>
              <w:t>提供导热、导电、电磁屏蔽、结构粘接等解决方案，近期也在积极梳理公司产品在人形机器人上的应用机会。公司控股子公司苏州泰吉诺自2023年第四季度开始向杭州宇树科技有限公司提供一款热界面材料，</w:t>
            </w:r>
            <w:r>
              <w:rPr>
                <w:rFonts w:hint="eastAsia"/>
                <w:bCs/>
              </w:rPr>
              <w:t>并在配合客户的需求，积极推进新产品的送样、开发。</w:t>
            </w:r>
            <w:r>
              <w:rPr>
                <w:rFonts w:ascii="宋体" w:hAnsi="宋体" w:hint="eastAsia"/>
                <w:bCs/>
                <w:szCs w:val="24"/>
              </w:rPr>
              <w:t>目前人形机器人领域仍处于发展的初期阶段，该业务占公司整体收入比例很低，短期内对公司整体业绩影响还很小。公司会持续关注人形机器人发展动态，抓住行业发展带来的新的机遇。</w:t>
            </w:r>
          </w:p>
          <w:p w14:paraId="491924B2" w14:textId="77777777" w:rsidR="00C74D31" w:rsidRDefault="00C74D31">
            <w:pPr>
              <w:spacing w:line="560" w:lineRule="exact"/>
              <w:rPr>
                <w:rFonts w:ascii="宋体" w:hAnsi="宋体"/>
                <w:b/>
                <w:bCs/>
                <w:szCs w:val="24"/>
              </w:rPr>
            </w:pPr>
          </w:p>
        </w:tc>
      </w:tr>
      <w:tr w:rsidR="00C74D31" w14:paraId="3AC0B3EB" w14:textId="77777777">
        <w:trPr>
          <w:trHeight w:val="573"/>
        </w:trPr>
        <w:tc>
          <w:tcPr>
            <w:tcW w:w="2405" w:type="dxa"/>
            <w:vAlign w:val="center"/>
          </w:tcPr>
          <w:p w14:paraId="291DFC9A" w14:textId="77777777" w:rsidR="00C74D31" w:rsidRDefault="00D575F7">
            <w:pPr>
              <w:jc w:val="center"/>
              <w:rPr>
                <w:rFonts w:ascii="宋体" w:hAnsi="宋体"/>
                <w:b/>
                <w:bCs/>
                <w:szCs w:val="24"/>
              </w:rPr>
            </w:pPr>
            <w:r>
              <w:rPr>
                <w:rFonts w:ascii="宋体" w:hAnsi="宋体" w:hint="eastAsia"/>
                <w:b/>
                <w:bCs/>
                <w:szCs w:val="24"/>
              </w:rPr>
              <w:lastRenderedPageBreak/>
              <w:t>附件清单（如有）</w:t>
            </w:r>
          </w:p>
        </w:tc>
        <w:tc>
          <w:tcPr>
            <w:tcW w:w="5891" w:type="dxa"/>
            <w:vAlign w:val="center"/>
          </w:tcPr>
          <w:p w14:paraId="7E70718A" w14:textId="77777777" w:rsidR="00C74D31" w:rsidRDefault="00D575F7">
            <w:pPr>
              <w:jc w:val="left"/>
              <w:rPr>
                <w:rFonts w:ascii="宋体" w:hAnsi="宋体"/>
                <w:szCs w:val="24"/>
              </w:rPr>
            </w:pPr>
            <w:r>
              <w:rPr>
                <w:rFonts w:ascii="宋体" w:hAnsi="宋体"/>
                <w:szCs w:val="24"/>
              </w:rPr>
              <w:t>无</w:t>
            </w:r>
          </w:p>
        </w:tc>
      </w:tr>
    </w:tbl>
    <w:p w14:paraId="0DC310B8" w14:textId="77777777" w:rsidR="00C74D31" w:rsidRDefault="00C74D31">
      <w:pPr>
        <w:widowControl/>
        <w:spacing w:line="400" w:lineRule="exact"/>
        <w:jc w:val="left"/>
        <w:rPr>
          <w:rFonts w:ascii="宋体" w:hAnsi="宋体"/>
          <w:sz w:val="21"/>
          <w:szCs w:val="21"/>
        </w:rPr>
      </w:pPr>
    </w:p>
    <w:sectPr w:rsidR="00C74D31">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D3729" w14:textId="77777777" w:rsidR="00284DBD" w:rsidRDefault="00284DBD" w:rsidP="00FD3353">
      <w:r>
        <w:separator/>
      </w:r>
    </w:p>
  </w:endnote>
  <w:endnote w:type="continuationSeparator" w:id="0">
    <w:p w14:paraId="674335B3" w14:textId="77777777" w:rsidR="00284DBD" w:rsidRDefault="00284DBD" w:rsidP="00FD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4115C" w14:textId="77777777" w:rsidR="00284DBD" w:rsidRDefault="00284DBD" w:rsidP="00FD3353">
      <w:r>
        <w:separator/>
      </w:r>
    </w:p>
  </w:footnote>
  <w:footnote w:type="continuationSeparator" w:id="0">
    <w:p w14:paraId="4B5431D9" w14:textId="77777777" w:rsidR="00284DBD" w:rsidRDefault="00284DBD" w:rsidP="00FD3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NWFlMDEyZWY1YzZmMjQ5Njg3MTFmMTY5MDA4NjYifQ=="/>
    <w:docVar w:name="KSO_WPS_MARK_KEY" w:val="4bcddad4-8272-43c9-847c-4ef5bb2eeba4"/>
  </w:docVars>
  <w:rsids>
    <w:rsidRoot w:val="00DC5E46"/>
    <w:rsid w:val="0000245C"/>
    <w:rsid w:val="00003718"/>
    <w:rsid w:val="00004B20"/>
    <w:rsid w:val="00007425"/>
    <w:rsid w:val="00017DD1"/>
    <w:rsid w:val="0002014A"/>
    <w:rsid w:val="00030613"/>
    <w:rsid w:val="00030DE9"/>
    <w:rsid w:val="0003154F"/>
    <w:rsid w:val="00032633"/>
    <w:rsid w:val="000344FC"/>
    <w:rsid w:val="000415F4"/>
    <w:rsid w:val="00041C9D"/>
    <w:rsid w:val="00043E11"/>
    <w:rsid w:val="0004488A"/>
    <w:rsid w:val="000459A9"/>
    <w:rsid w:val="00045FED"/>
    <w:rsid w:val="00050C04"/>
    <w:rsid w:val="00056AB7"/>
    <w:rsid w:val="00061E98"/>
    <w:rsid w:val="00067427"/>
    <w:rsid w:val="000704AF"/>
    <w:rsid w:val="00070D2B"/>
    <w:rsid w:val="00080818"/>
    <w:rsid w:val="00084870"/>
    <w:rsid w:val="00092107"/>
    <w:rsid w:val="0009549F"/>
    <w:rsid w:val="000959D5"/>
    <w:rsid w:val="000A06AA"/>
    <w:rsid w:val="000A12C5"/>
    <w:rsid w:val="000A2DB5"/>
    <w:rsid w:val="000A4716"/>
    <w:rsid w:val="000A5086"/>
    <w:rsid w:val="000A64A8"/>
    <w:rsid w:val="000A7269"/>
    <w:rsid w:val="000A7D63"/>
    <w:rsid w:val="000B1AEE"/>
    <w:rsid w:val="000B4324"/>
    <w:rsid w:val="000B59C8"/>
    <w:rsid w:val="000B61FC"/>
    <w:rsid w:val="000C53F3"/>
    <w:rsid w:val="000D2872"/>
    <w:rsid w:val="000E1009"/>
    <w:rsid w:val="000E4665"/>
    <w:rsid w:val="000E46ED"/>
    <w:rsid w:val="000E646E"/>
    <w:rsid w:val="000E7DED"/>
    <w:rsid w:val="000F3A30"/>
    <w:rsid w:val="000F4C75"/>
    <w:rsid w:val="00100005"/>
    <w:rsid w:val="0010080C"/>
    <w:rsid w:val="00104EC2"/>
    <w:rsid w:val="00111ED8"/>
    <w:rsid w:val="0011359B"/>
    <w:rsid w:val="00113D88"/>
    <w:rsid w:val="00115906"/>
    <w:rsid w:val="00122AAA"/>
    <w:rsid w:val="00122CA4"/>
    <w:rsid w:val="001259EE"/>
    <w:rsid w:val="001404DD"/>
    <w:rsid w:val="00140A1B"/>
    <w:rsid w:val="00146FB8"/>
    <w:rsid w:val="00157C01"/>
    <w:rsid w:val="001600CB"/>
    <w:rsid w:val="001609E9"/>
    <w:rsid w:val="00163CA5"/>
    <w:rsid w:val="00167014"/>
    <w:rsid w:val="00171B17"/>
    <w:rsid w:val="001743F1"/>
    <w:rsid w:val="001800F7"/>
    <w:rsid w:val="00180D5D"/>
    <w:rsid w:val="00183228"/>
    <w:rsid w:val="001837A2"/>
    <w:rsid w:val="00184B9F"/>
    <w:rsid w:val="00185366"/>
    <w:rsid w:val="00193BF3"/>
    <w:rsid w:val="001956C4"/>
    <w:rsid w:val="0019725D"/>
    <w:rsid w:val="001A3E9F"/>
    <w:rsid w:val="001A6640"/>
    <w:rsid w:val="001A774A"/>
    <w:rsid w:val="001C3AD2"/>
    <w:rsid w:val="001D04DD"/>
    <w:rsid w:val="001D2B9C"/>
    <w:rsid w:val="001D4053"/>
    <w:rsid w:val="001E1C23"/>
    <w:rsid w:val="001E1C6F"/>
    <w:rsid w:val="001E272A"/>
    <w:rsid w:val="001E3B67"/>
    <w:rsid w:val="001E42FC"/>
    <w:rsid w:val="001E50AD"/>
    <w:rsid w:val="001F00C9"/>
    <w:rsid w:val="001F0F88"/>
    <w:rsid w:val="001F3092"/>
    <w:rsid w:val="001F4458"/>
    <w:rsid w:val="00200DAA"/>
    <w:rsid w:val="0020500F"/>
    <w:rsid w:val="0020687B"/>
    <w:rsid w:val="002075CC"/>
    <w:rsid w:val="00212C27"/>
    <w:rsid w:val="002143C9"/>
    <w:rsid w:val="00220308"/>
    <w:rsid w:val="00220B2F"/>
    <w:rsid w:val="00221449"/>
    <w:rsid w:val="00221631"/>
    <w:rsid w:val="00231D14"/>
    <w:rsid w:val="00236E2E"/>
    <w:rsid w:val="00237C2F"/>
    <w:rsid w:val="00246207"/>
    <w:rsid w:val="00247FB5"/>
    <w:rsid w:val="0025376E"/>
    <w:rsid w:val="00253A35"/>
    <w:rsid w:val="00254DA5"/>
    <w:rsid w:val="00260053"/>
    <w:rsid w:val="00264304"/>
    <w:rsid w:val="0026439C"/>
    <w:rsid w:val="00277AD7"/>
    <w:rsid w:val="00280FC0"/>
    <w:rsid w:val="0028324C"/>
    <w:rsid w:val="00283447"/>
    <w:rsid w:val="00284DBD"/>
    <w:rsid w:val="002A021D"/>
    <w:rsid w:val="002A3326"/>
    <w:rsid w:val="002B0BDB"/>
    <w:rsid w:val="002B3841"/>
    <w:rsid w:val="002B42E0"/>
    <w:rsid w:val="002B4498"/>
    <w:rsid w:val="002B7611"/>
    <w:rsid w:val="002B79CA"/>
    <w:rsid w:val="002C388F"/>
    <w:rsid w:val="002D3603"/>
    <w:rsid w:val="002D72FA"/>
    <w:rsid w:val="002E158E"/>
    <w:rsid w:val="002E5264"/>
    <w:rsid w:val="002E5293"/>
    <w:rsid w:val="002F32A8"/>
    <w:rsid w:val="002F37D8"/>
    <w:rsid w:val="002F5525"/>
    <w:rsid w:val="002F7163"/>
    <w:rsid w:val="003017AE"/>
    <w:rsid w:val="00303440"/>
    <w:rsid w:val="003040DB"/>
    <w:rsid w:val="00304DB1"/>
    <w:rsid w:val="00314871"/>
    <w:rsid w:val="00317F36"/>
    <w:rsid w:val="003206FD"/>
    <w:rsid w:val="00324C44"/>
    <w:rsid w:val="00326C79"/>
    <w:rsid w:val="00327BCE"/>
    <w:rsid w:val="00334055"/>
    <w:rsid w:val="0033761C"/>
    <w:rsid w:val="00337A19"/>
    <w:rsid w:val="003423B7"/>
    <w:rsid w:val="00362F55"/>
    <w:rsid w:val="0036572D"/>
    <w:rsid w:val="00370426"/>
    <w:rsid w:val="00372B09"/>
    <w:rsid w:val="003817FE"/>
    <w:rsid w:val="003837B4"/>
    <w:rsid w:val="00393F39"/>
    <w:rsid w:val="0039540B"/>
    <w:rsid w:val="003A09C2"/>
    <w:rsid w:val="003A3A46"/>
    <w:rsid w:val="003A6113"/>
    <w:rsid w:val="003A74F2"/>
    <w:rsid w:val="003B5598"/>
    <w:rsid w:val="003B7978"/>
    <w:rsid w:val="003C3B4D"/>
    <w:rsid w:val="003C3F99"/>
    <w:rsid w:val="003C53DB"/>
    <w:rsid w:val="003D1463"/>
    <w:rsid w:val="003D7C6A"/>
    <w:rsid w:val="003E53CF"/>
    <w:rsid w:val="003E5D9C"/>
    <w:rsid w:val="003E5DB1"/>
    <w:rsid w:val="003E610A"/>
    <w:rsid w:val="003E7569"/>
    <w:rsid w:val="003F11AD"/>
    <w:rsid w:val="003F12C8"/>
    <w:rsid w:val="003F1E65"/>
    <w:rsid w:val="003F3C92"/>
    <w:rsid w:val="003F489C"/>
    <w:rsid w:val="003F6FC4"/>
    <w:rsid w:val="00403E58"/>
    <w:rsid w:val="004046D1"/>
    <w:rsid w:val="0040596A"/>
    <w:rsid w:val="00407C94"/>
    <w:rsid w:val="00412655"/>
    <w:rsid w:val="00427D88"/>
    <w:rsid w:val="00430DCC"/>
    <w:rsid w:val="00431E4C"/>
    <w:rsid w:val="00440078"/>
    <w:rsid w:val="00442451"/>
    <w:rsid w:val="0044314E"/>
    <w:rsid w:val="00451E2F"/>
    <w:rsid w:val="004538F4"/>
    <w:rsid w:val="00457653"/>
    <w:rsid w:val="0045786E"/>
    <w:rsid w:val="00461288"/>
    <w:rsid w:val="00461323"/>
    <w:rsid w:val="004638AF"/>
    <w:rsid w:val="00466861"/>
    <w:rsid w:val="00472EEE"/>
    <w:rsid w:val="004732F9"/>
    <w:rsid w:val="004754E9"/>
    <w:rsid w:val="00483884"/>
    <w:rsid w:val="00495DFF"/>
    <w:rsid w:val="004978E4"/>
    <w:rsid w:val="004A29B3"/>
    <w:rsid w:val="004B2265"/>
    <w:rsid w:val="004B2A3F"/>
    <w:rsid w:val="004B4383"/>
    <w:rsid w:val="004C2778"/>
    <w:rsid w:val="004C634C"/>
    <w:rsid w:val="004C6851"/>
    <w:rsid w:val="004C6F80"/>
    <w:rsid w:val="004C7238"/>
    <w:rsid w:val="004D665E"/>
    <w:rsid w:val="004E3F7E"/>
    <w:rsid w:val="004E408D"/>
    <w:rsid w:val="004E40CA"/>
    <w:rsid w:val="004E5866"/>
    <w:rsid w:val="004E72D6"/>
    <w:rsid w:val="004E7C20"/>
    <w:rsid w:val="0050092E"/>
    <w:rsid w:val="00500F5E"/>
    <w:rsid w:val="00501FA7"/>
    <w:rsid w:val="00510BB1"/>
    <w:rsid w:val="00511935"/>
    <w:rsid w:val="00513BB5"/>
    <w:rsid w:val="005146E3"/>
    <w:rsid w:val="00524BE4"/>
    <w:rsid w:val="00530A8D"/>
    <w:rsid w:val="00536442"/>
    <w:rsid w:val="005400CA"/>
    <w:rsid w:val="00541D8C"/>
    <w:rsid w:val="00543700"/>
    <w:rsid w:val="00544A15"/>
    <w:rsid w:val="005470B2"/>
    <w:rsid w:val="00552E06"/>
    <w:rsid w:val="00555A3F"/>
    <w:rsid w:val="00557D76"/>
    <w:rsid w:val="0056503C"/>
    <w:rsid w:val="005673FA"/>
    <w:rsid w:val="005719B2"/>
    <w:rsid w:val="0057267D"/>
    <w:rsid w:val="00572766"/>
    <w:rsid w:val="00572CEE"/>
    <w:rsid w:val="00590BA6"/>
    <w:rsid w:val="005A2448"/>
    <w:rsid w:val="005A4140"/>
    <w:rsid w:val="005A6293"/>
    <w:rsid w:val="005A6B74"/>
    <w:rsid w:val="005B065D"/>
    <w:rsid w:val="005B58D2"/>
    <w:rsid w:val="005D05C3"/>
    <w:rsid w:val="005D117F"/>
    <w:rsid w:val="005D4012"/>
    <w:rsid w:val="005E2365"/>
    <w:rsid w:val="005F54BB"/>
    <w:rsid w:val="005F6B7E"/>
    <w:rsid w:val="005F6D26"/>
    <w:rsid w:val="006002AD"/>
    <w:rsid w:val="006043C4"/>
    <w:rsid w:val="0060633C"/>
    <w:rsid w:val="00606FF7"/>
    <w:rsid w:val="006076A7"/>
    <w:rsid w:val="00607EB3"/>
    <w:rsid w:val="00610BC3"/>
    <w:rsid w:val="006237F6"/>
    <w:rsid w:val="0063203E"/>
    <w:rsid w:val="006330C2"/>
    <w:rsid w:val="00650074"/>
    <w:rsid w:val="006507E7"/>
    <w:rsid w:val="0065282C"/>
    <w:rsid w:val="0065311E"/>
    <w:rsid w:val="0065397E"/>
    <w:rsid w:val="0066055E"/>
    <w:rsid w:val="00666080"/>
    <w:rsid w:val="00666665"/>
    <w:rsid w:val="00672825"/>
    <w:rsid w:val="00675A43"/>
    <w:rsid w:val="00680153"/>
    <w:rsid w:val="006806DF"/>
    <w:rsid w:val="00694B4A"/>
    <w:rsid w:val="006B1ED8"/>
    <w:rsid w:val="006B6D59"/>
    <w:rsid w:val="006D1F99"/>
    <w:rsid w:val="006D3624"/>
    <w:rsid w:val="006E5D09"/>
    <w:rsid w:val="006E62D9"/>
    <w:rsid w:val="006E72D5"/>
    <w:rsid w:val="006E7FC6"/>
    <w:rsid w:val="006F07B6"/>
    <w:rsid w:val="006F2DDF"/>
    <w:rsid w:val="006F4320"/>
    <w:rsid w:val="00700618"/>
    <w:rsid w:val="007050EB"/>
    <w:rsid w:val="00705FFC"/>
    <w:rsid w:val="00707CA5"/>
    <w:rsid w:val="0071704A"/>
    <w:rsid w:val="00720173"/>
    <w:rsid w:val="00723D9F"/>
    <w:rsid w:val="007272CA"/>
    <w:rsid w:val="007338F3"/>
    <w:rsid w:val="00746099"/>
    <w:rsid w:val="00747DA6"/>
    <w:rsid w:val="00755204"/>
    <w:rsid w:val="00762A69"/>
    <w:rsid w:val="00765ABD"/>
    <w:rsid w:val="00771705"/>
    <w:rsid w:val="00773E29"/>
    <w:rsid w:val="00777A5C"/>
    <w:rsid w:val="007804CA"/>
    <w:rsid w:val="00780D8A"/>
    <w:rsid w:val="0078434B"/>
    <w:rsid w:val="007846B6"/>
    <w:rsid w:val="007856B2"/>
    <w:rsid w:val="00792AB7"/>
    <w:rsid w:val="007A05A2"/>
    <w:rsid w:val="007A151B"/>
    <w:rsid w:val="007A1830"/>
    <w:rsid w:val="007A50F1"/>
    <w:rsid w:val="007A5737"/>
    <w:rsid w:val="007B1298"/>
    <w:rsid w:val="007B369A"/>
    <w:rsid w:val="007B3D2A"/>
    <w:rsid w:val="007C067E"/>
    <w:rsid w:val="007C06CF"/>
    <w:rsid w:val="007C4A2A"/>
    <w:rsid w:val="007C4D3C"/>
    <w:rsid w:val="007C7562"/>
    <w:rsid w:val="007D04EE"/>
    <w:rsid w:val="007D2BC0"/>
    <w:rsid w:val="007D6811"/>
    <w:rsid w:val="007D69ED"/>
    <w:rsid w:val="007F03D8"/>
    <w:rsid w:val="007F0F7C"/>
    <w:rsid w:val="007F2945"/>
    <w:rsid w:val="007F3B4C"/>
    <w:rsid w:val="007F6A1C"/>
    <w:rsid w:val="00804E05"/>
    <w:rsid w:val="00807C02"/>
    <w:rsid w:val="00810BF8"/>
    <w:rsid w:val="00815C24"/>
    <w:rsid w:val="00816335"/>
    <w:rsid w:val="00816AF5"/>
    <w:rsid w:val="00821BFA"/>
    <w:rsid w:val="00821EB6"/>
    <w:rsid w:val="008245AC"/>
    <w:rsid w:val="00825E3C"/>
    <w:rsid w:val="0083005C"/>
    <w:rsid w:val="00833E29"/>
    <w:rsid w:val="00836733"/>
    <w:rsid w:val="00840D62"/>
    <w:rsid w:val="008429FC"/>
    <w:rsid w:val="0084424D"/>
    <w:rsid w:val="00845E7E"/>
    <w:rsid w:val="008461E8"/>
    <w:rsid w:val="008479DD"/>
    <w:rsid w:val="00853EBC"/>
    <w:rsid w:val="0085572C"/>
    <w:rsid w:val="00864473"/>
    <w:rsid w:val="00864DF3"/>
    <w:rsid w:val="0087625E"/>
    <w:rsid w:val="008764D9"/>
    <w:rsid w:val="00880942"/>
    <w:rsid w:val="0088594A"/>
    <w:rsid w:val="00885F37"/>
    <w:rsid w:val="00887109"/>
    <w:rsid w:val="00887B93"/>
    <w:rsid w:val="00890DE9"/>
    <w:rsid w:val="00893D4B"/>
    <w:rsid w:val="00893D52"/>
    <w:rsid w:val="0089783D"/>
    <w:rsid w:val="008A08AB"/>
    <w:rsid w:val="008A4E65"/>
    <w:rsid w:val="008B2A70"/>
    <w:rsid w:val="008B754C"/>
    <w:rsid w:val="008C3DFE"/>
    <w:rsid w:val="008C443A"/>
    <w:rsid w:val="008C4831"/>
    <w:rsid w:val="008C76CF"/>
    <w:rsid w:val="008D0588"/>
    <w:rsid w:val="008D1E97"/>
    <w:rsid w:val="008D2530"/>
    <w:rsid w:val="008E3D93"/>
    <w:rsid w:val="008E50D5"/>
    <w:rsid w:val="008E6760"/>
    <w:rsid w:val="008F0737"/>
    <w:rsid w:val="008F3119"/>
    <w:rsid w:val="008F3E89"/>
    <w:rsid w:val="008F5F0B"/>
    <w:rsid w:val="0090553B"/>
    <w:rsid w:val="00905A85"/>
    <w:rsid w:val="009121C4"/>
    <w:rsid w:val="0091232F"/>
    <w:rsid w:val="00915D33"/>
    <w:rsid w:val="0091640A"/>
    <w:rsid w:val="009178B8"/>
    <w:rsid w:val="00920B5D"/>
    <w:rsid w:val="00922283"/>
    <w:rsid w:val="009232D8"/>
    <w:rsid w:val="00924C3F"/>
    <w:rsid w:val="00931A39"/>
    <w:rsid w:val="0094154D"/>
    <w:rsid w:val="00943F9D"/>
    <w:rsid w:val="00951801"/>
    <w:rsid w:val="00951DDE"/>
    <w:rsid w:val="009565A2"/>
    <w:rsid w:val="00956BE1"/>
    <w:rsid w:val="00961F4F"/>
    <w:rsid w:val="00970B27"/>
    <w:rsid w:val="009711C5"/>
    <w:rsid w:val="00972096"/>
    <w:rsid w:val="00976FA4"/>
    <w:rsid w:val="00980FB2"/>
    <w:rsid w:val="0098123D"/>
    <w:rsid w:val="00993B7E"/>
    <w:rsid w:val="009A041B"/>
    <w:rsid w:val="009A5352"/>
    <w:rsid w:val="009B400E"/>
    <w:rsid w:val="009B4447"/>
    <w:rsid w:val="009B51C4"/>
    <w:rsid w:val="009B7399"/>
    <w:rsid w:val="009D458C"/>
    <w:rsid w:val="009D4652"/>
    <w:rsid w:val="009D6930"/>
    <w:rsid w:val="009D7279"/>
    <w:rsid w:val="009E1E52"/>
    <w:rsid w:val="009E68FD"/>
    <w:rsid w:val="009E6B11"/>
    <w:rsid w:val="009F2D89"/>
    <w:rsid w:val="009F4679"/>
    <w:rsid w:val="009F59D8"/>
    <w:rsid w:val="009F6092"/>
    <w:rsid w:val="00A019D7"/>
    <w:rsid w:val="00A030B7"/>
    <w:rsid w:val="00A05635"/>
    <w:rsid w:val="00A13A60"/>
    <w:rsid w:val="00A20415"/>
    <w:rsid w:val="00A25D3E"/>
    <w:rsid w:val="00A300B7"/>
    <w:rsid w:val="00A310DC"/>
    <w:rsid w:val="00A341BA"/>
    <w:rsid w:val="00A3617D"/>
    <w:rsid w:val="00A37212"/>
    <w:rsid w:val="00A40315"/>
    <w:rsid w:val="00A47E1A"/>
    <w:rsid w:val="00A54A9D"/>
    <w:rsid w:val="00A57011"/>
    <w:rsid w:val="00A57F89"/>
    <w:rsid w:val="00A61967"/>
    <w:rsid w:val="00A61C4B"/>
    <w:rsid w:val="00A637E6"/>
    <w:rsid w:val="00A650D4"/>
    <w:rsid w:val="00A6696C"/>
    <w:rsid w:val="00A75D00"/>
    <w:rsid w:val="00A77C57"/>
    <w:rsid w:val="00A967D7"/>
    <w:rsid w:val="00A96FBF"/>
    <w:rsid w:val="00A97470"/>
    <w:rsid w:val="00AA397C"/>
    <w:rsid w:val="00AA3C41"/>
    <w:rsid w:val="00AB2F1C"/>
    <w:rsid w:val="00AB7F58"/>
    <w:rsid w:val="00AC0650"/>
    <w:rsid w:val="00AC30A9"/>
    <w:rsid w:val="00AC42A3"/>
    <w:rsid w:val="00AC7BCF"/>
    <w:rsid w:val="00AD0A02"/>
    <w:rsid w:val="00AD1C44"/>
    <w:rsid w:val="00AD2DA6"/>
    <w:rsid w:val="00AD5AE6"/>
    <w:rsid w:val="00AE1F47"/>
    <w:rsid w:val="00AE55B7"/>
    <w:rsid w:val="00AF6290"/>
    <w:rsid w:val="00B048C0"/>
    <w:rsid w:val="00B06539"/>
    <w:rsid w:val="00B06729"/>
    <w:rsid w:val="00B0759F"/>
    <w:rsid w:val="00B1056C"/>
    <w:rsid w:val="00B11CAB"/>
    <w:rsid w:val="00B17112"/>
    <w:rsid w:val="00B26C72"/>
    <w:rsid w:val="00B32E65"/>
    <w:rsid w:val="00B37FBC"/>
    <w:rsid w:val="00B448AC"/>
    <w:rsid w:val="00B525B3"/>
    <w:rsid w:val="00B52BCB"/>
    <w:rsid w:val="00B538BF"/>
    <w:rsid w:val="00B53939"/>
    <w:rsid w:val="00B57F52"/>
    <w:rsid w:val="00B67695"/>
    <w:rsid w:val="00B71EE6"/>
    <w:rsid w:val="00B726B4"/>
    <w:rsid w:val="00B7490A"/>
    <w:rsid w:val="00B85999"/>
    <w:rsid w:val="00B91897"/>
    <w:rsid w:val="00B92BAA"/>
    <w:rsid w:val="00B948CE"/>
    <w:rsid w:val="00B961B2"/>
    <w:rsid w:val="00B96C02"/>
    <w:rsid w:val="00BA17B7"/>
    <w:rsid w:val="00BA203C"/>
    <w:rsid w:val="00BA2215"/>
    <w:rsid w:val="00BA392A"/>
    <w:rsid w:val="00BA50A3"/>
    <w:rsid w:val="00BB0FFA"/>
    <w:rsid w:val="00BB30D9"/>
    <w:rsid w:val="00BB5044"/>
    <w:rsid w:val="00BB6B73"/>
    <w:rsid w:val="00BC0C3C"/>
    <w:rsid w:val="00BC2A97"/>
    <w:rsid w:val="00BD218F"/>
    <w:rsid w:val="00BD225E"/>
    <w:rsid w:val="00BD7448"/>
    <w:rsid w:val="00BE3BAC"/>
    <w:rsid w:val="00BE7616"/>
    <w:rsid w:val="00C00D3C"/>
    <w:rsid w:val="00C023C4"/>
    <w:rsid w:val="00C04CCE"/>
    <w:rsid w:val="00C069A8"/>
    <w:rsid w:val="00C11531"/>
    <w:rsid w:val="00C141DF"/>
    <w:rsid w:val="00C20410"/>
    <w:rsid w:val="00C23E7D"/>
    <w:rsid w:val="00C32016"/>
    <w:rsid w:val="00C36365"/>
    <w:rsid w:val="00C365F3"/>
    <w:rsid w:val="00C37C85"/>
    <w:rsid w:val="00C44476"/>
    <w:rsid w:val="00C44FD4"/>
    <w:rsid w:val="00C4557F"/>
    <w:rsid w:val="00C47246"/>
    <w:rsid w:val="00C56B9B"/>
    <w:rsid w:val="00C70612"/>
    <w:rsid w:val="00C7360D"/>
    <w:rsid w:val="00C74459"/>
    <w:rsid w:val="00C74D31"/>
    <w:rsid w:val="00C776DB"/>
    <w:rsid w:val="00C77D1C"/>
    <w:rsid w:val="00C836BA"/>
    <w:rsid w:val="00C84E57"/>
    <w:rsid w:val="00C86907"/>
    <w:rsid w:val="00C939B5"/>
    <w:rsid w:val="00C93A84"/>
    <w:rsid w:val="00C949BC"/>
    <w:rsid w:val="00CA5473"/>
    <w:rsid w:val="00CB0968"/>
    <w:rsid w:val="00CB3593"/>
    <w:rsid w:val="00CB77BD"/>
    <w:rsid w:val="00CD45D6"/>
    <w:rsid w:val="00CD520E"/>
    <w:rsid w:val="00CE28F0"/>
    <w:rsid w:val="00CE3A4A"/>
    <w:rsid w:val="00CE7464"/>
    <w:rsid w:val="00CF1FC3"/>
    <w:rsid w:val="00CF34C2"/>
    <w:rsid w:val="00CF36F6"/>
    <w:rsid w:val="00CF52F5"/>
    <w:rsid w:val="00CF630C"/>
    <w:rsid w:val="00D06D92"/>
    <w:rsid w:val="00D0795C"/>
    <w:rsid w:val="00D1166B"/>
    <w:rsid w:val="00D37301"/>
    <w:rsid w:val="00D45316"/>
    <w:rsid w:val="00D46D99"/>
    <w:rsid w:val="00D47C2C"/>
    <w:rsid w:val="00D550AF"/>
    <w:rsid w:val="00D5719E"/>
    <w:rsid w:val="00D575F7"/>
    <w:rsid w:val="00D60FAC"/>
    <w:rsid w:val="00D62289"/>
    <w:rsid w:val="00D62C6C"/>
    <w:rsid w:val="00D7236D"/>
    <w:rsid w:val="00D735A7"/>
    <w:rsid w:val="00D85ACF"/>
    <w:rsid w:val="00D86718"/>
    <w:rsid w:val="00D92D8C"/>
    <w:rsid w:val="00D94276"/>
    <w:rsid w:val="00D94377"/>
    <w:rsid w:val="00DA105B"/>
    <w:rsid w:val="00DA4BC3"/>
    <w:rsid w:val="00DB1118"/>
    <w:rsid w:val="00DB18E5"/>
    <w:rsid w:val="00DB1E4C"/>
    <w:rsid w:val="00DB61B8"/>
    <w:rsid w:val="00DB722B"/>
    <w:rsid w:val="00DB75D6"/>
    <w:rsid w:val="00DC0644"/>
    <w:rsid w:val="00DC2492"/>
    <w:rsid w:val="00DC3D6F"/>
    <w:rsid w:val="00DC4DE2"/>
    <w:rsid w:val="00DC4F83"/>
    <w:rsid w:val="00DC5E46"/>
    <w:rsid w:val="00DC7554"/>
    <w:rsid w:val="00DD341F"/>
    <w:rsid w:val="00DD40ED"/>
    <w:rsid w:val="00DD6319"/>
    <w:rsid w:val="00DD6CF1"/>
    <w:rsid w:val="00DE03D2"/>
    <w:rsid w:val="00DE0C5C"/>
    <w:rsid w:val="00DE661B"/>
    <w:rsid w:val="00DE6D51"/>
    <w:rsid w:val="00DF1A4A"/>
    <w:rsid w:val="00E02B40"/>
    <w:rsid w:val="00E11069"/>
    <w:rsid w:val="00E2026D"/>
    <w:rsid w:val="00E21205"/>
    <w:rsid w:val="00E24839"/>
    <w:rsid w:val="00E4612B"/>
    <w:rsid w:val="00E50D30"/>
    <w:rsid w:val="00E52781"/>
    <w:rsid w:val="00E60EDC"/>
    <w:rsid w:val="00E64F59"/>
    <w:rsid w:val="00E6658D"/>
    <w:rsid w:val="00E74D0A"/>
    <w:rsid w:val="00E87EFF"/>
    <w:rsid w:val="00E9000F"/>
    <w:rsid w:val="00E9322E"/>
    <w:rsid w:val="00E974BA"/>
    <w:rsid w:val="00E97BE6"/>
    <w:rsid w:val="00EA1995"/>
    <w:rsid w:val="00EB4E5E"/>
    <w:rsid w:val="00EC0933"/>
    <w:rsid w:val="00EC4054"/>
    <w:rsid w:val="00ED2864"/>
    <w:rsid w:val="00ED398C"/>
    <w:rsid w:val="00EE580C"/>
    <w:rsid w:val="00EE77FC"/>
    <w:rsid w:val="00EF05D2"/>
    <w:rsid w:val="00EF1FB2"/>
    <w:rsid w:val="00F02397"/>
    <w:rsid w:val="00F05EA7"/>
    <w:rsid w:val="00F065A0"/>
    <w:rsid w:val="00F069D4"/>
    <w:rsid w:val="00F12EE3"/>
    <w:rsid w:val="00F1602C"/>
    <w:rsid w:val="00F175D5"/>
    <w:rsid w:val="00F21084"/>
    <w:rsid w:val="00F21DD1"/>
    <w:rsid w:val="00F35F82"/>
    <w:rsid w:val="00F44795"/>
    <w:rsid w:val="00F50D2D"/>
    <w:rsid w:val="00F52347"/>
    <w:rsid w:val="00F55F1C"/>
    <w:rsid w:val="00F56FC4"/>
    <w:rsid w:val="00F70319"/>
    <w:rsid w:val="00F70DF1"/>
    <w:rsid w:val="00F70F30"/>
    <w:rsid w:val="00F72D1C"/>
    <w:rsid w:val="00F77606"/>
    <w:rsid w:val="00F9128E"/>
    <w:rsid w:val="00F94FC4"/>
    <w:rsid w:val="00F97D3A"/>
    <w:rsid w:val="00FA3B83"/>
    <w:rsid w:val="00FA5CD0"/>
    <w:rsid w:val="00FB383B"/>
    <w:rsid w:val="00FB4495"/>
    <w:rsid w:val="00FC1105"/>
    <w:rsid w:val="00FC1F32"/>
    <w:rsid w:val="00FC7A5F"/>
    <w:rsid w:val="00FD0551"/>
    <w:rsid w:val="00FD107F"/>
    <w:rsid w:val="00FD3353"/>
    <w:rsid w:val="00FD6D21"/>
    <w:rsid w:val="00FE55E5"/>
    <w:rsid w:val="00FE6929"/>
    <w:rsid w:val="00FF13E7"/>
    <w:rsid w:val="00FF2283"/>
    <w:rsid w:val="00FF5F38"/>
    <w:rsid w:val="06671992"/>
    <w:rsid w:val="0CE8796D"/>
    <w:rsid w:val="13D92AD7"/>
    <w:rsid w:val="1DD7559C"/>
    <w:rsid w:val="240E3BE3"/>
    <w:rsid w:val="24B823FD"/>
    <w:rsid w:val="2B27060A"/>
    <w:rsid w:val="2DC12474"/>
    <w:rsid w:val="2EC97183"/>
    <w:rsid w:val="317954E0"/>
    <w:rsid w:val="31CD2FAD"/>
    <w:rsid w:val="38A071FD"/>
    <w:rsid w:val="410656BF"/>
    <w:rsid w:val="48922E99"/>
    <w:rsid w:val="4BCC27B3"/>
    <w:rsid w:val="4EAE39E9"/>
    <w:rsid w:val="5274616E"/>
    <w:rsid w:val="56D66158"/>
    <w:rsid w:val="5FE84D51"/>
    <w:rsid w:val="63190033"/>
    <w:rsid w:val="68CA77A4"/>
    <w:rsid w:val="69FD356C"/>
    <w:rsid w:val="6DA46816"/>
    <w:rsid w:val="76E2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46C45-9657-4081-B5B5-E575004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
    <w:name w:val="批注框文本 Char"/>
    <w:basedOn w:val="a0"/>
    <w:link w:val="a3"/>
    <w:uiPriority w:val="99"/>
    <w:semiHidden/>
    <w:qFormat/>
    <w:rPr>
      <w:rFonts w:ascii="Times New Roman" w:eastAsia="宋体" w:hAnsi="Times New Roman"/>
      <w:sz w:val="18"/>
      <w:szCs w:val="18"/>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paragraph" w:styleId="a9">
    <w:name w:val="List Paragraph"/>
    <w:basedOn w:val="a"/>
    <w:uiPriority w:val="34"/>
    <w:qFormat/>
    <w:pPr>
      <w:ind w:firstLineChars="200" w:firstLine="420"/>
    </w:pPr>
    <w:rPr>
      <w:rFonts w:asciiTheme="minorHAnsi" w:eastAsiaTheme="minorEastAsia" w:hAnsiTheme="minorHAnsi"/>
      <w:sz w:val="21"/>
    </w:rPr>
  </w:style>
  <w:style w:type="character" w:customStyle="1" w:styleId="insert-data">
    <w:name w:val="insert-data"/>
    <w:basedOn w:val="a0"/>
    <w:qFormat/>
  </w:style>
  <w:style w:type="paragraph" w:styleId="aa">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1">
    <w:name w:val="修订1"/>
    <w:hidden/>
    <w:uiPriority w:val="99"/>
    <w:semiHidden/>
    <w:qFormat/>
    <w:rPr>
      <w:rFonts w:cstheme="minorBidi"/>
      <w:kern w:val="2"/>
      <w:sz w:val="24"/>
      <w:szCs w:val="22"/>
    </w:rPr>
  </w:style>
  <w:style w:type="paragraph" w:customStyle="1" w:styleId="2">
    <w:name w:val="修订2"/>
    <w:hidden/>
    <w:uiPriority w:val="99"/>
    <w:semiHidden/>
    <w:qFormat/>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A244-D7A0-4F6E-947E-5095F155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345</Words>
  <Characters>1967</Characters>
  <Application>Microsoft Office Word</Application>
  <DocSecurity>0</DocSecurity>
  <Lines>16</Lines>
  <Paragraphs>4</Paragraphs>
  <ScaleCrop>false</ScaleCrop>
  <Company>P R C</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95</cp:revision>
  <dcterms:created xsi:type="dcterms:W3CDTF">2024-05-11T08:56:00Z</dcterms:created>
  <dcterms:modified xsi:type="dcterms:W3CDTF">2025-03-18T07:25:00Z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963EE434D45A490388E826F19BD41714_13</vt:lpwstr>
  </property>
  <property fmtid="{D5CDD505-2E9C-101B-9397-08002B2CF9AE}" pid="4" name="KSOTemplateDocerSaveRecord">
    <vt:lpwstr>eyJoZGlkIjoiMDU1NWFlMDEyZWY1YzZmMjQ5Njg3MTFmMTY5MDA4NjYiLCJ1c2VySWQiOiI0MjY0MTI2MDgifQ==</vt:lpwstr>
  </property>
</Properties>
</file>