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494F5">
      <w:pPr>
        <w:spacing w:before="156" w:beforeLines="50" w:after="156" w:afterLines="50" w:line="400" w:lineRule="exact"/>
        <w:rPr>
          <w:rFonts w:hint="eastAsia"/>
          <w:bCs/>
          <w:iCs/>
          <w:color w:val="000000"/>
          <w:sz w:val="24"/>
        </w:rPr>
      </w:pPr>
      <w:r>
        <w:rPr>
          <w:rFonts w:hAnsi="宋体"/>
          <w:bCs/>
          <w:iCs/>
          <w:color w:val="000000"/>
          <w:sz w:val="24"/>
        </w:rPr>
        <w:t>证券代码：</w:t>
      </w:r>
      <w:r>
        <w:rPr>
          <w:color w:val="000000"/>
          <w:sz w:val="24"/>
        </w:rPr>
        <w:t xml:space="preserve">688707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振华新材</w:t>
      </w:r>
    </w:p>
    <w:p w14:paraId="6383528C">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贵州振华新材料股份有限公司</w:t>
      </w:r>
    </w:p>
    <w:p w14:paraId="4B1403E3">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79969967">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0BAC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0F736423">
            <w:pPr>
              <w:spacing w:line="420" w:lineRule="exact"/>
              <w:rPr>
                <w:bCs/>
                <w:iCs/>
                <w:color w:val="000000"/>
                <w:kern w:val="0"/>
                <w:sz w:val="24"/>
              </w:rPr>
            </w:pPr>
            <w:r>
              <w:rPr>
                <w:rFonts w:hAnsi="宋体"/>
                <w:bCs/>
                <w:iCs/>
                <w:color w:val="000000"/>
                <w:kern w:val="0"/>
                <w:sz w:val="24"/>
              </w:rPr>
              <w:t>投资者关系活动类别</w:t>
            </w:r>
          </w:p>
          <w:p w14:paraId="2BE85FE1">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7A6B1660">
            <w:pPr>
              <w:spacing w:line="420" w:lineRule="exact"/>
              <w:rPr>
                <w:bCs/>
                <w:iCs/>
                <w:color w:val="000000"/>
                <w:sz w:val="24"/>
              </w:rPr>
            </w:pPr>
            <w:r>
              <w:rPr>
                <w:rFonts w:hint="eastAsia"/>
                <w:bCs/>
                <w:iCs/>
                <w:color w:val="000000"/>
                <w:kern w:val="0"/>
                <w:sz w:val="24"/>
                <w:lang w:eastAsia="zh-CN"/>
              </w:rPr>
              <w:t>☑</w:t>
            </w:r>
            <w:r>
              <w:rPr>
                <w:rFonts w:hint="eastAsia"/>
                <w:bCs/>
                <w:iCs/>
                <w:color w:val="000000"/>
                <w:kern w:val="0"/>
                <w:sz w:val="24"/>
                <w:lang w:val="en-US" w:eastAsia="zh-CN"/>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5BD5076F">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kern w:val="0"/>
                <w:sz w:val="24"/>
                <w:lang w:val="en-US" w:eastAsia="zh-CN"/>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5C9A77D9">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kern w:val="0"/>
                <w:sz w:val="24"/>
                <w:lang w:val="en-US" w:eastAsia="zh-CN"/>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551DE6F">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099A5341">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5415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D4F2C86">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76570C01">
            <w:pPr>
              <w:spacing w:line="420" w:lineRule="exact"/>
              <w:rPr>
                <w:rFonts w:hint="default"/>
                <w:bCs/>
                <w:iCs/>
                <w:color w:val="000000"/>
                <w:sz w:val="24"/>
                <w:lang w:val="en-US"/>
              </w:rPr>
            </w:pPr>
            <w:r>
              <w:rPr>
                <w:rFonts w:hint="eastAsia"/>
                <w:sz w:val="24"/>
                <w:lang w:val="en-US" w:eastAsia="zh-CN"/>
              </w:rPr>
              <w:t>兴证电新 李峰</w:t>
            </w:r>
          </w:p>
        </w:tc>
      </w:tr>
      <w:tr w14:paraId="44C1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2530ABBD">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2C169320">
            <w:pPr>
              <w:spacing w:line="420" w:lineRule="exact"/>
              <w:rPr>
                <w:bCs/>
                <w:iCs/>
                <w:color w:val="000000"/>
                <w:sz w:val="24"/>
              </w:rPr>
            </w:pPr>
            <w:r>
              <w:rPr>
                <w:rFonts w:hint="eastAsia"/>
                <w:sz w:val="24"/>
              </w:rPr>
              <w:t>202</w:t>
            </w:r>
            <w:r>
              <w:rPr>
                <w:rFonts w:hint="eastAsia"/>
                <w:sz w:val="24"/>
                <w:lang w:val="en-US" w:eastAsia="zh-CN"/>
              </w:rPr>
              <w:t>5</w:t>
            </w:r>
            <w:r>
              <w:rPr>
                <w:rFonts w:hint="eastAsia"/>
                <w:sz w:val="24"/>
              </w:rPr>
              <w:t>年</w:t>
            </w:r>
            <w:r>
              <w:rPr>
                <w:rFonts w:hint="eastAsia"/>
                <w:sz w:val="24"/>
                <w:lang w:val="en-US" w:eastAsia="zh-CN"/>
              </w:rPr>
              <w:t>3</w:t>
            </w:r>
            <w:r>
              <w:rPr>
                <w:rFonts w:hint="eastAsia"/>
                <w:sz w:val="24"/>
              </w:rPr>
              <w:t>月</w:t>
            </w:r>
            <w:r>
              <w:rPr>
                <w:rFonts w:hint="eastAsia"/>
                <w:sz w:val="24"/>
                <w:lang w:val="en-US" w:eastAsia="zh-CN"/>
              </w:rPr>
              <w:t>19日</w:t>
            </w:r>
          </w:p>
        </w:tc>
      </w:tr>
      <w:tr w14:paraId="27C1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43E0316F">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E5167FA">
            <w:pPr>
              <w:spacing w:line="420" w:lineRule="exact"/>
              <w:rPr>
                <w:rFonts w:hint="default"/>
                <w:bCs/>
                <w:iCs/>
                <w:color w:val="000000"/>
                <w:sz w:val="24"/>
                <w:lang w:val="en-US"/>
              </w:rPr>
            </w:pPr>
            <w:r>
              <w:rPr>
                <w:rFonts w:hint="eastAsia" w:asciiTheme="minorEastAsia" w:hAnsiTheme="minorEastAsia" w:cstheme="minorEastAsia"/>
                <w:sz w:val="24"/>
                <w:szCs w:val="24"/>
                <w:lang w:val="en-US" w:eastAsia="zh-CN"/>
              </w:rPr>
              <w:t>贵阳公司 董事会办公室</w:t>
            </w:r>
          </w:p>
        </w:tc>
      </w:tr>
      <w:tr w14:paraId="75F6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5AAAF38">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175D5E23">
            <w:pPr>
              <w:rPr>
                <w:rFonts w:hint="default" w:ascii="宋体" w:hAnsi="宋体"/>
                <w:bCs/>
                <w:sz w:val="24"/>
              </w:rPr>
            </w:pPr>
            <w:r>
              <w:rPr>
                <w:rFonts w:hint="eastAsia" w:ascii="Times New Roman" w:hAnsi="Times New Roman" w:cs="Times New Roman"/>
                <w:sz w:val="24"/>
                <w:lang w:val="en-US" w:eastAsia="zh-CN"/>
              </w:rPr>
              <w:t>王敬     副总经理/董事会秘书</w:t>
            </w:r>
          </w:p>
        </w:tc>
      </w:tr>
      <w:tr w14:paraId="496C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889A820">
            <w:pPr>
              <w:spacing w:line="420" w:lineRule="exact"/>
              <w:rPr>
                <w:bCs/>
                <w:iCs/>
                <w:color w:val="000000"/>
                <w:kern w:val="0"/>
                <w:sz w:val="24"/>
              </w:rPr>
            </w:pPr>
            <w:r>
              <w:rPr>
                <w:rFonts w:hAnsi="宋体"/>
                <w:bCs/>
                <w:iCs/>
                <w:color w:val="000000"/>
                <w:kern w:val="0"/>
                <w:sz w:val="24"/>
              </w:rPr>
              <w:t>投资者关系活动主要内容介绍</w:t>
            </w:r>
          </w:p>
          <w:p w14:paraId="08C9E7C0">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144A79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bidi="ar"/>
              </w:rPr>
            </w:pPr>
            <w:r>
              <w:rPr>
                <w:rFonts w:hint="eastAsia" w:ascii="宋体" w:hAnsi="宋体" w:eastAsia="宋体" w:cs="宋体"/>
                <w:b/>
                <w:bCs/>
                <w:color w:val="000000"/>
                <w:kern w:val="0"/>
                <w:sz w:val="24"/>
                <w:lang w:val="en-US" w:eastAsia="zh-CN" w:bidi="ar"/>
              </w:rPr>
              <w:t>问题1：</w:t>
            </w:r>
            <w:r>
              <w:rPr>
                <w:rFonts w:hint="eastAsia" w:ascii="宋体" w:hAnsi="宋体" w:cs="宋体"/>
                <w:b/>
                <w:bCs/>
                <w:color w:val="000000"/>
                <w:kern w:val="0"/>
                <w:sz w:val="24"/>
                <w:lang w:val="en-US" w:eastAsia="zh-CN" w:bidi="ar"/>
              </w:rPr>
              <w:t>简单介绍公司2024年业绩亏损的原因及2025年改善措施？</w:t>
            </w:r>
          </w:p>
          <w:p w14:paraId="07D64AD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sz w:val="24"/>
              </w:rPr>
            </w:pPr>
            <w:r>
              <w:rPr>
                <w:rFonts w:hint="default" w:ascii="宋体" w:hAnsi="宋体" w:eastAsia="宋体" w:cs="宋体"/>
                <w:color w:val="000000"/>
                <w:kern w:val="0"/>
                <w:sz w:val="24"/>
                <w:lang w:val="en-US" w:bidi="ar"/>
              </w:rPr>
              <w:t>答：</w:t>
            </w:r>
            <w:r>
              <w:rPr>
                <w:rFonts w:hint="eastAsia" w:ascii="Times New Roman" w:hAnsi="Times New Roman" w:cs="Times New Roman"/>
                <w:sz w:val="24"/>
              </w:rPr>
              <w:t>2024年公司主要产品销量和收入同比大幅下滑</w:t>
            </w:r>
            <w:r>
              <w:rPr>
                <w:rFonts w:hint="eastAsia" w:cs="Times New Roman"/>
                <w:sz w:val="24"/>
                <w:lang w:eastAsia="zh-CN"/>
              </w:rPr>
              <w:t>，</w:t>
            </w:r>
            <w:r>
              <w:rPr>
                <w:rFonts w:hint="eastAsia" w:cs="Times New Roman"/>
                <w:sz w:val="24"/>
                <w:lang w:val="en-US" w:eastAsia="zh-CN"/>
              </w:rPr>
              <w:t>出现亏损</w:t>
            </w:r>
            <w:r>
              <w:rPr>
                <w:rFonts w:hint="eastAsia" w:ascii="Times New Roman" w:hAnsi="Times New Roman" w:cs="Times New Roman"/>
                <w:sz w:val="24"/>
              </w:rPr>
              <w:t>，主要是三元正极材料出现“量价齐跌”的情况。</w:t>
            </w:r>
          </w:p>
          <w:p w14:paraId="39CA6E2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lang w:val="en-US" w:eastAsia="zh-CN" w:bidi="ar"/>
              </w:rPr>
            </w:pPr>
            <w:r>
              <w:rPr>
                <w:rFonts w:hint="eastAsia" w:ascii="Times New Roman" w:hAnsi="Times New Roman" w:cs="Times New Roman"/>
                <w:sz w:val="24"/>
                <w:lang w:val="en-US" w:eastAsia="zh-CN"/>
              </w:rPr>
              <w:t>销量方面，</w:t>
            </w:r>
            <w:r>
              <w:rPr>
                <w:rFonts w:hint="eastAsia" w:ascii="宋体" w:hAnsi="宋体" w:cs="宋体"/>
                <w:color w:val="000000"/>
                <w:kern w:val="0"/>
                <w:sz w:val="24"/>
                <w:lang w:val="en-US" w:eastAsia="zh-CN" w:bidi="ar"/>
              </w:rPr>
              <w:t>受宏观环境、市场结构和需求影响，2024年度公司产品销量出现明显下滑，产能利用率较低，导致成本和停工损失增加。</w:t>
            </w:r>
          </w:p>
          <w:p w14:paraId="546B7E3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售价方面，</w:t>
            </w:r>
            <w:r>
              <w:rPr>
                <w:rFonts w:hint="eastAsia" w:ascii="宋体" w:hAnsi="宋体" w:cs="宋体"/>
                <w:color w:val="000000"/>
                <w:kern w:val="0"/>
                <w:sz w:val="24"/>
                <w:lang w:bidi="ar"/>
              </w:rPr>
              <w:t>由于碳酸锂等原材料价格下降，公司产品价格相应调整，导致营业收入同比下降</w:t>
            </w:r>
            <w:r>
              <w:rPr>
                <w:rFonts w:hint="eastAsia" w:ascii="宋体" w:hAnsi="宋体" w:cs="宋体"/>
                <w:color w:val="000000"/>
                <w:kern w:val="0"/>
                <w:sz w:val="24"/>
                <w:lang w:eastAsia="zh-CN" w:bidi="ar"/>
              </w:rPr>
              <w:t>。</w:t>
            </w:r>
          </w:p>
          <w:p w14:paraId="2E84E84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改善措施：2025年，公司重点加快推进完成6系三元材料在主要客户需求计划的同时，在钠电、磷酸锰铁锂方面加速推进产业化，紧密围绕固态电池、低空经济等领域所需材料加大研发力度，持续降本，生产高附加值产品，提升公司的核心竞争力。</w:t>
            </w:r>
          </w:p>
          <w:p w14:paraId="3E9AC91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000000"/>
                <w:kern w:val="0"/>
                <w:sz w:val="24"/>
                <w:lang w:val="en-US" w:eastAsia="zh-CN" w:bidi="ar"/>
              </w:rPr>
            </w:pPr>
          </w:p>
          <w:p w14:paraId="4F5005D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2</w:t>
            </w:r>
            <w:r>
              <w:rPr>
                <w:rFonts w:hint="eastAsia" w:ascii="宋体" w:hAnsi="宋体" w:eastAsia="宋体" w:cs="宋体"/>
                <w:b/>
                <w:bCs/>
                <w:color w:val="000000"/>
                <w:kern w:val="0"/>
                <w:sz w:val="24"/>
                <w:lang w:val="en-US" w:eastAsia="zh-CN" w:bidi="ar"/>
              </w:rPr>
              <w:t>：请问如何看待三元材料明年市场需求情况</w:t>
            </w:r>
            <w:r>
              <w:rPr>
                <w:rFonts w:hint="eastAsia" w:ascii="宋体" w:hAnsi="宋体" w:cs="宋体"/>
                <w:b/>
                <w:bCs/>
                <w:color w:val="000000"/>
                <w:kern w:val="0"/>
                <w:sz w:val="24"/>
                <w:lang w:val="en-US" w:eastAsia="zh-CN" w:bidi="ar"/>
              </w:rPr>
              <w:t>？</w:t>
            </w:r>
          </w:p>
          <w:p w14:paraId="5D98B8D9">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kern w:val="0"/>
                <w:sz w:val="24"/>
                <w:lang w:eastAsia="zh-CN" w:bidi="ar"/>
              </w:rPr>
            </w:pPr>
            <w:r>
              <w:rPr>
                <w:rFonts w:hint="eastAsia" w:ascii="宋体" w:hAnsi="宋体" w:eastAsia="宋体" w:cs="宋体"/>
                <w:b w:val="0"/>
                <w:bCs w:val="0"/>
                <w:color w:val="000000"/>
                <w:kern w:val="0"/>
                <w:sz w:val="24"/>
                <w:lang w:val="en-US" w:eastAsia="zh-CN" w:bidi="ar"/>
              </w:rPr>
              <w:t>答：结合应用场景来看，在车端，大增程电池，其纯电续航提升至400公里以上，基本可覆盖日常出行，同时辅以油箱缓解里程焦虑。目前众多车企纷纷推出搭载大电池的增程式车型或计划加大增程式车型的研发投入。基于能量密度和循环要求，大增程电池目前主要使用三元电池。此外，从固态电池、低空等高能量密度应用场景来看，也有利于三元材料</w:t>
            </w:r>
            <w:bookmarkStart w:id="0" w:name="_GoBack"/>
            <w:bookmarkEnd w:id="0"/>
            <w:r>
              <w:rPr>
                <w:rFonts w:hint="eastAsia" w:ascii="宋体" w:hAnsi="宋体" w:eastAsia="宋体" w:cs="宋体"/>
                <w:color w:val="000000"/>
                <w:kern w:val="0"/>
                <w:sz w:val="24"/>
                <w:lang w:eastAsia="zh-CN" w:bidi="ar"/>
              </w:rPr>
              <w:t>。</w:t>
            </w:r>
          </w:p>
          <w:p w14:paraId="6513C3C2">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000000"/>
                <w:kern w:val="0"/>
                <w:sz w:val="24"/>
                <w:lang w:val="en-US" w:eastAsia="zh-CN" w:bidi="ar"/>
              </w:rPr>
            </w:pPr>
          </w:p>
          <w:p w14:paraId="449CB6D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3</w:t>
            </w:r>
            <w:r>
              <w:rPr>
                <w:rFonts w:hint="eastAsia" w:ascii="宋体" w:hAnsi="宋体" w:eastAsia="宋体" w:cs="宋体"/>
                <w:b/>
                <w:bCs/>
                <w:color w:val="000000"/>
                <w:kern w:val="0"/>
                <w:sz w:val="24"/>
                <w:lang w:val="en-US" w:eastAsia="zh-CN" w:bidi="ar"/>
              </w:rPr>
              <w:t>：请问公司目前</w:t>
            </w:r>
            <w:r>
              <w:rPr>
                <w:rFonts w:hint="eastAsia" w:ascii="宋体" w:hAnsi="宋体" w:cs="宋体"/>
                <w:b/>
                <w:bCs/>
                <w:color w:val="000000"/>
                <w:kern w:val="0"/>
                <w:sz w:val="24"/>
                <w:lang w:val="en-US" w:eastAsia="zh-CN" w:bidi="ar"/>
              </w:rPr>
              <w:t>产品研发及市场推广情况</w:t>
            </w:r>
            <w:r>
              <w:rPr>
                <w:rFonts w:hint="default" w:ascii="宋体" w:hAnsi="宋体" w:eastAsia="宋体" w:cs="宋体"/>
                <w:b/>
                <w:bCs/>
                <w:color w:val="000000"/>
                <w:kern w:val="0"/>
                <w:sz w:val="24"/>
                <w:lang w:val="en-US" w:eastAsia="zh-CN" w:bidi="ar"/>
              </w:rPr>
              <w:t>？</w:t>
            </w:r>
          </w:p>
          <w:p w14:paraId="3319636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default" w:ascii="宋体" w:hAnsi="宋体" w:eastAsia="宋体" w:cs="宋体"/>
                <w:color w:val="000000"/>
                <w:kern w:val="0"/>
                <w:sz w:val="24"/>
                <w:lang w:val="en-US" w:eastAsia="zh-CN" w:bidi="ar"/>
              </w:rPr>
              <w:t>答：</w:t>
            </w:r>
            <w:r>
              <w:rPr>
                <w:rFonts w:hint="eastAsia" w:ascii="宋体" w:hAnsi="宋体" w:eastAsia="宋体" w:cs="宋体"/>
                <w:color w:val="000000"/>
                <w:kern w:val="0"/>
                <w:sz w:val="24"/>
                <w:lang w:val="en-US" w:eastAsia="zh-CN" w:bidi="ar"/>
              </w:rPr>
              <w:t xml:space="preserve">三元材料方面：公司的新一代6系高电压快充三元材料进展顺利，已经在部分客户批量供货。公司利用固体电解质改性三元材料，电化学性能和安全性能得到明显改善，根据客户要求进行定制化开发设计，其中适用该体系的超高镍9系已实现百吨级出货。针对固态电池体系的超大单晶高镍正极材料，根据客户要求进行的定制化样品制备，目前已成功送样。 </w:t>
            </w:r>
          </w:p>
          <w:p w14:paraId="0878199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钠电材料方面：公司层状氧化物体系产品性能提升及市场推广进展顺利</w:t>
            </w:r>
            <w:r>
              <w:rPr>
                <w:rFonts w:hint="eastAsia" w:ascii="宋体" w:hAnsi="宋体" w:cs="宋体"/>
                <w:color w:val="000000"/>
                <w:kern w:val="0"/>
                <w:sz w:val="24"/>
                <w:lang w:val="en-US" w:eastAsia="zh-CN" w:bidi="ar"/>
              </w:rPr>
              <w:t>，</w:t>
            </w:r>
            <w:r>
              <w:rPr>
                <w:rFonts w:hint="eastAsia" w:ascii="宋体" w:hAnsi="宋体" w:eastAsia="宋体" w:cs="宋体"/>
                <w:color w:val="000000"/>
                <w:kern w:val="0"/>
                <w:sz w:val="24"/>
                <w:lang w:val="en-US" w:eastAsia="zh-CN" w:bidi="ar"/>
              </w:rPr>
              <w:t>聚阴离子体系产业化进程加速</w:t>
            </w:r>
            <w:r>
              <w:rPr>
                <w:rFonts w:hint="eastAsia" w:ascii="宋体" w:hAnsi="宋体" w:cs="宋体"/>
                <w:color w:val="000000"/>
                <w:kern w:val="0"/>
                <w:sz w:val="24"/>
                <w:lang w:val="en-US" w:eastAsia="zh-CN" w:bidi="ar"/>
              </w:rPr>
              <w:t>。</w:t>
            </w:r>
          </w:p>
          <w:p w14:paraId="77A53CE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针对半固态/凝聚态/固态电池等高能量密度的应用场景，已跟多家头部客户深入合作，根据客户需求进行材料定制开发。公司自主研发的固体电解质氧化物具有粒径小（纳米级）、空气稳定性好、离子电导率高、分散性好的特点。</w:t>
            </w:r>
          </w:p>
          <w:p w14:paraId="4657AE7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同时，为满足不同固态电池应用要求，公司的富锂锰基正极材料开发了多晶及不同尺寸的单晶正极材料，材料的结构稳定性好，首效高，容量高，已实现吨级批量生产。</w:t>
            </w:r>
          </w:p>
          <w:p w14:paraId="7D8D49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针对低空经济领域，公司开发了适用于不同应用场景的高能量密度、高功率、长循环和安全可靠的正极材料，目前已实现百吨级生产销售。</w:t>
            </w:r>
          </w:p>
          <w:p w14:paraId="2B8103B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 xml:space="preserve">公司的磷酸锰铁锂正极材料已完成中试验证。 </w:t>
            </w:r>
          </w:p>
          <w:p w14:paraId="24904E6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p>
        </w:tc>
      </w:tr>
      <w:tr w14:paraId="4C6B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50F06E62">
            <w:pPr>
              <w:spacing w:line="420" w:lineRule="exact"/>
              <w:rPr>
                <w:rFonts w:hint="default" w:eastAsia="宋体"/>
                <w:bCs/>
                <w:iCs/>
                <w:color w:val="000000"/>
                <w:sz w:val="24"/>
                <w:lang w:val="en-US" w:eastAsia="zh-CN"/>
              </w:rPr>
            </w:pPr>
            <w:r>
              <w:rPr>
                <w:rFonts w:hint="eastAsia"/>
                <w:b/>
                <w:bCs w:val="0"/>
                <w:iCs/>
                <w:color w:val="000000"/>
                <w:sz w:val="24"/>
                <w:lang w:val="en-US" w:eastAsia="zh-CN"/>
              </w:rPr>
              <w:t>风险提示</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00B19CD1">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000000"/>
                <w:kern w:val="0"/>
                <w:sz w:val="24"/>
                <w:lang w:val="en-US" w:eastAsia="zh-CN" w:bidi="ar"/>
              </w:rPr>
            </w:pPr>
            <w:r>
              <w:rPr>
                <w:rFonts w:hint="eastAsia" w:ascii="宋体" w:hAnsi="宋体" w:cs="宋体"/>
                <w:b/>
                <w:bCs/>
                <w:color w:val="000000"/>
                <w:kern w:val="0"/>
                <w:sz w:val="24"/>
                <w:lang w:bidi="ar"/>
              </w:rPr>
              <w:t>以上如涉及对行业的预测、公司发展战略规划等相关内容，不能视作公司或公司管理层对行业、公司发展的承诺和保证；敬请广大投资者注意投资风险。</w:t>
            </w:r>
          </w:p>
        </w:tc>
      </w:tr>
    </w:tbl>
    <w:p w14:paraId="71541582"/>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B7326">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YmEyMmNhYmVhNGY3YTJjYTNmMzc5MDAzMmViMmQ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1712F7B"/>
    <w:rsid w:val="025937EB"/>
    <w:rsid w:val="02990EAA"/>
    <w:rsid w:val="049C787F"/>
    <w:rsid w:val="097C1CE0"/>
    <w:rsid w:val="101C61BF"/>
    <w:rsid w:val="1B2418A5"/>
    <w:rsid w:val="1D667883"/>
    <w:rsid w:val="1FBFC074"/>
    <w:rsid w:val="2CB06261"/>
    <w:rsid w:val="2E5C3FC8"/>
    <w:rsid w:val="36FB9E1F"/>
    <w:rsid w:val="3B96528D"/>
    <w:rsid w:val="3BFA3B96"/>
    <w:rsid w:val="3CEF3472"/>
    <w:rsid w:val="3EFF16E9"/>
    <w:rsid w:val="4336674E"/>
    <w:rsid w:val="55D02E88"/>
    <w:rsid w:val="56A80582"/>
    <w:rsid w:val="68056587"/>
    <w:rsid w:val="69F60125"/>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2"/>
    <w:autoRedefine/>
    <w:qFormat/>
    <w:uiPriority w:val="0"/>
    <w:pPr>
      <w:tabs>
        <w:tab w:val="center" w:pos="4153"/>
        <w:tab w:val="right" w:pos="8306"/>
      </w:tabs>
      <w:snapToGrid w:val="0"/>
      <w:jc w:val="left"/>
    </w:pPr>
    <w:rPr>
      <w:sz w:val="18"/>
      <w:szCs w:val="18"/>
    </w:rPr>
  </w:style>
  <w:style w:type="paragraph" w:styleId="3">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6"/>
    <w:basedOn w:val="1"/>
    <w:autoRedefine/>
    <w:qFormat/>
    <w:uiPriority w:val="34"/>
    <w:pPr>
      <w:ind w:firstLine="420" w:firstLineChars="200"/>
    </w:pPr>
    <w:rPr>
      <w:rFonts w:ascii="Calibri" w:hAnsi="Calibri" w:eastAsia="宋体" w:cs="Times New Roman"/>
      <w:szCs w:val="22"/>
    </w:rPr>
  </w:style>
  <w:style w:type="paragraph" w:customStyle="1" w:styleId="9">
    <w:name w:val="Char Char Char"/>
    <w:basedOn w:val="1"/>
    <w:autoRedefine/>
    <w:qFormat/>
    <w:uiPriority w:val="0"/>
    <w:rPr>
      <w:szCs w:val="21"/>
    </w:rPr>
  </w:style>
  <w:style w:type="paragraph" w:customStyle="1" w:styleId="10">
    <w:name w:val="Char Char Char Char Char Char Char Char Char Char Char Char Char Char Char Char"/>
    <w:basedOn w:val="1"/>
    <w:autoRedefine/>
    <w:qFormat/>
    <w:uiPriority w:val="0"/>
  </w:style>
  <w:style w:type="paragraph" w:customStyle="1" w:styleId="11">
    <w:name w:val=" Char Char Char"/>
    <w:basedOn w:val="1"/>
    <w:autoRedefine/>
    <w:qFormat/>
    <w:uiPriority w:val="0"/>
  </w:style>
  <w:style w:type="character" w:customStyle="1" w:styleId="12">
    <w:name w:val="页脚 Char"/>
    <w:basedOn w:val="7"/>
    <w:link w:val="2"/>
    <w:autoRedefine/>
    <w:qFormat/>
    <w:uiPriority w:val="0"/>
    <w:rPr>
      <w:kern w:val="2"/>
      <w:sz w:val="18"/>
      <w:szCs w:val="18"/>
    </w:rPr>
  </w:style>
  <w:style w:type="character" w:customStyle="1" w:styleId="13">
    <w:name w:val="页眉 Char"/>
    <w:basedOn w:val="7"/>
    <w:link w:val="3"/>
    <w:autoRedefine/>
    <w:qFormat/>
    <w:uiPriority w:val="0"/>
    <w:rPr>
      <w:kern w:val="2"/>
      <w:sz w:val="18"/>
      <w:szCs w:val="18"/>
    </w:rPr>
  </w:style>
  <w:style w:type="table" w:customStyle="1" w:styleId="14">
    <w:name w:val="TableGrid"/>
    <w:autoRedefine/>
    <w:qFormat/>
    <w:uiPriority w:val="0"/>
    <w:tblPr>
      <w:tblCellMar>
        <w:top w:w="0" w:type="dxa"/>
        <w:left w:w="0" w:type="dxa"/>
        <w:bottom w:w="0" w:type="dxa"/>
        <w:right w:w="0" w:type="dxa"/>
      </w:tblCellMar>
    </w:tblPr>
  </w:style>
  <w:style w:type="character" w:customStyle="1" w:styleId="15">
    <w:name w:val="font1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1214</Words>
  <Characters>1240</Characters>
  <Lines>60</Lines>
  <Paragraphs>17</Paragraphs>
  <TotalTime>1</TotalTime>
  <ScaleCrop>false</ScaleCrop>
  <LinksUpToDate>false</LinksUpToDate>
  <CharactersWithSpaces>1379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刘晨</cp:lastModifiedBy>
  <cp:lastPrinted>2014-02-21T05:34:00Z</cp:lastPrinted>
  <dcterms:modified xsi:type="dcterms:W3CDTF">2025-03-20T09:17:12Z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2230DA8D4E8545539BE331BF73678F05_13</vt:lpwstr>
  </property>
  <property fmtid="{D5CDD505-2E9C-101B-9397-08002B2CF9AE}" pid="4" name="KSOTemplateDocerSaveRecord">
    <vt:lpwstr>eyJoZGlkIjoiZWYzMDYyNzdhZmYzYzgwZGE1MWM3ZmMwZTkyOGZhOTciLCJ1c2VySWQiOiIzNzUwMzQ4OTYifQ==</vt:lpwstr>
  </property>
</Properties>
</file>