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2F786" w14:textId="77777777" w:rsidR="00DD0775" w:rsidRDefault="00FE3EF3">
      <w:pPr>
        <w:adjustRightInd w:val="0"/>
        <w:snapToGrid w:val="0"/>
        <w:spacing w:line="600" w:lineRule="exact"/>
        <w:jc w:val="center"/>
        <w:rPr>
          <w:rFonts w:ascii="宋体" w:eastAsia="宋体" w:hAnsi="宋体" w:cs="Arial"/>
          <w:bCs/>
          <w:sz w:val="28"/>
          <w:szCs w:val="28"/>
        </w:rPr>
      </w:pPr>
      <w:bookmarkStart w:id="0" w:name="_Hlk61459020"/>
      <w:r>
        <w:rPr>
          <w:rFonts w:ascii="宋体" w:eastAsia="宋体" w:hAnsi="宋体" w:cs="Arial"/>
          <w:bCs/>
          <w:sz w:val="28"/>
          <w:szCs w:val="28"/>
        </w:rPr>
        <w:t>证券</w:t>
      </w:r>
      <w:r>
        <w:rPr>
          <w:rFonts w:ascii="宋体" w:eastAsia="宋体" w:hAnsi="宋体" w:cs="Arial" w:hint="eastAsia"/>
          <w:bCs/>
          <w:sz w:val="28"/>
          <w:szCs w:val="28"/>
        </w:rPr>
        <w:t>代码</w:t>
      </w:r>
      <w:r>
        <w:rPr>
          <w:rFonts w:ascii="宋体" w:eastAsia="宋体" w:hAnsi="宋体" w:cs="Courier New"/>
          <w:bCs/>
          <w:sz w:val="28"/>
          <w:szCs w:val="28"/>
        </w:rPr>
        <w:t>:</w:t>
      </w:r>
      <w:r>
        <w:rPr>
          <w:rFonts w:ascii="宋体" w:eastAsia="宋体" w:hAnsi="宋体" w:cs="Arial"/>
          <w:bCs/>
          <w:sz w:val="28"/>
          <w:szCs w:val="28"/>
        </w:rPr>
        <w:t xml:space="preserve"> </w:t>
      </w:r>
      <w:r>
        <w:rPr>
          <w:rFonts w:ascii="宋体" w:eastAsia="宋体" w:hAnsi="宋体" w:cs="Arial" w:hint="eastAsia"/>
          <w:bCs/>
          <w:sz w:val="28"/>
          <w:szCs w:val="28"/>
        </w:rPr>
        <w:t xml:space="preserve">688136 </w:t>
      </w:r>
      <w:r>
        <w:rPr>
          <w:rFonts w:ascii="宋体" w:eastAsia="宋体" w:hAnsi="宋体" w:cs="Arial"/>
          <w:bCs/>
          <w:sz w:val="28"/>
          <w:szCs w:val="28"/>
        </w:rPr>
        <w:t xml:space="preserve">                        证券</w:t>
      </w:r>
      <w:r>
        <w:rPr>
          <w:rFonts w:ascii="宋体" w:eastAsia="宋体" w:hAnsi="宋体" w:cs="Arial" w:hint="eastAsia"/>
          <w:bCs/>
          <w:sz w:val="28"/>
          <w:szCs w:val="28"/>
        </w:rPr>
        <w:t>简称</w:t>
      </w:r>
      <w:r>
        <w:rPr>
          <w:rFonts w:ascii="宋体" w:eastAsia="宋体" w:hAnsi="宋体" w:cs="Arial"/>
          <w:bCs/>
          <w:sz w:val="28"/>
          <w:szCs w:val="28"/>
        </w:rPr>
        <w:t>：</w:t>
      </w:r>
      <w:r>
        <w:rPr>
          <w:rFonts w:ascii="宋体" w:eastAsia="宋体" w:hAnsi="宋体" w:cs="Arial" w:hint="eastAsia"/>
          <w:bCs/>
          <w:sz w:val="28"/>
          <w:szCs w:val="28"/>
        </w:rPr>
        <w:t>科兴制药</w:t>
      </w:r>
      <w:r>
        <w:rPr>
          <w:rFonts w:ascii="宋体" w:eastAsia="宋体" w:hAnsi="宋体" w:cs="Arial"/>
          <w:bCs/>
          <w:sz w:val="28"/>
          <w:szCs w:val="28"/>
        </w:rPr>
        <w:t xml:space="preserve">   </w:t>
      </w:r>
    </w:p>
    <w:p w14:paraId="44C6B526" w14:textId="77777777" w:rsidR="00DD0775" w:rsidRDefault="00FE3EF3">
      <w:pPr>
        <w:adjustRightInd w:val="0"/>
        <w:snapToGrid w:val="0"/>
        <w:spacing w:line="600" w:lineRule="exact"/>
        <w:jc w:val="center"/>
        <w:rPr>
          <w:rFonts w:ascii="宋体" w:eastAsia="宋体" w:hAnsi="宋体" w:cs="Arial"/>
          <w:b/>
          <w:bCs/>
          <w:sz w:val="28"/>
          <w:szCs w:val="28"/>
        </w:rPr>
      </w:pPr>
      <w:r>
        <w:rPr>
          <w:rFonts w:ascii="宋体" w:eastAsia="宋体" w:hAnsi="宋体" w:cs="Arial" w:hint="eastAsia"/>
          <w:b/>
          <w:bCs/>
          <w:sz w:val="28"/>
          <w:szCs w:val="28"/>
        </w:rPr>
        <w:t>科兴生物制药股份有限公司投资者关系活动记录表</w:t>
      </w:r>
    </w:p>
    <w:p w14:paraId="556BE108" w14:textId="77777777" w:rsidR="00DD0775" w:rsidRDefault="00FE3EF3">
      <w:pPr>
        <w:adjustRightInd w:val="0"/>
        <w:snapToGrid w:val="0"/>
        <w:spacing w:line="600" w:lineRule="exact"/>
        <w:jc w:val="right"/>
        <w:rPr>
          <w:rFonts w:ascii="宋体" w:eastAsia="宋体" w:hAnsi="宋体" w:cs="Arial"/>
          <w:b/>
          <w:bCs/>
          <w:sz w:val="28"/>
          <w:szCs w:val="28"/>
        </w:rPr>
      </w:pPr>
      <w:r>
        <w:rPr>
          <w:rFonts w:ascii="宋体" w:eastAsia="宋体" w:hAnsi="宋体" w:cs="Arial" w:hint="eastAsia"/>
          <w:bCs/>
          <w:sz w:val="28"/>
          <w:szCs w:val="28"/>
        </w:rPr>
        <w:t>编号：2025-001</w:t>
      </w:r>
    </w:p>
    <w:tbl>
      <w:tblPr>
        <w:tblStyle w:val="af"/>
        <w:tblpPr w:leftFromText="180" w:rightFromText="180" w:vertAnchor="page" w:horzAnchor="margin" w:tblpY="3507"/>
        <w:tblW w:w="8296" w:type="dxa"/>
        <w:tblLayout w:type="fixed"/>
        <w:tblLook w:val="04A0" w:firstRow="1" w:lastRow="0" w:firstColumn="1" w:lastColumn="0" w:noHBand="0" w:noVBand="1"/>
      </w:tblPr>
      <w:tblGrid>
        <w:gridCol w:w="2679"/>
        <w:gridCol w:w="5617"/>
      </w:tblGrid>
      <w:tr w:rsidR="00DD0775" w14:paraId="61082106" w14:textId="77777777">
        <w:tc>
          <w:tcPr>
            <w:tcW w:w="2679" w:type="dxa"/>
            <w:vAlign w:val="center"/>
          </w:tcPr>
          <w:p w14:paraId="46875D07" w14:textId="77777777" w:rsidR="00DD0775" w:rsidRDefault="00FE3EF3">
            <w:pPr>
              <w:widowControl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投资者关系活动类别</w:t>
            </w:r>
          </w:p>
        </w:tc>
        <w:tc>
          <w:tcPr>
            <w:tcW w:w="5617" w:type="dxa"/>
          </w:tcPr>
          <w:p w14:paraId="28884FEC" w14:textId="6960B8F6" w:rsidR="00DD0775" w:rsidRDefault="00FE3EF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8"/>
              </w:rPr>
              <w:t>特定对象调研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sym w:font="Wingdings 2" w:char="00A3"/>
            </w:r>
            <w:r>
              <w:rPr>
                <w:rFonts w:ascii="宋体" w:eastAsia="宋体" w:hAnsi="宋体"/>
                <w:sz w:val="24"/>
                <w:szCs w:val="28"/>
              </w:rPr>
              <w:t>分析师会议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□媒体采访 </w:t>
            </w:r>
            <w:r>
              <w:rPr>
                <w:rFonts w:ascii="宋体" w:eastAsia="宋体" w:hAnsi="宋体"/>
                <w:sz w:val="24"/>
                <w:szCs w:val="28"/>
              </w:rPr>
              <w:sym w:font="Wingdings 2" w:char="00A3"/>
            </w:r>
            <w:r>
              <w:rPr>
                <w:rFonts w:ascii="宋体" w:eastAsia="宋体" w:hAnsi="宋体"/>
                <w:sz w:val="24"/>
                <w:szCs w:val="28"/>
              </w:rPr>
              <w:t>业绩说明会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□新闻发布会 </w:t>
            </w:r>
            <w:r w:rsidR="001E5BD7" w:rsidRPr="002D596F">
              <w:rPr>
                <w:rFonts w:ascii="Segoe UI Symbol" w:eastAsia="宋体" w:hAnsi="Segoe UI Symbol" w:cs="Segoe UI Symbol"/>
                <w:sz w:val="24"/>
                <w:szCs w:val="28"/>
              </w:rPr>
              <w:t>☑</w:t>
            </w:r>
            <w:r>
              <w:rPr>
                <w:rFonts w:ascii="宋体" w:eastAsia="宋体" w:hAnsi="宋体"/>
                <w:sz w:val="24"/>
                <w:szCs w:val="28"/>
              </w:rPr>
              <w:t>路演活动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sym w:font="Wingdings 2" w:char="00A3"/>
            </w:r>
            <w:r>
              <w:rPr>
                <w:rFonts w:ascii="宋体" w:eastAsia="宋体" w:hAnsi="宋体"/>
                <w:sz w:val="24"/>
                <w:szCs w:val="28"/>
              </w:rPr>
              <w:t>现场参观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☑</w:t>
            </w:r>
            <w:r>
              <w:rPr>
                <w:rFonts w:ascii="宋体" w:eastAsia="宋体" w:hAnsi="宋体"/>
                <w:sz w:val="24"/>
                <w:szCs w:val="28"/>
              </w:rPr>
              <w:t>其他（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线上交流</w:t>
            </w:r>
            <w:r>
              <w:rPr>
                <w:rFonts w:ascii="宋体" w:eastAsia="宋体" w:hAnsi="宋体"/>
                <w:sz w:val="24"/>
                <w:szCs w:val="28"/>
              </w:rPr>
              <w:t>）</w:t>
            </w:r>
          </w:p>
        </w:tc>
      </w:tr>
      <w:tr w:rsidR="00DD0775" w14:paraId="78E4F85A" w14:textId="77777777">
        <w:trPr>
          <w:trHeight w:val="739"/>
        </w:trPr>
        <w:tc>
          <w:tcPr>
            <w:tcW w:w="2679" w:type="dxa"/>
            <w:vAlign w:val="center"/>
          </w:tcPr>
          <w:p w14:paraId="37A2C6F7" w14:textId="77777777" w:rsidR="00DD0775" w:rsidRDefault="00FE3EF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参与单位名称及人员姓名</w:t>
            </w:r>
          </w:p>
        </w:tc>
        <w:tc>
          <w:tcPr>
            <w:tcW w:w="5617" w:type="dxa"/>
            <w:vAlign w:val="center"/>
          </w:tcPr>
          <w:p w14:paraId="507D19C1" w14:textId="3F058F48" w:rsidR="00DD0775" w:rsidRDefault="00387C8A" w:rsidP="00387C8A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工银瑞信基金管理有限公司</w:t>
            </w:r>
            <w:bookmarkStart w:id="1" w:name="_GoBack"/>
            <w:bookmarkEnd w:id="1"/>
            <w:r w:rsidR="00E77992">
              <w:rPr>
                <w:rFonts w:ascii="宋体" w:eastAsia="宋体" w:hAnsi="宋体" w:hint="eastAsia"/>
                <w:sz w:val="24"/>
                <w:szCs w:val="28"/>
              </w:rPr>
              <w:t>、银华基金管理有限公司、宝盈基金管理有限公司、</w:t>
            </w:r>
            <w:r w:rsidR="00FE3EF3">
              <w:rPr>
                <w:rFonts w:ascii="宋体" w:eastAsia="宋体" w:hAnsi="宋体"/>
                <w:sz w:val="24"/>
                <w:szCs w:val="28"/>
              </w:rPr>
              <w:t>摩根基金管理(中国)有限公司</w:t>
            </w:r>
            <w:r w:rsidR="00FE3EF3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="00FE3EF3">
              <w:rPr>
                <w:rFonts w:ascii="宋体" w:eastAsia="宋体" w:hAnsi="宋体"/>
                <w:sz w:val="24"/>
                <w:szCs w:val="28"/>
              </w:rPr>
              <w:t>华安基金管理有限公司、中银国际证券股份有限公司、中银基金管理有限公司、长城基金管理有限公司、泰信基金管理有限公司</w:t>
            </w:r>
            <w:r w:rsidR="00FE3EF3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="00FE3EF3">
              <w:rPr>
                <w:rFonts w:ascii="宋体" w:eastAsia="宋体" w:hAnsi="宋体"/>
                <w:sz w:val="24"/>
                <w:szCs w:val="28"/>
              </w:rPr>
              <w:t>华泰资产管理有限公司、深圳正圆投资有限公司、太平洋保险资产管理有限公司、上海玖鹏资产管理中心（有限合伙）、中加基金管理有限公司、东吴基金</w:t>
            </w:r>
            <w:r w:rsidR="00C74B9E">
              <w:rPr>
                <w:rFonts w:ascii="宋体" w:eastAsia="宋体" w:hAnsi="宋体"/>
                <w:sz w:val="24"/>
                <w:szCs w:val="28"/>
              </w:rPr>
              <w:t>管理有限公司、建信基金管理有限责任公司、中航基金管理有限公司、</w:t>
            </w:r>
            <w:r w:rsidR="00FE3EF3">
              <w:rPr>
                <w:rFonts w:ascii="宋体" w:eastAsia="宋体" w:hAnsi="宋体"/>
                <w:sz w:val="24"/>
                <w:szCs w:val="28"/>
              </w:rPr>
              <w:t>富安达基金管理有限公司、鹏华基金管理有限公司、深圳市尚诚资产管理有限责任公司、太朴生科私募基金管理(珠海)有限公司、野村东方国际证券有限公司、华源证券研究所、浙商基金管理有限公司、上海拾贝能信私募基金管理合伙企业（有限合伙）、开源证券股份有限公司、北京橡果资产管理有限公司、农银人寿保险股份有限公司、湘财基金管理有限公司、博时基金、兴银理财有限责任公司、上海盟洋投资管理有限公司、平安资产管理有限责任公司、财通资管、南方基金管理股份有限公司、华宝基金管理有限公司、荷荷（北京）私募基金管理有限公司、中邮证券有限责任公司、北京证券资产管理分公司、国联基金管理有限公司、诺安基金管理有限公司、上海从容投资管理有限公司、招商基金管理有限公司、上海运舟私募基金管理有限公司、相聚资本管理有限公司、IDG资本、光大保德信基金管理有限公司、深圳前海汇杰达理资本有限公司、恒生前海基金、深圳中天汇富基金管理有限公司、上海肇万资产管理有限公司、富国基金管理有限公司、天弘基金管理有限公司、广发证券、中欧基金管理有限公司、工银英大资产、Willing Capital、青榕资产管理有限公司</w:t>
            </w:r>
            <w:r w:rsidR="00B95EDE">
              <w:rPr>
                <w:rFonts w:ascii="宋体" w:eastAsia="宋体" w:hAnsi="宋体" w:hint="eastAsia"/>
                <w:sz w:val="24"/>
                <w:szCs w:val="28"/>
              </w:rPr>
              <w:t>、聚鸣资产、太平资产</w:t>
            </w:r>
            <w:r w:rsidR="00FE3EF3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</w:tc>
      </w:tr>
      <w:tr w:rsidR="00DD0775" w14:paraId="6A4634E5" w14:textId="77777777">
        <w:trPr>
          <w:trHeight w:val="497"/>
        </w:trPr>
        <w:tc>
          <w:tcPr>
            <w:tcW w:w="2679" w:type="dxa"/>
            <w:vAlign w:val="center"/>
          </w:tcPr>
          <w:p w14:paraId="5489D9AD" w14:textId="77777777" w:rsidR="00DD0775" w:rsidRDefault="00FE3EF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时间</w:t>
            </w:r>
          </w:p>
        </w:tc>
        <w:tc>
          <w:tcPr>
            <w:tcW w:w="5617" w:type="dxa"/>
            <w:vAlign w:val="center"/>
          </w:tcPr>
          <w:p w14:paraId="79D3B2A6" w14:textId="1E8B2918" w:rsidR="00DD0775" w:rsidRDefault="00FE3EF3" w:rsidP="003B1AB7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2025年3月17日</w:t>
            </w:r>
            <w:r w:rsidR="00B95EDE">
              <w:rPr>
                <w:rFonts w:ascii="宋体" w:eastAsia="宋体" w:hAnsi="宋体" w:hint="eastAsia"/>
                <w:sz w:val="24"/>
                <w:szCs w:val="28"/>
              </w:rPr>
              <w:t>-</w:t>
            </w:r>
            <w:r w:rsidR="00B95EDE">
              <w:rPr>
                <w:rFonts w:ascii="宋体" w:eastAsia="宋体" w:hAnsi="宋体"/>
                <w:sz w:val="24"/>
                <w:szCs w:val="28"/>
              </w:rPr>
              <w:t>3</w:t>
            </w:r>
            <w:r w:rsidR="00B95EDE">
              <w:rPr>
                <w:rFonts w:ascii="宋体" w:eastAsia="宋体" w:hAnsi="宋体" w:hint="eastAsia"/>
                <w:sz w:val="24"/>
                <w:szCs w:val="28"/>
              </w:rPr>
              <w:t>月2</w:t>
            </w:r>
            <w:r w:rsidR="00B95EDE">
              <w:rPr>
                <w:rFonts w:ascii="宋体" w:eastAsia="宋体" w:hAnsi="宋体"/>
                <w:sz w:val="24"/>
                <w:szCs w:val="28"/>
              </w:rPr>
              <w:t>0</w:t>
            </w:r>
            <w:r w:rsidR="00B95EDE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DD0775" w14:paraId="4A8BF497" w14:textId="77777777">
        <w:trPr>
          <w:trHeight w:val="532"/>
        </w:trPr>
        <w:tc>
          <w:tcPr>
            <w:tcW w:w="2679" w:type="dxa"/>
            <w:vAlign w:val="center"/>
          </w:tcPr>
          <w:p w14:paraId="0E5E233B" w14:textId="77777777" w:rsidR="00DD0775" w:rsidRDefault="00FE3EF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lastRenderedPageBreak/>
              <w:t>地点</w:t>
            </w:r>
          </w:p>
        </w:tc>
        <w:tc>
          <w:tcPr>
            <w:tcW w:w="5617" w:type="dxa"/>
            <w:vAlign w:val="center"/>
          </w:tcPr>
          <w:p w14:paraId="3F5EE035" w14:textId="52FC7DB7" w:rsidR="00DD0775" w:rsidRDefault="00FE3EF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进门财经</w:t>
            </w:r>
            <w:r w:rsidR="009241D8">
              <w:rPr>
                <w:rFonts w:ascii="宋体" w:eastAsia="宋体" w:hAnsi="宋体" w:hint="eastAsia"/>
                <w:sz w:val="24"/>
                <w:szCs w:val="28"/>
              </w:rPr>
              <w:t>、策略会</w:t>
            </w:r>
          </w:p>
        </w:tc>
      </w:tr>
      <w:tr w:rsidR="00DD0775" w14:paraId="2BF5E4CA" w14:textId="77777777">
        <w:tc>
          <w:tcPr>
            <w:tcW w:w="2679" w:type="dxa"/>
            <w:vAlign w:val="center"/>
          </w:tcPr>
          <w:p w14:paraId="244F335A" w14:textId="77777777" w:rsidR="00DD0775" w:rsidRDefault="00FE3EF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上市公司接待人员姓名</w:t>
            </w:r>
          </w:p>
        </w:tc>
        <w:tc>
          <w:tcPr>
            <w:tcW w:w="5617" w:type="dxa"/>
          </w:tcPr>
          <w:p w14:paraId="7872A59E" w14:textId="77777777" w:rsidR="00DD0775" w:rsidRDefault="00FE3EF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1、副总裁、研究院院长    秦锁富</w:t>
            </w:r>
          </w:p>
          <w:p w14:paraId="585ACC91" w14:textId="77777777" w:rsidR="00DD0775" w:rsidRDefault="00FE3EF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2、董事、董秘兼财务总监  王小琴</w:t>
            </w:r>
          </w:p>
          <w:p w14:paraId="6178F64C" w14:textId="77777777" w:rsidR="00DD0775" w:rsidRDefault="00FE3EF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3、IRD                   段小霞</w:t>
            </w:r>
          </w:p>
        </w:tc>
      </w:tr>
      <w:tr w:rsidR="00DD0775" w14:paraId="7CC2A787" w14:textId="77777777">
        <w:tc>
          <w:tcPr>
            <w:tcW w:w="8296" w:type="dxa"/>
            <w:gridSpan w:val="2"/>
          </w:tcPr>
          <w:p w14:paraId="5BEE3318" w14:textId="4A3D621A" w:rsidR="00DD0775" w:rsidRDefault="001E5BD7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近日，</w:t>
            </w:r>
            <w:r w:rsidR="00FE3EF3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公司举行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了</w:t>
            </w:r>
            <w:r w:rsidR="00FE3EF3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线上交流会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及参与券商策略会</w:t>
            </w:r>
            <w:r w:rsidR="00FE3EF3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，就公司创新药布局情况及公司近况与投资者进行了互动交流。</w:t>
            </w:r>
          </w:p>
          <w:p w14:paraId="5E53EB0B" w14:textId="77777777" w:rsidR="00DD0775" w:rsidRDefault="00FE3EF3">
            <w:pPr>
              <w:widowControl/>
              <w:shd w:val="clear" w:color="auto" w:fill="FFFFFF"/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一、会议概要</w:t>
            </w:r>
          </w:p>
          <w:p w14:paraId="7B406C10" w14:textId="77777777" w:rsidR="00DD0775" w:rsidRDefault="00FE3EF3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公司副总裁、研究院院长秦锁富先生就公司创新药管线情况进行了介绍，具体管线情况如下：</w:t>
            </w:r>
          </w:p>
          <w:p w14:paraId="2E81F437" w14:textId="77777777" w:rsidR="00DD0775" w:rsidRDefault="00FE3EF3">
            <w:pPr>
              <w:pStyle w:val="ac"/>
              <w:widowControl/>
              <w:numPr>
                <w:ilvl w:val="0"/>
                <w:numId w:val="1"/>
              </w:numPr>
              <w:spacing w:beforeAutospacing="0" w:afterAutospacing="0" w:line="360" w:lineRule="auto"/>
              <w:ind w:firstLineChars="200" w:firstLine="482"/>
              <w:jc w:val="both"/>
              <w:rPr>
                <w:rStyle w:val="af0"/>
                <w:rFonts w:ascii="宋体" w:eastAsia="宋体" w:hAnsi="宋体" w:cs="宋体"/>
                <w:bCs/>
                <w:szCs w:val="24"/>
                <w:shd w:val="clear" w:color="auto" w:fill="FFFFFF"/>
              </w:rPr>
            </w:pPr>
            <w:r>
              <w:rPr>
                <w:rStyle w:val="af0"/>
                <w:rFonts w:ascii="宋体" w:eastAsia="宋体" w:hAnsi="宋体" w:cs="宋体" w:hint="eastAsia"/>
                <w:bCs/>
                <w:szCs w:val="24"/>
                <w:shd w:val="clear" w:color="auto" w:fill="FFFFFF"/>
              </w:rPr>
              <w:t>肿瘤恶病质管线（GB18）</w:t>
            </w:r>
          </w:p>
          <w:p w14:paraId="677A29E2" w14:textId="77777777" w:rsidR="00DD0775" w:rsidRDefault="00FE3EF3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GB18是一种针对GDF15（生长分化因子15）靶点的创新型药物，专门用于治疗肿瘤恶病质。该分子采用了独特的Fc融合纳米抗体结构设计，这种结构不仅提高了药物的稳定性和生物利用度，还显著增强了其在抑制信号通路传递中的表现。目前，GB18已完成了国际专利布局；</w:t>
            </w:r>
          </w:p>
          <w:p w14:paraId="4931446A" w14:textId="77777777" w:rsidR="00DD0775" w:rsidRDefault="00FE3EF3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临床前数据亮点：</w:t>
            </w:r>
          </w:p>
          <w:p w14:paraId="43092FF5" w14:textId="77777777" w:rsidR="00DD0775" w:rsidRDefault="00FE3EF3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显著改善体重下降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：通过阻断GDF15信号通路，GB18能够有效逆转肿瘤恶病质导致的体重减轻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；</w:t>
            </w:r>
          </w:p>
          <w:p w14:paraId="4F79FA9B" w14:textId="7F42FBA1" w:rsidR="00DD0775" w:rsidRDefault="00FE3EF3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提升肌肉和脂肪重量：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体内实验表明，GB18</w:t>
            </w:r>
            <w:r w:rsidR="00EA1379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能过显著提高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模型</w:t>
            </w:r>
            <w:r w:rsidR="00EA1379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动物的肌肉和脂肪重量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r w:rsidR="00EA1379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改善肌肉纤维的质量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；</w:t>
            </w:r>
          </w:p>
          <w:p w14:paraId="5EA69DF6" w14:textId="157FB09B" w:rsidR="00DD0775" w:rsidRDefault="00FE3EF3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改善运动功能：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实验结果显示，接受GB18治疗的</w:t>
            </w:r>
            <w:r w:rsidR="00000E2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恶病质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动物表现出更强的运动能力</w:t>
            </w:r>
            <w:r w:rsidR="00000E2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，以及和正常动物相近的机体能量代谢指标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14:paraId="0E06F43A" w14:textId="77777777" w:rsidR="00DD0775" w:rsidRDefault="00FE3EF3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此外，基于临床前药代动力学（PK）数据，GB18预计可实现每3-4周一次的注射频率，大幅减少患者的用药负担，提高依从性。</w:t>
            </w:r>
          </w:p>
          <w:p w14:paraId="1CEFB02B" w14:textId="77777777" w:rsidR="00DD0775" w:rsidRDefault="00FE3EF3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对标全球领先同靶点同适应症辉瑞管线Ponsegromab，公司GB18管线临床前数据，显示明显的差异化优势，该管线在国内已提交国家药监局IND申请，美国FDA的IND申报中。</w:t>
            </w:r>
          </w:p>
          <w:p w14:paraId="6C01AFE8" w14:textId="77777777" w:rsidR="00DD0775" w:rsidRDefault="00FE3EF3">
            <w:pPr>
              <w:pStyle w:val="ac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rFonts w:ascii="宋体" w:eastAsia="宋体" w:hAnsi="宋体" w:cs="宋体"/>
                <w:szCs w:val="24"/>
              </w:rPr>
            </w:pPr>
            <w:r>
              <w:rPr>
                <w:rStyle w:val="af0"/>
                <w:rFonts w:ascii="宋体" w:eastAsia="宋体" w:hAnsi="宋体" w:cs="宋体" w:hint="eastAsia"/>
                <w:bCs/>
                <w:szCs w:val="24"/>
                <w:shd w:val="clear" w:color="auto" w:fill="FFFFFF"/>
              </w:rPr>
              <w:t>2、特应性皮炎管线（GB12）</w:t>
            </w:r>
          </w:p>
          <w:p w14:paraId="50B50F49" w14:textId="77777777" w:rsidR="00DD0775" w:rsidRDefault="00FE3EF3">
            <w:pPr>
              <w:widowControl/>
              <w:numPr>
                <w:ilvl w:val="0"/>
                <w:numId w:val="3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GB12是一款创新的双特异性抗体（双抗），其结合了IL-4R和IL-31两个关键靶点的优势。通过同时阻断这两种与特应性皮炎密切相关的信号通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lastRenderedPageBreak/>
              <w:t>路，GB12不仅能够有效抑制炎症反应，还能显著缓解瘙痒症状，从而克服单一靶点药物在疗效和持久性上的局限性。</w:t>
            </w:r>
          </w:p>
          <w:p w14:paraId="1ECEBADC" w14:textId="77777777" w:rsidR="00DD0775" w:rsidRDefault="00FE3EF3">
            <w:pPr>
              <w:widowControl/>
              <w:numPr>
                <w:ilvl w:val="0"/>
                <w:numId w:val="3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运用AI技术突破性设计得到活性卓越的抗体分子，该分子在临床前研究中展示出优越的抗皮炎、缓解瘙痒效果。</w:t>
            </w:r>
          </w:p>
          <w:p w14:paraId="44D85AFA" w14:textId="77777777" w:rsidR="00DD0775" w:rsidRDefault="00FE3EF3">
            <w:pPr>
              <w:widowControl/>
              <w:numPr>
                <w:ilvl w:val="0"/>
                <w:numId w:val="3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实验数据显示，双抗在炎症模型和瘙痒模型中表现优于单抗。</w:t>
            </w:r>
          </w:p>
          <w:p w14:paraId="3E410A70" w14:textId="77777777" w:rsidR="00DD0775" w:rsidRDefault="00FE3EF3">
            <w:pPr>
              <w:pStyle w:val="ac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rFonts w:ascii="宋体" w:eastAsia="宋体" w:hAnsi="宋体" w:cs="宋体"/>
                <w:szCs w:val="24"/>
              </w:rPr>
            </w:pPr>
            <w:r>
              <w:rPr>
                <w:rStyle w:val="af0"/>
                <w:rFonts w:ascii="宋体" w:eastAsia="宋体" w:hAnsi="宋体" w:cs="宋体" w:hint="eastAsia"/>
                <w:bCs/>
                <w:szCs w:val="24"/>
                <w:shd w:val="clear" w:color="auto" w:fill="FFFFFF"/>
              </w:rPr>
              <w:t>3、炎症性肠炎管线（GB20/GB24）</w:t>
            </w:r>
          </w:p>
          <w:p w14:paraId="2C227145" w14:textId="77777777" w:rsidR="00DD0775" w:rsidRDefault="00FE3EF3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GB20项目聚焦于TL1A这一重要靶点，其主要作用机制是通过调节T细胞的功能，从而影响炎症因子的分泌。在分子活性验证中，该药物展现了出色的潜力，在炎症模型和溃疡模型中均取得了良好的效果。这表明，TL1A靶点在治疗与炎症相关的疾病（如炎症性肠病，IBD）方面具有重要意义；</w:t>
            </w:r>
          </w:p>
          <w:p w14:paraId="61FE658F" w14:textId="77777777" w:rsidR="00DD0775" w:rsidRDefault="00FE3EF3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GB24项目除了靶向TL1A之外，还靶向了另一个IBD方面的新兴靶点，功能、机制上和TL1A有较强的协同效应，以及与单抗药物相比的显著优势，开发的双抗在抑制溃疡和纤维化方面效果显著。</w:t>
            </w:r>
          </w:p>
          <w:p w14:paraId="1588FD85" w14:textId="77777777" w:rsidR="00DD0775" w:rsidRDefault="00FE3EF3">
            <w:pPr>
              <w:pStyle w:val="ac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rFonts w:ascii="宋体" w:eastAsia="宋体" w:hAnsi="宋体" w:cs="宋体"/>
                <w:szCs w:val="24"/>
              </w:rPr>
            </w:pPr>
            <w:r>
              <w:rPr>
                <w:rStyle w:val="af0"/>
                <w:rFonts w:ascii="宋体" w:eastAsia="宋体" w:hAnsi="宋体" w:cs="宋体" w:hint="eastAsia"/>
                <w:bCs/>
                <w:szCs w:val="24"/>
                <w:shd w:val="clear" w:color="auto" w:fill="FFFFFF"/>
              </w:rPr>
              <w:t>4、眼科管线（GB10）</w:t>
            </w:r>
          </w:p>
          <w:p w14:paraId="097472FF" w14:textId="277C8BAE" w:rsidR="00DD0775" w:rsidRDefault="00FE3EF3">
            <w:pPr>
              <w:widowControl/>
              <w:numPr>
                <w:ilvl w:val="0"/>
                <w:numId w:val="5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GB10是一种针对眼底疾病的创新性双靶点融合蛋白药物，旨在治疗多种严重的眼底疾病，包括湿性年龄相关性黄斑变性（wAMD）、糖尿病</w:t>
            </w:r>
            <w:r w:rsidR="00F771AA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黄斑水肿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（</w:t>
            </w:r>
            <w:r w:rsidR="00F771AA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D</w:t>
            </w:r>
            <w:r w:rsidR="00F771AA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ME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）以及视网膜静脉阻塞（RVO）等。这些疾病通常伴随着异常血管生成和渗漏，从而导致视力损害甚至失明。</w:t>
            </w:r>
          </w:p>
          <w:p w14:paraId="091D6694" w14:textId="77777777" w:rsidR="00DD0775" w:rsidRDefault="00FE3EF3">
            <w:pPr>
              <w:widowControl/>
              <w:numPr>
                <w:ilvl w:val="0"/>
                <w:numId w:val="5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GB10通过结合VEGF（血管内皮生长因子）和ANG-2（血管生成素-2）两个关键靶点，实现了对病理机制的双重干预，具有高水溶性和可开发性。</w:t>
            </w:r>
          </w:p>
          <w:p w14:paraId="037066C7" w14:textId="77777777" w:rsidR="00DD0775" w:rsidRDefault="00FE3EF3">
            <w:pPr>
              <w:widowControl/>
              <w:numPr>
                <w:ilvl w:val="0"/>
                <w:numId w:val="5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实验数据表明，GB10在抑制异常血管生成、减少液体渗漏及改善视力方面表现出显著效果。与目前市场上的主流药物相比，GB10的活性大幅提升，展现了超越现有疗法的巨大潜力。</w:t>
            </w:r>
          </w:p>
          <w:p w14:paraId="2B6CFD66" w14:textId="77777777" w:rsidR="00DD0775" w:rsidRDefault="00DD0775">
            <w:pPr>
              <w:widowControl/>
              <w:spacing w:line="360" w:lineRule="auto"/>
              <w:ind w:leftChars="200" w:left="42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ACEA1F0" w14:textId="77777777" w:rsidR="00DD0775" w:rsidRDefault="00FE3EF3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二、现场问答</w:t>
            </w:r>
          </w:p>
          <w:p w14:paraId="70B8B9E2" w14:textId="77777777" w:rsidR="00DD0775" w:rsidRDefault="00FE3EF3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1、GDF15为什么不同的药物开发的适应症不一样，恶病质/心力衰竭/实体瘤/肥胖？结构上结合表位不一样？我们的结构优势？后续适应症开发计划？以及后续市场空间？ </w:t>
            </w:r>
          </w:p>
          <w:p w14:paraId="2FE6CD44" w14:textId="77777777" w:rsidR="00DD0775" w:rsidRDefault="00FE3EF3">
            <w:pPr>
              <w:pStyle w:val="af4"/>
              <w:spacing w:line="360" w:lineRule="auto"/>
              <w:ind w:firstLine="48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答：近年来，随着对GDF15（Growth Differentiation Factor 15）生物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学功能研究的深入，这一蛋白逐渐成为医药领域的重要靶点。GDF15是一种属于TGF-β超家族的分泌型蛋白，在调节能量代谢、食欲以及体重管理方面发挥着关键作用。国际药企如辉瑞（Pfizer）、AVEO等，均在该领域展开了积极布局。</w:t>
            </w:r>
          </w:p>
          <w:p w14:paraId="3323B36B" w14:textId="77777777" w:rsidR="00DD0775" w:rsidRDefault="00FE3EF3">
            <w:pPr>
              <w:pStyle w:val="af4"/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目前，针对GDF15的研发主要分为两大方向：一方面，利用其重组蛋白抑制饮食功能，从而实现减肥效果；另一方面，则通过开发GDF15抗体来促进食欲，帮助患者恢复体重，尤其是在恶病质等情况下具有重要意义。其中，肿瘤恶病质作为最紧迫且未被满足的医疗需求之一，成为了众多企业的首要开发目标。</w:t>
            </w:r>
          </w:p>
          <w:p w14:paraId="052C2B87" w14:textId="77777777" w:rsidR="00DD0775" w:rsidRDefault="00FE3EF3">
            <w:pPr>
              <w:pStyle w:val="af4"/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公司GB18管线是开发GDF15抑制性抗体，在适应症上，公司与辉瑞保持一致，先开发肿瘤恶病质适应症，后续拓展其他慢病（如心衰，COPD，HIV，肾病等）引发的恶病质适应症；</w:t>
            </w:r>
          </w:p>
          <w:p w14:paraId="18FC8CD5" w14:textId="1464F7F2" w:rsidR="00DD0775" w:rsidRDefault="00FE3EF3" w:rsidP="0076528C">
            <w:pPr>
              <w:pStyle w:val="af4"/>
              <w:spacing w:line="360" w:lineRule="auto"/>
              <w:ind w:firstLine="480"/>
              <w:rPr>
                <w:rFonts w:eastAsiaTheme="minorHAnsi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结合表位上，科兴、AVEO、辉瑞（Pfizer）表位基本一致；在分子结构设计上，GB18采用了独特的VHH-Fc形式，分子量仅为78kDa，显著低于传统抗体药物，从而在化学、生产和控制（CMC）稳定性以及蛋白表达产量方面表现出色。此外，该创新结构还赋予了GB18在肌肉功能改善方面的卓越药效，有望在这一细分领域实现差异化突破，成为“同类最佳”（Best-in-Class）产品。      </w:t>
            </w:r>
            <w:r>
              <w:rPr>
                <w:rFonts w:eastAsiaTheme="minorHAnsi" w:hint="eastAsia"/>
                <w:sz w:val="20"/>
                <w:szCs w:val="21"/>
              </w:rPr>
              <w:t xml:space="preserve">          </w:t>
            </w:r>
          </w:p>
          <w:tbl>
            <w:tblPr>
              <w:tblStyle w:val="af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00"/>
              <w:gridCol w:w="1235"/>
              <w:gridCol w:w="686"/>
              <w:gridCol w:w="1099"/>
              <w:gridCol w:w="1047"/>
              <w:gridCol w:w="943"/>
              <w:gridCol w:w="839"/>
            </w:tblGrid>
            <w:tr w:rsidR="00DD0775" w14:paraId="71567330" w14:textId="77777777">
              <w:trPr>
                <w:jc w:val="center"/>
              </w:trPr>
              <w:tc>
                <w:tcPr>
                  <w:tcW w:w="632" w:type="pct"/>
                  <w:vAlign w:val="center"/>
                </w:tcPr>
                <w:p w14:paraId="44739B57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公司</w:t>
                  </w:r>
                </w:p>
              </w:tc>
              <w:tc>
                <w:tcPr>
                  <w:tcW w:w="743" w:type="pct"/>
                  <w:vAlign w:val="center"/>
                </w:tcPr>
                <w:p w14:paraId="221B40E8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分子结构</w:t>
                  </w:r>
                </w:p>
              </w:tc>
              <w:tc>
                <w:tcPr>
                  <w:tcW w:w="764" w:type="pct"/>
                  <w:vAlign w:val="center"/>
                </w:tcPr>
                <w:p w14:paraId="0A95D821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适应症</w:t>
                  </w:r>
                </w:p>
              </w:tc>
              <w:tc>
                <w:tcPr>
                  <w:tcW w:w="425" w:type="pct"/>
                  <w:vAlign w:val="center"/>
                </w:tcPr>
                <w:p w14:paraId="5833408B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表位</w:t>
                  </w:r>
                </w:p>
              </w:tc>
              <w:tc>
                <w:tcPr>
                  <w:tcW w:w="680" w:type="pct"/>
                  <w:vAlign w:val="center"/>
                </w:tcPr>
                <w:p w14:paraId="66FF6EB2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研发阶段</w:t>
                  </w:r>
                </w:p>
              </w:tc>
              <w:tc>
                <w:tcPr>
                  <w:tcW w:w="648" w:type="pct"/>
                  <w:vAlign w:val="center"/>
                </w:tcPr>
                <w:p w14:paraId="00619918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分子量</w:t>
                  </w:r>
                </w:p>
              </w:tc>
              <w:tc>
                <w:tcPr>
                  <w:tcW w:w="584" w:type="pct"/>
                  <w:vAlign w:val="center"/>
                </w:tcPr>
                <w:p w14:paraId="70469766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制剂浓度</w:t>
                  </w:r>
                </w:p>
              </w:tc>
              <w:tc>
                <w:tcPr>
                  <w:tcW w:w="520" w:type="pct"/>
                  <w:vAlign w:val="center"/>
                </w:tcPr>
                <w:p w14:paraId="5A1DEDD0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备注</w:t>
                  </w:r>
                </w:p>
              </w:tc>
            </w:tr>
            <w:tr w:rsidR="00DD0775" w14:paraId="15BD0178" w14:textId="77777777">
              <w:trPr>
                <w:jc w:val="center"/>
              </w:trPr>
              <w:tc>
                <w:tcPr>
                  <w:tcW w:w="632" w:type="pct"/>
                  <w:vAlign w:val="center"/>
                </w:tcPr>
                <w:p w14:paraId="1C8DDCEB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Pfizer</w:t>
                  </w:r>
                </w:p>
              </w:tc>
              <w:tc>
                <w:tcPr>
                  <w:tcW w:w="743" w:type="pct"/>
                  <w:vAlign w:val="center"/>
                </w:tcPr>
                <w:p w14:paraId="0960ED2E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全抗</w:t>
                  </w:r>
                </w:p>
              </w:tc>
              <w:tc>
                <w:tcPr>
                  <w:tcW w:w="764" w:type="pct"/>
                  <w:vAlign w:val="center"/>
                </w:tcPr>
                <w:p w14:paraId="6677ADF6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肿瘤恶病质</w:t>
                  </w:r>
                </w:p>
              </w:tc>
              <w:tc>
                <w:tcPr>
                  <w:tcW w:w="425" w:type="pct"/>
                  <w:vAlign w:val="center"/>
                </w:tcPr>
                <w:p w14:paraId="4FD4A650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680" w:type="pct"/>
                  <w:vAlign w:val="center"/>
                </w:tcPr>
                <w:p w14:paraId="151509FC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II期完成</w:t>
                  </w:r>
                </w:p>
              </w:tc>
              <w:tc>
                <w:tcPr>
                  <w:tcW w:w="648" w:type="pct"/>
                  <w:vAlign w:val="center"/>
                </w:tcPr>
                <w:p w14:paraId="5D14AA61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146 kDa</w:t>
                  </w:r>
                </w:p>
              </w:tc>
              <w:tc>
                <w:tcPr>
                  <w:tcW w:w="584" w:type="pct"/>
                  <w:vAlign w:val="center"/>
                </w:tcPr>
                <w:p w14:paraId="632CCAC8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100 mg/ml</w:t>
                  </w:r>
                </w:p>
              </w:tc>
              <w:tc>
                <w:tcPr>
                  <w:tcW w:w="520" w:type="pct"/>
                  <w:vAlign w:val="center"/>
                </w:tcPr>
                <w:p w14:paraId="314A1054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皮下给药</w:t>
                  </w:r>
                </w:p>
              </w:tc>
            </w:tr>
            <w:tr w:rsidR="00DD0775" w14:paraId="6C62784D" w14:textId="77777777">
              <w:trPr>
                <w:jc w:val="center"/>
              </w:trPr>
              <w:tc>
                <w:tcPr>
                  <w:tcW w:w="632" w:type="pct"/>
                  <w:vAlign w:val="center"/>
                </w:tcPr>
                <w:p w14:paraId="0EEE0F4B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AVEO</w:t>
                  </w:r>
                </w:p>
              </w:tc>
              <w:tc>
                <w:tcPr>
                  <w:tcW w:w="743" w:type="pct"/>
                  <w:vAlign w:val="center"/>
                </w:tcPr>
                <w:p w14:paraId="5DCD7AA6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全抗</w:t>
                  </w:r>
                </w:p>
              </w:tc>
              <w:tc>
                <w:tcPr>
                  <w:tcW w:w="764" w:type="pct"/>
                  <w:vAlign w:val="center"/>
                </w:tcPr>
                <w:p w14:paraId="2EE71A4E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肿瘤恶病质</w:t>
                  </w:r>
                </w:p>
              </w:tc>
              <w:tc>
                <w:tcPr>
                  <w:tcW w:w="425" w:type="pct"/>
                  <w:vAlign w:val="center"/>
                </w:tcPr>
                <w:p w14:paraId="2CDEBCAA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680" w:type="pct"/>
                  <w:vAlign w:val="center"/>
                </w:tcPr>
                <w:p w14:paraId="7D6E180B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I期</w:t>
                  </w:r>
                </w:p>
              </w:tc>
              <w:tc>
                <w:tcPr>
                  <w:tcW w:w="648" w:type="pct"/>
                  <w:vAlign w:val="center"/>
                </w:tcPr>
                <w:p w14:paraId="334A8C9A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~150 kDa</w:t>
                  </w:r>
                </w:p>
              </w:tc>
              <w:tc>
                <w:tcPr>
                  <w:tcW w:w="584" w:type="pct"/>
                  <w:vAlign w:val="center"/>
                </w:tcPr>
                <w:p w14:paraId="039D4FAB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N/A</w:t>
                  </w:r>
                </w:p>
              </w:tc>
              <w:tc>
                <w:tcPr>
                  <w:tcW w:w="520" w:type="pct"/>
                  <w:vAlign w:val="center"/>
                </w:tcPr>
                <w:p w14:paraId="0B676F4D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静脉给药</w:t>
                  </w:r>
                </w:p>
              </w:tc>
            </w:tr>
            <w:tr w:rsidR="00DD0775" w14:paraId="2FF078DD" w14:textId="77777777">
              <w:trPr>
                <w:jc w:val="center"/>
              </w:trPr>
              <w:tc>
                <w:tcPr>
                  <w:tcW w:w="632" w:type="pct"/>
                  <w:vAlign w:val="center"/>
                </w:tcPr>
                <w:p w14:paraId="18AE0F39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CatalYm</w:t>
                  </w:r>
                </w:p>
              </w:tc>
              <w:tc>
                <w:tcPr>
                  <w:tcW w:w="743" w:type="pct"/>
                  <w:vAlign w:val="center"/>
                </w:tcPr>
                <w:p w14:paraId="688AAAE3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全抗</w:t>
                  </w:r>
                </w:p>
              </w:tc>
              <w:tc>
                <w:tcPr>
                  <w:tcW w:w="764" w:type="pct"/>
                  <w:vAlign w:val="center"/>
                </w:tcPr>
                <w:p w14:paraId="2ACAB49C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实体瘤</w:t>
                  </w:r>
                </w:p>
              </w:tc>
              <w:tc>
                <w:tcPr>
                  <w:tcW w:w="425" w:type="pct"/>
                  <w:vAlign w:val="center"/>
                </w:tcPr>
                <w:p w14:paraId="1612B926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680" w:type="pct"/>
                  <w:vAlign w:val="center"/>
                </w:tcPr>
                <w:p w14:paraId="10A2CB01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II期</w:t>
                  </w:r>
                </w:p>
              </w:tc>
              <w:tc>
                <w:tcPr>
                  <w:tcW w:w="648" w:type="pct"/>
                  <w:vAlign w:val="center"/>
                </w:tcPr>
                <w:p w14:paraId="0B112652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~150 kDa</w:t>
                  </w:r>
                </w:p>
              </w:tc>
              <w:tc>
                <w:tcPr>
                  <w:tcW w:w="584" w:type="pct"/>
                  <w:vAlign w:val="center"/>
                </w:tcPr>
                <w:p w14:paraId="50528D26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N/A</w:t>
                  </w:r>
                </w:p>
              </w:tc>
              <w:tc>
                <w:tcPr>
                  <w:tcW w:w="520" w:type="pct"/>
                  <w:vAlign w:val="center"/>
                </w:tcPr>
                <w:p w14:paraId="30E0C965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静脉给药</w:t>
                  </w:r>
                </w:p>
              </w:tc>
            </w:tr>
            <w:tr w:rsidR="00DD0775" w14:paraId="4E8C7DAD" w14:textId="77777777">
              <w:trPr>
                <w:jc w:val="center"/>
              </w:trPr>
              <w:tc>
                <w:tcPr>
                  <w:tcW w:w="632" w:type="pct"/>
                  <w:vAlign w:val="center"/>
                </w:tcPr>
                <w:p w14:paraId="666588E2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科兴制药</w:t>
                  </w:r>
                </w:p>
              </w:tc>
              <w:tc>
                <w:tcPr>
                  <w:tcW w:w="743" w:type="pct"/>
                  <w:vAlign w:val="center"/>
                </w:tcPr>
                <w:p w14:paraId="60414255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VHH-Fc</w:t>
                  </w:r>
                </w:p>
              </w:tc>
              <w:tc>
                <w:tcPr>
                  <w:tcW w:w="764" w:type="pct"/>
                  <w:vAlign w:val="center"/>
                </w:tcPr>
                <w:p w14:paraId="429A96DD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肿瘤恶病质</w:t>
                  </w:r>
                </w:p>
              </w:tc>
              <w:tc>
                <w:tcPr>
                  <w:tcW w:w="425" w:type="pct"/>
                  <w:vAlign w:val="center"/>
                </w:tcPr>
                <w:p w14:paraId="5A124D91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jc w:val="left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680" w:type="pct"/>
                  <w:vAlign w:val="center"/>
                </w:tcPr>
                <w:p w14:paraId="6A05C1BD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IND申报中</w:t>
                  </w:r>
                </w:p>
              </w:tc>
              <w:tc>
                <w:tcPr>
                  <w:tcW w:w="648" w:type="pct"/>
                  <w:vAlign w:val="center"/>
                </w:tcPr>
                <w:p w14:paraId="5E6B6849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78 kDa</w:t>
                  </w:r>
                </w:p>
              </w:tc>
              <w:tc>
                <w:tcPr>
                  <w:tcW w:w="584" w:type="pct"/>
                  <w:vAlign w:val="center"/>
                </w:tcPr>
                <w:p w14:paraId="79E6502A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150 mg/ml</w:t>
                  </w:r>
                </w:p>
              </w:tc>
              <w:tc>
                <w:tcPr>
                  <w:tcW w:w="520" w:type="pct"/>
                  <w:vAlign w:val="center"/>
                </w:tcPr>
                <w:p w14:paraId="6880D589" w14:textId="77777777" w:rsidR="00DD0775" w:rsidRDefault="00FE3EF3" w:rsidP="00387C8A">
                  <w:pPr>
                    <w:pStyle w:val="af4"/>
                    <w:framePr w:hSpace="180" w:wrap="around" w:vAnchor="page" w:hAnchor="margin" w:y="3507"/>
                    <w:ind w:firstLineChars="0" w:firstLine="0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皮下给药</w:t>
                  </w:r>
                </w:p>
              </w:tc>
            </w:tr>
          </w:tbl>
          <w:p w14:paraId="4D21492A" w14:textId="77777777" w:rsidR="00DD0775" w:rsidRDefault="00DD0775" w:rsidP="00D572D3">
            <w:pPr>
              <w:spacing w:line="360" w:lineRule="auto"/>
              <w:ind w:firstLineChars="200" w:firstLine="420"/>
              <w:rPr>
                <w:rFonts w:ascii="Segoe UI" w:eastAsia="Segoe UI" w:hAnsi="Segoe UI" w:cs="Segoe UI"/>
                <w:kern w:val="0"/>
                <w:szCs w:val="21"/>
                <w:shd w:val="clear" w:color="auto" w:fill="FFFFFF"/>
                <w:lang w:bidi="ar"/>
              </w:rPr>
            </w:pPr>
          </w:p>
          <w:p w14:paraId="7B3A5EF2" w14:textId="77777777" w:rsidR="00DD0775" w:rsidRDefault="00FE3EF3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2、MNC比如强生收购了TSLP/IL33，请问对于后续双靶药物做自免大适应症的前景机会？以及我们选择IL-4/IL-31的处于什么考量？ </w:t>
            </w:r>
          </w:p>
          <w:p w14:paraId="6C73E42A" w14:textId="77777777" w:rsidR="00DD0775" w:rsidRDefault="00FE3EF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答：公司长期致力于免疫疾病领域的研发与创新，尤其注重老年人口和慢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性病管理的长期用药市场，这一市场的潜力巨大且需求明确。在管线布局方面，公司选择了GB12作为重点研发方向，其核心考虑在于IL-4/IL-31靶点组合的多样性和适应症扩展潜力。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 xml:space="preserve">     具体而言，IL-4和IL-31靶点的组合不仅能够覆盖多种免疫相关疾病，还通过多通路协同治疗有效解决单靶点药物可能面临的耐药性局限。这种策略不仅可以提高药物的疗效，还能为患者提供更加全面和持久的治疗方案。此外，该靶点组合在适应症扩展上具有显著优势，例如可以应用于特应性皮炎、哮喘以及其他炎症性疾病，从而进一步扩大产品的市场覆盖面和商业价值。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</w:r>
          </w:p>
          <w:p w14:paraId="7754D9CE" w14:textId="77777777" w:rsidR="00DD0775" w:rsidRDefault="00FE3EF3">
            <w:pPr>
              <w:spacing w:line="360" w:lineRule="auto"/>
              <w:ind w:firstLineChars="300" w:firstLine="723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3. 针对炎症性肠病的现有靶点，TL1A具备哪些优势？我们立项双靶TL1A的科学考量依据？</w:t>
            </w:r>
          </w:p>
          <w:p w14:paraId="66F7AC39" w14:textId="77777777" w:rsidR="00DD0775" w:rsidRDefault="00FE3EF3">
            <w:pPr>
              <w:spacing w:line="360" w:lineRule="auto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答：TL1A靶点的核心优势，TL1A（TNF-like molecule 1A）在IBD调控网络中处于上游位置，可以被视为“总阀门”来阻断多条与IBD相关的炎症信号通路。这种机制使得TL1A抑制剂能够更全面地干预疾病进展，相较于现有靶点如TNF-α、p19/p40或α4β7等，其作用范围更广且更加根本化。</w:t>
            </w:r>
          </w:p>
          <w:p w14:paraId="1C38151B" w14:textId="77777777" w:rsidR="00DD0775" w:rsidRDefault="00FE3EF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TL1A双抗的立项逻辑，鉴于IBD病因复杂，单一靶点难以完全满足临床需求，因此开发TL1A双抗成为一种重要的策略。以下是其主要考虑因素：</w:t>
            </w:r>
          </w:p>
          <w:p w14:paraId="1F5FCB8C" w14:textId="77777777" w:rsidR="00DD0775" w:rsidRDefault="00FE3EF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（1）T细胞通路的局限性</w:t>
            </w:r>
          </w:p>
          <w:p w14:paraId="040D2BA6" w14:textId="77777777" w:rsidR="00DD0775" w:rsidRDefault="00FE3EF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TL1A主要针对T细胞介导的炎症信号传导，虽然重要，但不足以全面阻断IBD的所有致病机制。</w:t>
            </w:r>
          </w:p>
          <w:p w14:paraId="65CF9EA5" w14:textId="77777777" w:rsidR="00DD0775" w:rsidRDefault="00FE3EF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（2）联合其他关键靶点</w:t>
            </w:r>
          </w:p>
          <w:p w14:paraId="41334BD7" w14:textId="77777777" w:rsidR="00DD0775" w:rsidRDefault="00FE3EF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第二个靶点的选择旨在补充TL1A的作用不足，例如针对B细胞、巨噬细胞以及肠道上皮细胞的功能。</w:t>
            </w:r>
          </w:p>
          <w:p w14:paraId="32DE4BDC" w14:textId="77777777" w:rsidR="00DD0775" w:rsidRDefault="00FE3EF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（3）协同效应</w:t>
            </w:r>
          </w:p>
          <w:p w14:paraId="7E9240CA" w14:textId="77777777" w:rsidR="00DD0775" w:rsidRDefault="00FE3EF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双抗设计结合两个互补靶点，可以在分子水平实现更深层次的信号阻断，从而提高治疗效果并减少复发风险。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</w:p>
          <w:p w14:paraId="194D6E68" w14:textId="77777777" w:rsidR="00DD0775" w:rsidRDefault="00FE3EF3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   4、公司创新药的海外布局计划？以及BD出海预期？ </w:t>
            </w:r>
          </w:p>
          <w:p w14:paraId="193F0161" w14:textId="77777777" w:rsidR="00DD0775" w:rsidRDefault="00FE3EF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答：公司正在积极推进国际化战略，致力于每年完成一定数量的创新药中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美临床申报工作，以加速产品管线的国际化进程。与此同时，公司持续强化海外业务拓展（BD）能力，通过组建专业的中国和欧美BD团队，积极寻求与全球领先制药企业的深度合作。目前，多个创新药项目已进入合作洽谈阶段。此外，公司还加大了对外学术交流的力度，通过参与国际顶尖医药会议、发表高水平科研论文以及建立跨国研究合作伙伴关系等方式，不断提升自身在创新药物研发领域的国际影响力。</w:t>
            </w:r>
          </w:p>
          <w:p w14:paraId="32F081E1" w14:textId="77777777" w:rsidR="00DD0775" w:rsidRDefault="00DD0775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CDB2B76" w14:textId="77777777" w:rsidR="00DD0775" w:rsidRDefault="00FE3EF3">
            <w:pPr>
              <w:numPr>
                <w:ilvl w:val="0"/>
                <w:numId w:val="6"/>
              </w:num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公司目前国内和海外经营情况？25年是否有一些趋势上的指引？</w:t>
            </w:r>
          </w:p>
          <w:p w14:paraId="7B53AF90" w14:textId="77777777" w:rsidR="00DD0775" w:rsidRDefault="00FE3EF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答：近年来，公司在国内和海外市场均取得了良好的经营成果，尤其在海外商业化方面表现尤为突出。作为一家深耕国际化多年的公司，我们早已布局全球市场，并在产品引进、注册以及销售等环节积累了丰富经验。2021年，公司明确制定了海外商业化战略，这一决策为后续发展奠定了坚实基础。目前，欧盟市场的白蛋白紫杉醇产品销售情况良好，同时，新产品的注册工作也在新兴市场多国稳步推进并陆续获批，进一步巩固了公司海外商业化平台价值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 xml:space="preserve">    展望未来，公司计划依托成熟的海外商业化平台，在2025年持续引入新产品并推动其销售，从而实现业务的长期增长。预计在未来5-10年内，公司将不断拓展国际市场版图，覆盖更多区域与客户群体，确保海外商业化战略稳步实施。值得一提的是，根据公司2024年推出的股权激励计划，到2025年，外销收入增速目标设定为相比2023年增长200%-400%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 xml:space="preserve">    整体来看，依托公司清晰的战略规划和全体员工的共同努力，公司对未来业务发展充满期待，并将继续致力于为股东创造更大价值，为全球客户提供优质产品和服务。</w:t>
            </w:r>
          </w:p>
          <w:p w14:paraId="5C80119F" w14:textId="77777777" w:rsidR="00DD0775" w:rsidRDefault="00FE3EF3">
            <w:pPr>
              <w:widowControl/>
              <w:spacing w:line="360" w:lineRule="auto"/>
              <w:ind w:firstLineChars="200" w:firstLine="4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 </w:t>
            </w:r>
          </w:p>
        </w:tc>
      </w:tr>
      <w:tr w:rsidR="00DD0775" w14:paraId="7C62B6E5" w14:textId="77777777">
        <w:tc>
          <w:tcPr>
            <w:tcW w:w="2679" w:type="dxa"/>
          </w:tcPr>
          <w:p w14:paraId="2EFF5D15" w14:textId="77777777" w:rsidR="00DD0775" w:rsidRDefault="00FE3EF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lastRenderedPageBreak/>
              <w:t>附件清单（如有）</w:t>
            </w:r>
          </w:p>
        </w:tc>
        <w:tc>
          <w:tcPr>
            <w:tcW w:w="5617" w:type="dxa"/>
          </w:tcPr>
          <w:p w14:paraId="5DB25764" w14:textId="77777777" w:rsidR="00DD0775" w:rsidRDefault="00FE3EF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无</w:t>
            </w:r>
          </w:p>
        </w:tc>
      </w:tr>
      <w:tr w:rsidR="00DD0775" w14:paraId="27D7045E" w14:textId="77777777">
        <w:tc>
          <w:tcPr>
            <w:tcW w:w="2679" w:type="dxa"/>
          </w:tcPr>
          <w:p w14:paraId="75104CC0" w14:textId="77777777" w:rsidR="00DD0775" w:rsidRDefault="00FE3EF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日期</w:t>
            </w:r>
          </w:p>
        </w:tc>
        <w:tc>
          <w:tcPr>
            <w:tcW w:w="5617" w:type="dxa"/>
          </w:tcPr>
          <w:p w14:paraId="107D5910" w14:textId="6FBD2EF8" w:rsidR="00DD0775" w:rsidRDefault="00FE3EF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2025年3月</w:t>
            </w:r>
            <w:r w:rsidR="005F4BC6">
              <w:rPr>
                <w:rFonts w:ascii="宋体" w:eastAsia="宋体" w:hAnsi="宋体"/>
                <w:sz w:val="24"/>
                <w:szCs w:val="28"/>
              </w:rPr>
              <w:t>20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bookmarkEnd w:id="0"/>
    </w:tbl>
    <w:p w14:paraId="464C5EDB" w14:textId="77777777" w:rsidR="00DD0775" w:rsidRDefault="00DD0775">
      <w:pPr>
        <w:adjustRightInd w:val="0"/>
        <w:snapToGrid w:val="0"/>
        <w:spacing w:line="600" w:lineRule="exact"/>
        <w:rPr>
          <w:rFonts w:ascii="宋体" w:eastAsia="宋体" w:hAnsi="宋体" w:cs="Arial"/>
          <w:bCs/>
          <w:sz w:val="28"/>
          <w:szCs w:val="28"/>
        </w:rPr>
      </w:pPr>
    </w:p>
    <w:sectPr w:rsidR="00DD07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69F6E" w14:textId="77777777" w:rsidR="00C64420" w:rsidRDefault="00C64420" w:rsidP="00B95EDE">
      <w:r>
        <w:separator/>
      </w:r>
    </w:p>
  </w:endnote>
  <w:endnote w:type="continuationSeparator" w:id="0">
    <w:p w14:paraId="2DC49209" w14:textId="77777777" w:rsidR="00C64420" w:rsidRDefault="00C64420" w:rsidP="00B9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6B74D" w14:textId="77777777" w:rsidR="00C64420" w:rsidRDefault="00C64420" w:rsidP="00B95EDE">
      <w:r>
        <w:separator/>
      </w:r>
    </w:p>
  </w:footnote>
  <w:footnote w:type="continuationSeparator" w:id="0">
    <w:p w14:paraId="5EEAC897" w14:textId="77777777" w:rsidR="00C64420" w:rsidRDefault="00C64420" w:rsidP="00B9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EBFAC8"/>
    <w:multiLevelType w:val="singleLevel"/>
    <w:tmpl w:val="8CEBFAC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C38A313D"/>
    <w:multiLevelType w:val="singleLevel"/>
    <w:tmpl w:val="C38A313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A8FCFB9"/>
    <w:multiLevelType w:val="singleLevel"/>
    <w:tmpl w:val="FA8FCFB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 w15:restartNumberingAfterBreak="0">
    <w:nsid w:val="15A289F6"/>
    <w:multiLevelType w:val="singleLevel"/>
    <w:tmpl w:val="15A289F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44D60975"/>
    <w:multiLevelType w:val="singleLevel"/>
    <w:tmpl w:val="44D6097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 w15:restartNumberingAfterBreak="0">
    <w:nsid w:val="7B482AC9"/>
    <w:multiLevelType w:val="singleLevel"/>
    <w:tmpl w:val="7B482AC9"/>
    <w:lvl w:ilvl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mMzg2Y2U0NjMzNzhiNDNlNjkwZjQ1ZjE5YTIzMTEifQ=="/>
  </w:docVars>
  <w:rsids>
    <w:rsidRoot w:val="00D01F78"/>
    <w:rsid w:val="A7FB46CC"/>
    <w:rsid w:val="ADFE30C7"/>
    <w:rsid w:val="B3EF720F"/>
    <w:rsid w:val="BBFBBD9A"/>
    <w:rsid w:val="BBFF1E88"/>
    <w:rsid w:val="BBFFC7D7"/>
    <w:rsid w:val="BDFFB2CD"/>
    <w:rsid w:val="BEB7173E"/>
    <w:rsid w:val="BF9FAC95"/>
    <w:rsid w:val="BFAF82D5"/>
    <w:rsid w:val="BFFFEFE8"/>
    <w:rsid w:val="C76FCAFB"/>
    <w:rsid w:val="D6FB872C"/>
    <w:rsid w:val="D7BC1E64"/>
    <w:rsid w:val="DDFF236C"/>
    <w:rsid w:val="DFFCD7E4"/>
    <w:rsid w:val="DFFF700E"/>
    <w:rsid w:val="EBC5AD87"/>
    <w:rsid w:val="EF9D0B5E"/>
    <w:rsid w:val="F63FF461"/>
    <w:rsid w:val="F9DA9629"/>
    <w:rsid w:val="F9FD851F"/>
    <w:rsid w:val="FB3F6A81"/>
    <w:rsid w:val="FBBF658C"/>
    <w:rsid w:val="FBFB84BE"/>
    <w:rsid w:val="FDEF09A5"/>
    <w:rsid w:val="FDFC139B"/>
    <w:rsid w:val="FEFFD3DA"/>
    <w:rsid w:val="FFDF3D19"/>
    <w:rsid w:val="FFEFB528"/>
    <w:rsid w:val="00000E28"/>
    <w:rsid w:val="00017BA8"/>
    <w:rsid w:val="00023F72"/>
    <w:rsid w:val="0002651D"/>
    <w:rsid w:val="000320FD"/>
    <w:rsid w:val="00063668"/>
    <w:rsid w:val="0006783E"/>
    <w:rsid w:val="0008206E"/>
    <w:rsid w:val="000835AF"/>
    <w:rsid w:val="000B5BFD"/>
    <w:rsid w:val="000E7B1F"/>
    <w:rsid w:val="000F6EDF"/>
    <w:rsid w:val="00100E4D"/>
    <w:rsid w:val="001234DD"/>
    <w:rsid w:val="00126577"/>
    <w:rsid w:val="001277C0"/>
    <w:rsid w:val="00150A31"/>
    <w:rsid w:val="00163DCA"/>
    <w:rsid w:val="001871C9"/>
    <w:rsid w:val="001909E5"/>
    <w:rsid w:val="00195C5C"/>
    <w:rsid w:val="001B74C2"/>
    <w:rsid w:val="001D3191"/>
    <w:rsid w:val="001D5233"/>
    <w:rsid w:val="001D580A"/>
    <w:rsid w:val="001E5BD7"/>
    <w:rsid w:val="00243936"/>
    <w:rsid w:val="002676EF"/>
    <w:rsid w:val="0027417D"/>
    <w:rsid w:val="00276E0F"/>
    <w:rsid w:val="00281AD0"/>
    <w:rsid w:val="0029042B"/>
    <w:rsid w:val="00293113"/>
    <w:rsid w:val="00295218"/>
    <w:rsid w:val="002A4BF1"/>
    <w:rsid w:val="002C6F89"/>
    <w:rsid w:val="002D596F"/>
    <w:rsid w:val="002F1919"/>
    <w:rsid w:val="002F5CA1"/>
    <w:rsid w:val="00301D0B"/>
    <w:rsid w:val="0034205E"/>
    <w:rsid w:val="00361860"/>
    <w:rsid w:val="003705F8"/>
    <w:rsid w:val="0037638C"/>
    <w:rsid w:val="00387C8A"/>
    <w:rsid w:val="003B1AB7"/>
    <w:rsid w:val="003B4DFD"/>
    <w:rsid w:val="003E363B"/>
    <w:rsid w:val="003E6F30"/>
    <w:rsid w:val="00412429"/>
    <w:rsid w:val="0045773B"/>
    <w:rsid w:val="004A5175"/>
    <w:rsid w:val="004B522C"/>
    <w:rsid w:val="004D06AE"/>
    <w:rsid w:val="004D165B"/>
    <w:rsid w:val="004D42F2"/>
    <w:rsid w:val="004E632F"/>
    <w:rsid w:val="004F0634"/>
    <w:rsid w:val="004F0672"/>
    <w:rsid w:val="004F7BB5"/>
    <w:rsid w:val="005039D4"/>
    <w:rsid w:val="005549A9"/>
    <w:rsid w:val="0056177A"/>
    <w:rsid w:val="005713CD"/>
    <w:rsid w:val="00582124"/>
    <w:rsid w:val="00587097"/>
    <w:rsid w:val="00591CCE"/>
    <w:rsid w:val="005B79E0"/>
    <w:rsid w:val="005C6BA9"/>
    <w:rsid w:val="005D60DB"/>
    <w:rsid w:val="005E3768"/>
    <w:rsid w:val="005E3DEB"/>
    <w:rsid w:val="005E7168"/>
    <w:rsid w:val="005F4BC6"/>
    <w:rsid w:val="00615B88"/>
    <w:rsid w:val="00617645"/>
    <w:rsid w:val="00620070"/>
    <w:rsid w:val="00623D6A"/>
    <w:rsid w:val="00625737"/>
    <w:rsid w:val="006527A9"/>
    <w:rsid w:val="00664533"/>
    <w:rsid w:val="00683DF7"/>
    <w:rsid w:val="006978C5"/>
    <w:rsid w:val="006A2159"/>
    <w:rsid w:val="006C46BF"/>
    <w:rsid w:val="006C656E"/>
    <w:rsid w:val="006E022C"/>
    <w:rsid w:val="00702E1A"/>
    <w:rsid w:val="00707D35"/>
    <w:rsid w:val="00707EED"/>
    <w:rsid w:val="007426C3"/>
    <w:rsid w:val="0074398F"/>
    <w:rsid w:val="00751BFA"/>
    <w:rsid w:val="00757A0F"/>
    <w:rsid w:val="007622A7"/>
    <w:rsid w:val="007651AA"/>
    <w:rsid w:val="0076528C"/>
    <w:rsid w:val="00766702"/>
    <w:rsid w:val="00771B8C"/>
    <w:rsid w:val="007B05AF"/>
    <w:rsid w:val="007B4AE5"/>
    <w:rsid w:val="007D0DE0"/>
    <w:rsid w:val="007D22E2"/>
    <w:rsid w:val="007E072B"/>
    <w:rsid w:val="007E5F2A"/>
    <w:rsid w:val="007F4C86"/>
    <w:rsid w:val="007F5D09"/>
    <w:rsid w:val="00810379"/>
    <w:rsid w:val="00815E6B"/>
    <w:rsid w:val="00831F56"/>
    <w:rsid w:val="00843075"/>
    <w:rsid w:val="008A03B4"/>
    <w:rsid w:val="008A74CD"/>
    <w:rsid w:val="008B68A6"/>
    <w:rsid w:val="008C48ED"/>
    <w:rsid w:val="008D7299"/>
    <w:rsid w:val="008F2E43"/>
    <w:rsid w:val="008F43E1"/>
    <w:rsid w:val="0091482B"/>
    <w:rsid w:val="00922D94"/>
    <w:rsid w:val="009241D8"/>
    <w:rsid w:val="009454C4"/>
    <w:rsid w:val="009624C1"/>
    <w:rsid w:val="009D58DE"/>
    <w:rsid w:val="009E77EC"/>
    <w:rsid w:val="00A16FBE"/>
    <w:rsid w:val="00A2137D"/>
    <w:rsid w:val="00A63554"/>
    <w:rsid w:val="00A66F37"/>
    <w:rsid w:val="00A6752E"/>
    <w:rsid w:val="00A7239C"/>
    <w:rsid w:val="00A741EA"/>
    <w:rsid w:val="00A762A3"/>
    <w:rsid w:val="00A855E4"/>
    <w:rsid w:val="00A921AE"/>
    <w:rsid w:val="00AC0420"/>
    <w:rsid w:val="00AC0DEF"/>
    <w:rsid w:val="00AD176B"/>
    <w:rsid w:val="00AE79CE"/>
    <w:rsid w:val="00AF47D9"/>
    <w:rsid w:val="00B21809"/>
    <w:rsid w:val="00B549F4"/>
    <w:rsid w:val="00B663D4"/>
    <w:rsid w:val="00B71EA5"/>
    <w:rsid w:val="00B91907"/>
    <w:rsid w:val="00B91942"/>
    <w:rsid w:val="00B95EDE"/>
    <w:rsid w:val="00BC384C"/>
    <w:rsid w:val="00BF3900"/>
    <w:rsid w:val="00C14362"/>
    <w:rsid w:val="00C159AE"/>
    <w:rsid w:val="00C37FB8"/>
    <w:rsid w:val="00C44CE5"/>
    <w:rsid w:val="00C5038E"/>
    <w:rsid w:val="00C630BF"/>
    <w:rsid w:val="00C64024"/>
    <w:rsid w:val="00C64420"/>
    <w:rsid w:val="00C701AF"/>
    <w:rsid w:val="00C74B9E"/>
    <w:rsid w:val="00CA1F0B"/>
    <w:rsid w:val="00CA6D56"/>
    <w:rsid w:val="00CB6760"/>
    <w:rsid w:val="00CB7DA7"/>
    <w:rsid w:val="00CC6993"/>
    <w:rsid w:val="00CE3BED"/>
    <w:rsid w:val="00CF4359"/>
    <w:rsid w:val="00D01F78"/>
    <w:rsid w:val="00D05220"/>
    <w:rsid w:val="00D07C33"/>
    <w:rsid w:val="00D10138"/>
    <w:rsid w:val="00D10669"/>
    <w:rsid w:val="00D1388F"/>
    <w:rsid w:val="00D209E3"/>
    <w:rsid w:val="00D24252"/>
    <w:rsid w:val="00D41195"/>
    <w:rsid w:val="00D4207D"/>
    <w:rsid w:val="00D572D3"/>
    <w:rsid w:val="00D64BFC"/>
    <w:rsid w:val="00D708AC"/>
    <w:rsid w:val="00D7131F"/>
    <w:rsid w:val="00DB41D1"/>
    <w:rsid w:val="00DC4B44"/>
    <w:rsid w:val="00DD0775"/>
    <w:rsid w:val="00DD6FE2"/>
    <w:rsid w:val="00DF0381"/>
    <w:rsid w:val="00DF1242"/>
    <w:rsid w:val="00E01B97"/>
    <w:rsid w:val="00E140E3"/>
    <w:rsid w:val="00E3506B"/>
    <w:rsid w:val="00E645CE"/>
    <w:rsid w:val="00E77992"/>
    <w:rsid w:val="00E819ED"/>
    <w:rsid w:val="00E82DD5"/>
    <w:rsid w:val="00E92150"/>
    <w:rsid w:val="00EA1379"/>
    <w:rsid w:val="00EB1223"/>
    <w:rsid w:val="00EB4654"/>
    <w:rsid w:val="00F2295F"/>
    <w:rsid w:val="00F2319F"/>
    <w:rsid w:val="00F27441"/>
    <w:rsid w:val="00F318AE"/>
    <w:rsid w:val="00F4323B"/>
    <w:rsid w:val="00F64E18"/>
    <w:rsid w:val="00F71BDA"/>
    <w:rsid w:val="00F771AA"/>
    <w:rsid w:val="00F9005E"/>
    <w:rsid w:val="00FB5666"/>
    <w:rsid w:val="00FC4A7B"/>
    <w:rsid w:val="00FE05DE"/>
    <w:rsid w:val="00FE2680"/>
    <w:rsid w:val="00FE3EF3"/>
    <w:rsid w:val="00FF051C"/>
    <w:rsid w:val="00FF18F9"/>
    <w:rsid w:val="00FF3069"/>
    <w:rsid w:val="01470407"/>
    <w:rsid w:val="0159017F"/>
    <w:rsid w:val="018F2EE2"/>
    <w:rsid w:val="01A050EF"/>
    <w:rsid w:val="01C54B55"/>
    <w:rsid w:val="01CE7C0A"/>
    <w:rsid w:val="01DD2318"/>
    <w:rsid w:val="023618CA"/>
    <w:rsid w:val="028E2F98"/>
    <w:rsid w:val="02B82B4C"/>
    <w:rsid w:val="02CA7C7C"/>
    <w:rsid w:val="02DB0613"/>
    <w:rsid w:val="02F02042"/>
    <w:rsid w:val="033A4CF6"/>
    <w:rsid w:val="033D1DCF"/>
    <w:rsid w:val="037203C5"/>
    <w:rsid w:val="043930E0"/>
    <w:rsid w:val="049401F6"/>
    <w:rsid w:val="04B52C5F"/>
    <w:rsid w:val="058F173B"/>
    <w:rsid w:val="059370C8"/>
    <w:rsid w:val="06823015"/>
    <w:rsid w:val="06ED3ED5"/>
    <w:rsid w:val="071C433A"/>
    <w:rsid w:val="071E3DAE"/>
    <w:rsid w:val="0768280C"/>
    <w:rsid w:val="076938CE"/>
    <w:rsid w:val="076B3AA9"/>
    <w:rsid w:val="077352D8"/>
    <w:rsid w:val="07C2786C"/>
    <w:rsid w:val="07D739DE"/>
    <w:rsid w:val="08FE7EA5"/>
    <w:rsid w:val="092F1D3F"/>
    <w:rsid w:val="096B4234"/>
    <w:rsid w:val="0992531D"/>
    <w:rsid w:val="0A3F3F1C"/>
    <w:rsid w:val="0AE0615E"/>
    <w:rsid w:val="0B031AD7"/>
    <w:rsid w:val="0B10415B"/>
    <w:rsid w:val="0B2524D9"/>
    <w:rsid w:val="0BCC7C0F"/>
    <w:rsid w:val="0BCF2858"/>
    <w:rsid w:val="0C2F779B"/>
    <w:rsid w:val="0C3A1825"/>
    <w:rsid w:val="0C830F3B"/>
    <w:rsid w:val="0D115D9B"/>
    <w:rsid w:val="0D5079C9"/>
    <w:rsid w:val="0D754339"/>
    <w:rsid w:val="0D754C02"/>
    <w:rsid w:val="0D814189"/>
    <w:rsid w:val="0D927D14"/>
    <w:rsid w:val="0DC45CC1"/>
    <w:rsid w:val="0DD25C19"/>
    <w:rsid w:val="0DDD4AC0"/>
    <w:rsid w:val="0DE63E89"/>
    <w:rsid w:val="0E6810E9"/>
    <w:rsid w:val="0E947D89"/>
    <w:rsid w:val="0EA0672E"/>
    <w:rsid w:val="0F2E5AE8"/>
    <w:rsid w:val="0F4E29E4"/>
    <w:rsid w:val="0F5721C2"/>
    <w:rsid w:val="0FCD09AB"/>
    <w:rsid w:val="10003EDA"/>
    <w:rsid w:val="10202EA2"/>
    <w:rsid w:val="103B39EF"/>
    <w:rsid w:val="104B02FC"/>
    <w:rsid w:val="10947C2E"/>
    <w:rsid w:val="10EB5020"/>
    <w:rsid w:val="11283480"/>
    <w:rsid w:val="113D0264"/>
    <w:rsid w:val="113E5D8A"/>
    <w:rsid w:val="11953FDD"/>
    <w:rsid w:val="11F02AD1"/>
    <w:rsid w:val="12200B6D"/>
    <w:rsid w:val="12683281"/>
    <w:rsid w:val="126F6B43"/>
    <w:rsid w:val="12D17F56"/>
    <w:rsid w:val="12F325E0"/>
    <w:rsid w:val="139212B7"/>
    <w:rsid w:val="13DE1F8C"/>
    <w:rsid w:val="14697FC7"/>
    <w:rsid w:val="146D2C0E"/>
    <w:rsid w:val="14BA3FCB"/>
    <w:rsid w:val="14FA4E9A"/>
    <w:rsid w:val="150652B2"/>
    <w:rsid w:val="15802E15"/>
    <w:rsid w:val="15B13003"/>
    <w:rsid w:val="160E0421"/>
    <w:rsid w:val="166B13D0"/>
    <w:rsid w:val="169B5EBF"/>
    <w:rsid w:val="17740758"/>
    <w:rsid w:val="178564C1"/>
    <w:rsid w:val="17B3460D"/>
    <w:rsid w:val="17BC366D"/>
    <w:rsid w:val="18292E76"/>
    <w:rsid w:val="186007B8"/>
    <w:rsid w:val="18BA0087"/>
    <w:rsid w:val="18C21ACA"/>
    <w:rsid w:val="18C57ED2"/>
    <w:rsid w:val="18DB34CA"/>
    <w:rsid w:val="18E85C8C"/>
    <w:rsid w:val="18E96456"/>
    <w:rsid w:val="190B50EC"/>
    <w:rsid w:val="19241AA1"/>
    <w:rsid w:val="194B54E8"/>
    <w:rsid w:val="19973C65"/>
    <w:rsid w:val="19EE7B83"/>
    <w:rsid w:val="1A333834"/>
    <w:rsid w:val="1A8D33D8"/>
    <w:rsid w:val="1ADE2D63"/>
    <w:rsid w:val="1ADF238C"/>
    <w:rsid w:val="1B404402"/>
    <w:rsid w:val="1B721452"/>
    <w:rsid w:val="1B9E18B2"/>
    <w:rsid w:val="1C3404B6"/>
    <w:rsid w:val="1C387FA6"/>
    <w:rsid w:val="1C3D736A"/>
    <w:rsid w:val="1C626A97"/>
    <w:rsid w:val="1CE15AF5"/>
    <w:rsid w:val="1D2D73DF"/>
    <w:rsid w:val="1D552DD9"/>
    <w:rsid w:val="1DA50771"/>
    <w:rsid w:val="1DAA169F"/>
    <w:rsid w:val="1DB573D4"/>
    <w:rsid w:val="1E4804A6"/>
    <w:rsid w:val="1E7A19C6"/>
    <w:rsid w:val="1EAA034F"/>
    <w:rsid w:val="1F613548"/>
    <w:rsid w:val="1F9A129F"/>
    <w:rsid w:val="1FA417E6"/>
    <w:rsid w:val="1FAB4F33"/>
    <w:rsid w:val="1FCF491A"/>
    <w:rsid w:val="202A22FB"/>
    <w:rsid w:val="20415581"/>
    <w:rsid w:val="20634C25"/>
    <w:rsid w:val="20AF45AF"/>
    <w:rsid w:val="20F6373E"/>
    <w:rsid w:val="21187E9A"/>
    <w:rsid w:val="213571AA"/>
    <w:rsid w:val="215B5006"/>
    <w:rsid w:val="215F5FD5"/>
    <w:rsid w:val="219C2D85"/>
    <w:rsid w:val="22827E15"/>
    <w:rsid w:val="22F470FB"/>
    <w:rsid w:val="232E5091"/>
    <w:rsid w:val="23303983"/>
    <w:rsid w:val="236D2C2B"/>
    <w:rsid w:val="237F2252"/>
    <w:rsid w:val="24227B5B"/>
    <w:rsid w:val="245E2574"/>
    <w:rsid w:val="24997A50"/>
    <w:rsid w:val="24F24727"/>
    <w:rsid w:val="256A520F"/>
    <w:rsid w:val="259D6FE8"/>
    <w:rsid w:val="25D64C34"/>
    <w:rsid w:val="26715206"/>
    <w:rsid w:val="26A50FFC"/>
    <w:rsid w:val="26B14BF8"/>
    <w:rsid w:val="26B50445"/>
    <w:rsid w:val="26FA1719"/>
    <w:rsid w:val="270E75B1"/>
    <w:rsid w:val="274A4623"/>
    <w:rsid w:val="275C7382"/>
    <w:rsid w:val="277A5916"/>
    <w:rsid w:val="27AD1B76"/>
    <w:rsid w:val="28345287"/>
    <w:rsid w:val="283B4EB7"/>
    <w:rsid w:val="28CB3F50"/>
    <w:rsid w:val="28FB2A87"/>
    <w:rsid w:val="293924A1"/>
    <w:rsid w:val="297E7214"/>
    <w:rsid w:val="298A0E22"/>
    <w:rsid w:val="2A4E4E38"/>
    <w:rsid w:val="2A8541B6"/>
    <w:rsid w:val="2ACA2711"/>
    <w:rsid w:val="2B05744C"/>
    <w:rsid w:val="2B9E594C"/>
    <w:rsid w:val="2BCC1714"/>
    <w:rsid w:val="2BD72A66"/>
    <w:rsid w:val="2C220FED"/>
    <w:rsid w:val="2CAE2072"/>
    <w:rsid w:val="2D555F32"/>
    <w:rsid w:val="2D7921CC"/>
    <w:rsid w:val="2DB31A09"/>
    <w:rsid w:val="2DBB4593"/>
    <w:rsid w:val="2DE1366E"/>
    <w:rsid w:val="2E2B136E"/>
    <w:rsid w:val="2E4A7906"/>
    <w:rsid w:val="2E6F95D5"/>
    <w:rsid w:val="2E7035CF"/>
    <w:rsid w:val="2E81758A"/>
    <w:rsid w:val="2E8C5F2F"/>
    <w:rsid w:val="2E9274D5"/>
    <w:rsid w:val="2EDC6EB7"/>
    <w:rsid w:val="2F805A94"/>
    <w:rsid w:val="2F9C48AA"/>
    <w:rsid w:val="2FBF7E2F"/>
    <w:rsid w:val="2FFE05C5"/>
    <w:rsid w:val="300B11CE"/>
    <w:rsid w:val="30695248"/>
    <w:rsid w:val="31A2487C"/>
    <w:rsid w:val="31BA6175"/>
    <w:rsid w:val="3276317E"/>
    <w:rsid w:val="32AD0087"/>
    <w:rsid w:val="32AE05FD"/>
    <w:rsid w:val="32B829B4"/>
    <w:rsid w:val="32BF7CE3"/>
    <w:rsid w:val="33393B89"/>
    <w:rsid w:val="335F3EC7"/>
    <w:rsid w:val="336970F4"/>
    <w:rsid w:val="342F6F9B"/>
    <w:rsid w:val="344E43B3"/>
    <w:rsid w:val="34DC2D1A"/>
    <w:rsid w:val="35321EDC"/>
    <w:rsid w:val="355C48AD"/>
    <w:rsid w:val="36251143"/>
    <w:rsid w:val="36354C71"/>
    <w:rsid w:val="3687595A"/>
    <w:rsid w:val="369159FD"/>
    <w:rsid w:val="37024FE0"/>
    <w:rsid w:val="37355603"/>
    <w:rsid w:val="377C4D93"/>
    <w:rsid w:val="37802F46"/>
    <w:rsid w:val="37A7BB08"/>
    <w:rsid w:val="37B96292"/>
    <w:rsid w:val="37D7646D"/>
    <w:rsid w:val="37D83BF4"/>
    <w:rsid w:val="37E560D4"/>
    <w:rsid w:val="37F65BD2"/>
    <w:rsid w:val="38A307A0"/>
    <w:rsid w:val="38B47EFD"/>
    <w:rsid w:val="38E370CB"/>
    <w:rsid w:val="39290F4A"/>
    <w:rsid w:val="39BA7DF4"/>
    <w:rsid w:val="39DEC4CD"/>
    <w:rsid w:val="39E0610D"/>
    <w:rsid w:val="3A0816C3"/>
    <w:rsid w:val="3AE05B05"/>
    <w:rsid w:val="3B034704"/>
    <w:rsid w:val="3B7B4F44"/>
    <w:rsid w:val="3BA90120"/>
    <w:rsid w:val="3BE811F0"/>
    <w:rsid w:val="3BFD046C"/>
    <w:rsid w:val="3C073099"/>
    <w:rsid w:val="3C0D67D4"/>
    <w:rsid w:val="3C485B8B"/>
    <w:rsid w:val="3CB4598C"/>
    <w:rsid w:val="3CE16544"/>
    <w:rsid w:val="3D0B47E4"/>
    <w:rsid w:val="3D337DEB"/>
    <w:rsid w:val="3D654764"/>
    <w:rsid w:val="3D7F62A1"/>
    <w:rsid w:val="3DD33F80"/>
    <w:rsid w:val="3DF73674"/>
    <w:rsid w:val="3DFB6F7A"/>
    <w:rsid w:val="3E483C21"/>
    <w:rsid w:val="3EAD617A"/>
    <w:rsid w:val="3F210961"/>
    <w:rsid w:val="40225A46"/>
    <w:rsid w:val="40926CEA"/>
    <w:rsid w:val="40A0524F"/>
    <w:rsid w:val="42A73629"/>
    <w:rsid w:val="431B5DA8"/>
    <w:rsid w:val="432904DA"/>
    <w:rsid w:val="432C260C"/>
    <w:rsid w:val="43A33000"/>
    <w:rsid w:val="43AD2778"/>
    <w:rsid w:val="43CF06E2"/>
    <w:rsid w:val="43D321DE"/>
    <w:rsid w:val="440C3942"/>
    <w:rsid w:val="4415591B"/>
    <w:rsid w:val="441E30A5"/>
    <w:rsid w:val="44224C14"/>
    <w:rsid w:val="444F7F84"/>
    <w:rsid w:val="445A5831"/>
    <w:rsid w:val="452E1696"/>
    <w:rsid w:val="45A147EE"/>
    <w:rsid w:val="45C516E0"/>
    <w:rsid w:val="460B3709"/>
    <w:rsid w:val="46C978C9"/>
    <w:rsid w:val="471C20EE"/>
    <w:rsid w:val="47BA2898"/>
    <w:rsid w:val="4812704D"/>
    <w:rsid w:val="4875082B"/>
    <w:rsid w:val="48C10A8F"/>
    <w:rsid w:val="48CA2379"/>
    <w:rsid w:val="48E8191E"/>
    <w:rsid w:val="496960B9"/>
    <w:rsid w:val="497511EE"/>
    <w:rsid w:val="4987619D"/>
    <w:rsid w:val="4A471230"/>
    <w:rsid w:val="4A7F4E6E"/>
    <w:rsid w:val="4AE41175"/>
    <w:rsid w:val="4B023650"/>
    <w:rsid w:val="4B0B161A"/>
    <w:rsid w:val="4B490F25"/>
    <w:rsid w:val="4BC77420"/>
    <w:rsid w:val="4C251A45"/>
    <w:rsid w:val="4C322340"/>
    <w:rsid w:val="4C46376A"/>
    <w:rsid w:val="4CFC3EC0"/>
    <w:rsid w:val="4DA86B6F"/>
    <w:rsid w:val="4DD86643"/>
    <w:rsid w:val="4DFA760C"/>
    <w:rsid w:val="4E440697"/>
    <w:rsid w:val="4E46094E"/>
    <w:rsid w:val="4E7F438E"/>
    <w:rsid w:val="4EE35F2B"/>
    <w:rsid w:val="4EE935F1"/>
    <w:rsid w:val="4EE96D5A"/>
    <w:rsid w:val="4EEF11DC"/>
    <w:rsid w:val="4EF4153C"/>
    <w:rsid w:val="4F7D2F8F"/>
    <w:rsid w:val="4F824817"/>
    <w:rsid w:val="4F9949B0"/>
    <w:rsid w:val="4FAB04B3"/>
    <w:rsid w:val="4FC36B40"/>
    <w:rsid w:val="502879A6"/>
    <w:rsid w:val="51EE6435"/>
    <w:rsid w:val="52387763"/>
    <w:rsid w:val="52656D93"/>
    <w:rsid w:val="52A63D17"/>
    <w:rsid w:val="52AD4542"/>
    <w:rsid w:val="52E92FBC"/>
    <w:rsid w:val="52F16B0B"/>
    <w:rsid w:val="53755C4B"/>
    <w:rsid w:val="5443679D"/>
    <w:rsid w:val="550A7A2A"/>
    <w:rsid w:val="561A28CB"/>
    <w:rsid w:val="5627460C"/>
    <w:rsid w:val="56510FA5"/>
    <w:rsid w:val="566273F2"/>
    <w:rsid w:val="56C67981"/>
    <w:rsid w:val="56D55173"/>
    <w:rsid w:val="57CE32A0"/>
    <w:rsid w:val="57FD33AA"/>
    <w:rsid w:val="57FDC65D"/>
    <w:rsid w:val="581666E6"/>
    <w:rsid w:val="58450D79"/>
    <w:rsid w:val="596E48EA"/>
    <w:rsid w:val="59701E26"/>
    <w:rsid w:val="5A201A9E"/>
    <w:rsid w:val="5A32563D"/>
    <w:rsid w:val="5A7616BE"/>
    <w:rsid w:val="5A957D96"/>
    <w:rsid w:val="5AC01661"/>
    <w:rsid w:val="5AE14D89"/>
    <w:rsid w:val="5AFF4BED"/>
    <w:rsid w:val="5B4D764F"/>
    <w:rsid w:val="5B8F6EDB"/>
    <w:rsid w:val="5BC43166"/>
    <w:rsid w:val="5BCE55CA"/>
    <w:rsid w:val="5BD40F83"/>
    <w:rsid w:val="5C846771"/>
    <w:rsid w:val="5D4E2F89"/>
    <w:rsid w:val="5D6B1282"/>
    <w:rsid w:val="5D852DBC"/>
    <w:rsid w:val="5D9A4018"/>
    <w:rsid w:val="5E340776"/>
    <w:rsid w:val="5F3E6EDB"/>
    <w:rsid w:val="5FC15189"/>
    <w:rsid w:val="5FCB2B29"/>
    <w:rsid w:val="6019338F"/>
    <w:rsid w:val="60641CA4"/>
    <w:rsid w:val="60690934"/>
    <w:rsid w:val="606A6F1C"/>
    <w:rsid w:val="60AC6547"/>
    <w:rsid w:val="60E05068"/>
    <w:rsid w:val="60F5158E"/>
    <w:rsid w:val="612937BD"/>
    <w:rsid w:val="61355E2F"/>
    <w:rsid w:val="616C090E"/>
    <w:rsid w:val="6205183D"/>
    <w:rsid w:val="620C4474"/>
    <w:rsid w:val="62910BEB"/>
    <w:rsid w:val="62AB4AE4"/>
    <w:rsid w:val="63220635"/>
    <w:rsid w:val="63675EDB"/>
    <w:rsid w:val="63BC2E07"/>
    <w:rsid w:val="640F5C22"/>
    <w:rsid w:val="64726B60"/>
    <w:rsid w:val="6477050C"/>
    <w:rsid w:val="647E15DC"/>
    <w:rsid w:val="64875FB1"/>
    <w:rsid w:val="64A62BA0"/>
    <w:rsid w:val="64A75419"/>
    <w:rsid w:val="64C37BF6"/>
    <w:rsid w:val="64CF2713"/>
    <w:rsid w:val="65236E07"/>
    <w:rsid w:val="653528A1"/>
    <w:rsid w:val="65790817"/>
    <w:rsid w:val="65FF07B9"/>
    <w:rsid w:val="663618E6"/>
    <w:rsid w:val="6696745A"/>
    <w:rsid w:val="66E16DAB"/>
    <w:rsid w:val="670D5158"/>
    <w:rsid w:val="675A4125"/>
    <w:rsid w:val="676B6AE6"/>
    <w:rsid w:val="679B209C"/>
    <w:rsid w:val="67DFBB24"/>
    <w:rsid w:val="67E61C31"/>
    <w:rsid w:val="686B0388"/>
    <w:rsid w:val="688C0889"/>
    <w:rsid w:val="693B5FAC"/>
    <w:rsid w:val="69601EB7"/>
    <w:rsid w:val="699D0A15"/>
    <w:rsid w:val="69A27DD9"/>
    <w:rsid w:val="69B33F8A"/>
    <w:rsid w:val="69DA7573"/>
    <w:rsid w:val="69FA15DB"/>
    <w:rsid w:val="6A690982"/>
    <w:rsid w:val="6A745C1A"/>
    <w:rsid w:val="6A971908"/>
    <w:rsid w:val="6AC43C07"/>
    <w:rsid w:val="6B4F5D3F"/>
    <w:rsid w:val="6BB2015F"/>
    <w:rsid w:val="6C3C2767"/>
    <w:rsid w:val="6CB31DC6"/>
    <w:rsid w:val="6D4160FA"/>
    <w:rsid w:val="6D5E3752"/>
    <w:rsid w:val="6DFDEBC9"/>
    <w:rsid w:val="6E292877"/>
    <w:rsid w:val="6E3556C0"/>
    <w:rsid w:val="6ED529FF"/>
    <w:rsid w:val="6EDA0F52"/>
    <w:rsid w:val="6EFC1D3A"/>
    <w:rsid w:val="6F34261A"/>
    <w:rsid w:val="6F4006B4"/>
    <w:rsid w:val="6FF44DE9"/>
    <w:rsid w:val="6FFE2E24"/>
    <w:rsid w:val="700D4FB9"/>
    <w:rsid w:val="700D7A07"/>
    <w:rsid w:val="702D045C"/>
    <w:rsid w:val="7060454A"/>
    <w:rsid w:val="70D828FD"/>
    <w:rsid w:val="70F53EBA"/>
    <w:rsid w:val="711D200E"/>
    <w:rsid w:val="715D17B1"/>
    <w:rsid w:val="716A6C31"/>
    <w:rsid w:val="718A7AD1"/>
    <w:rsid w:val="71A877BD"/>
    <w:rsid w:val="71E27C7B"/>
    <w:rsid w:val="721455EC"/>
    <w:rsid w:val="724623DA"/>
    <w:rsid w:val="730409A8"/>
    <w:rsid w:val="73CA3A9A"/>
    <w:rsid w:val="73E3171A"/>
    <w:rsid w:val="73FF607A"/>
    <w:rsid w:val="74C70D53"/>
    <w:rsid w:val="74D379E1"/>
    <w:rsid w:val="7536663D"/>
    <w:rsid w:val="75401EA6"/>
    <w:rsid w:val="75613F66"/>
    <w:rsid w:val="757271FA"/>
    <w:rsid w:val="75C6103F"/>
    <w:rsid w:val="761936F0"/>
    <w:rsid w:val="76595CC4"/>
    <w:rsid w:val="767D7C04"/>
    <w:rsid w:val="768F760E"/>
    <w:rsid w:val="76A63608"/>
    <w:rsid w:val="76AC16B2"/>
    <w:rsid w:val="76BA0E58"/>
    <w:rsid w:val="77172E01"/>
    <w:rsid w:val="774231D8"/>
    <w:rsid w:val="77DA5FB4"/>
    <w:rsid w:val="77FBF1CF"/>
    <w:rsid w:val="785421A6"/>
    <w:rsid w:val="79D036BA"/>
    <w:rsid w:val="79E5228B"/>
    <w:rsid w:val="79FB986A"/>
    <w:rsid w:val="7A3064CE"/>
    <w:rsid w:val="7A474981"/>
    <w:rsid w:val="7A480529"/>
    <w:rsid w:val="7A546ECE"/>
    <w:rsid w:val="7A666C01"/>
    <w:rsid w:val="7A735E15"/>
    <w:rsid w:val="7AD6540F"/>
    <w:rsid w:val="7B0A0587"/>
    <w:rsid w:val="7B474C14"/>
    <w:rsid w:val="7B7B68AC"/>
    <w:rsid w:val="7BEE2505"/>
    <w:rsid w:val="7BFABD6A"/>
    <w:rsid w:val="7BFC781D"/>
    <w:rsid w:val="7BFF804E"/>
    <w:rsid w:val="7C0E5874"/>
    <w:rsid w:val="7CC16371"/>
    <w:rsid w:val="7CD05940"/>
    <w:rsid w:val="7DE40A57"/>
    <w:rsid w:val="7DE95B7F"/>
    <w:rsid w:val="7DF0035C"/>
    <w:rsid w:val="7DFE27A0"/>
    <w:rsid w:val="7E046E5D"/>
    <w:rsid w:val="7E3A5031"/>
    <w:rsid w:val="7E413C0D"/>
    <w:rsid w:val="7E815D24"/>
    <w:rsid w:val="7EBF30DE"/>
    <w:rsid w:val="7ECF2FC7"/>
    <w:rsid w:val="7ECFBA33"/>
    <w:rsid w:val="7F3528E3"/>
    <w:rsid w:val="7F47583B"/>
    <w:rsid w:val="7F4D0390"/>
    <w:rsid w:val="7F6BEC79"/>
    <w:rsid w:val="7F80048F"/>
    <w:rsid w:val="7FB1EE55"/>
    <w:rsid w:val="7FE89F73"/>
    <w:rsid w:val="9D6F08B8"/>
    <w:rsid w:val="9E36C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AFFE3E"/>
  <w15:docId w15:val="{FD717A6E-B2CA-4CC3-9558-5946D188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uiPriority w:val="1"/>
    <w:qFormat/>
    <w:rPr>
      <w:rFonts w:ascii="宋体" w:eastAsia="宋体" w:hAnsi="宋体" w:cs="宋体"/>
      <w:sz w:val="31"/>
      <w:szCs w:val="31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</w:rPr>
  </w:style>
  <w:style w:type="character" w:styleId="af1">
    <w:name w:val="Emphasis"/>
    <w:basedOn w:val="a0"/>
    <w:uiPriority w:val="20"/>
    <w:qFormat/>
    <w:rPr>
      <w:i/>
    </w:rPr>
  </w:style>
  <w:style w:type="character" w:styleId="af2">
    <w:name w:val="Hyperlink"/>
    <w:basedOn w:val="a0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玲玉</dc:creator>
  <cp:lastModifiedBy>daveqiu</cp:lastModifiedBy>
  <cp:revision>37</cp:revision>
  <dcterms:created xsi:type="dcterms:W3CDTF">2025-03-18T12:54:00Z</dcterms:created>
  <dcterms:modified xsi:type="dcterms:W3CDTF">2025-03-20T11:20:00Z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8E1313E1690F4A7385E959DDB76614B8_13</vt:lpwstr>
  </property>
  <property fmtid="{D5CDD505-2E9C-101B-9397-08002B2CF9AE}" pid="4" name="commondata">
    <vt:lpwstr>eyJoZGlkIjoiOTRmMzg2Y2U0NjMzNzhiNDNlNjkwZjQ1ZjE5YTIzMTEifQ==</vt:lpwstr>
  </property>
  <property fmtid="{D5CDD505-2E9C-101B-9397-08002B2CF9AE}" pid="5" name="KSOTemplateDocerSaveRecord">
    <vt:lpwstr>eyJoZGlkIjoiOTRmMzg2Y2U0NjMzNzhiNDNlNjkwZjQ1ZjE5YTIzMTEiLCJ1c2VySWQiOiIyODk4ODY2NzkifQ==</vt:lpwstr>
  </property>
</Properties>
</file>