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4644ADE5"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0037784B" w:rsidRPr="0037784B">
        <w:rPr>
          <w:rFonts w:ascii="Times New Roman" w:eastAsia="宋体" w:hAnsi="Times New Roman" w:cs="Times New Roman" w:hint="eastAsia"/>
          <w:bCs/>
          <w:iCs/>
          <w:color w:val="000000"/>
          <w:sz w:val="24"/>
          <w:szCs w:val="24"/>
        </w:rPr>
        <w:t>年</w:t>
      </w:r>
      <w:r w:rsidR="0057671E">
        <w:rPr>
          <w:rFonts w:ascii="Times New Roman" w:eastAsia="宋体" w:hAnsi="Times New Roman" w:cs="Times New Roman"/>
          <w:bCs/>
          <w:iCs/>
          <w:color w:val="000000"/>
          <w:sz w:val="24"/>
          <w:szCs w:val="24"/>
        </w:rPr>
        <w:t>3</w:t>
      </w:r>
      <w:r w:rsidR="0037784B" w:rsidRPr="0037784B">
        <w:rPr>
          <w:rFonts w:ascii="Times New Roman" w:eastAsia="宋体" w:hAnsi="Times New Roman" w:cs="Times New Roman" w:hint="eastAsia"/>
          <w:bCs/>
          <w:iCs/>
          <w:color w:val="000000"/>
          <w:sz w:val="24"/>
          <w:szCs w:val="24"/>
        </w:rPr>
        <w:t>月</w:t>
      </w:r>
      <w:r w:rsidR="00AA3AEE">
        <w:rPr>
          <w:rFonts w:ascii="Times New Roman" w:eastAsia="宋体" w:hAnsi="Times New Roman" w:cs="Times New Roman" w:hint="eastAsia"/>
          <w:bCs/>
          <w:iCs/>
          <w:color w:val="000000"/>
          <w:sz w:val="24"/>
          <w:szCs w:val="24"/>
        </w:rPr>
        <w:t>2</w:t>
      </w:r>
      <w:r w:rsidR="0057671E">
        <w:rPr>
          <w:rFonts w:ascii="Times New Roman" w:eastAsia="宋体" w:hAnsi="Times New Roman" w:cs="Times New Roman"/>
          <w:bCs/>
          <w:iCs/>
          <w:color w:val="000000"/>
          <w:sz w:val="24"/>
          <w:szCs w:val="24"/>
        </w:rPr>
        <w:t>6</w:t>
      </w:r>
      <w:r w:rsidR="0037784B" w:rsidRPr="0037784B">
        <w:rPr>
          <w:rFonts w:ascii="Times New Roman" w:eastAsia="宋体" w:hAnsi="Times New Roman" w:cs="Times New Roman" w:hint="eastAsia"/>
          <w:bCs/>
          <w:iCs/>
          <w:color w:val="000000"/>
          <w:sz w:val="24"/>
          <w:szCs w:val="24"/>
        </w:rPr>
        <w:t>日</w:t>
      </w:r>
      <w:r w:rsidR="00AA3AEE">
        <w:rPr>
          <w:rFonts w:ascii="Times New Roman" w:eastAsia="宋体" w:hAnsi="Times New Roman" w:cs="Times New Roman" w:hint="eastAsia"/>
          <w:bCs/>
          <w:iCs/>
          <w:color w:val="000000"/>
          <w:sz w:val="24"/>
          <w:szCs w:val="24"/>
        </w:rPr>
        <w:t xml:space="preserve"> </w:t>
      </w:r>
      <w:proofErr w:type="gramStart"/>
      <w:r w:rsidR="00AA3AEE">
        <w:rPr>
          <w:rFonts w:ascii="Times New Roman" w:eastAsia="宋体" w:hAnsi="Times New Roman" w:cs="Times New Roman" w:hint="eastAsia"/>
          <w:bCs/>
          <w:iCs/>
          <w:color w:val="000000"/>
          <w:sz w:val="24"/>
          <w:szCs w:val="24"/>
        </w:rPr>
        <w:t>龙迅股份</w:t>
      </w:r>
      <w:proofErr w:type="gramEnd"/>
      <w:r w:rsidR="00AA3AEE" w:rsidRPr="00AA3AEE">
        <w:rPr>
          <w:rFonts w:ascii="Times New Roman" w:eastAsia="宋体" w:hAnsi="Times New Roman" w:cs="Times New Roman" w:hint="eastAsia"/>
          <w:bCs/>
          <w:iCs/>
          <w:color w:val="000000"/>
          <w:sz w:val="24"/>
          <w:szCs w:val="24"/>
        </w:rPr>
        <w:t>2024</w:t>
      </w:r>
      <w:r w:rsidR="00AA3AEE" w:rsidRPr="00AA3AEE">
        <w:rPr>
          <w:rFonts w:ascii="Times New Roman" w:eastAsia="宋体" w:hAnsi="Times New Roman" w:cs="Times New Roman" w:hint="eastAsia"/>
          <w:bCs/>
          <w:iCs/>
          <w:color w:val="000000"/>
          <w:sz w:val="24"/>
          <w:szCs w:val="24"/>
        </w:rPr>
        <w:t>年度业绩说明会</w:t>
      </w:r>
      <w:r>
        <w:rPr>
          <w:rFonts w:ascii="宋体" w:eastAsia="宋体" w:hAnsi="宋体" w:cs="Times New Roman"/>
          <w:bCs/>
          <w:iCs/>
          <w:color w:val="000000"/>
          <w:sz w:val="24"/>
          <w:szCs w:val="24"/>
        </w:rPr>
        <w:t>）</w:t>
      </w:r>
    </w:p>
    <w:p w14:paraId="0CA9C9C8" w14:textId="079DC707"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57671E">
        <w:rPr>
          <w:rFonts w:ascii="宋体" w:eastAsia="宋体" w:hAnsi="宋体" w:cs="Times New Roman"/>
          <w:bCs/>
          <w:iCs/>
          <w:color w:val="000000"/>
          <w:sz w:val="24"/>
          <w:szCs w:val="24"/>
        </w:rPr>
        <w:t>5</w:t>
      </w:r>
      <w:r w:rsidR="003951FD">
        <w:rPr>
          <w:rFonts w:ascii="宋体" w:eastAsia="宋体" w:hAnsi="宋体" w:cs="Times New Roman"/>
          <w:bCs/>
          <w:iCs/>
          <w:color w:val="000000"/>
          <w:sz w:val="24"/>
          <w:szCs w:val="24"/>
        </w:rPr>
        <w:t>-00</w:t>
      </w:r>
      <w:r w:rsidR="0057671E">
        <w:rPr>
          <w:rFonts w:ascii="宋体" w:eastAsia="宋体" w:hAnsi="宋体" w:cs="Times New Roman"/>
          <w:bCs/>
          <w:iCs/>
          <w:color w:val="000000"/>
          <w:sz w:val="24"/>
          <w:szCs w:val="24"/>
        </w:rPr>
        <w:t>3</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912F13" w14:paraId="662D001E" w14:textId="77777777" w:rsidTr="007536D6">
        <w:trPr>
          <w:trHeight w:val="2369"/>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339CA882" w:rsidR="00912F13" w:rsidRDefault="00D7374B">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289EF483"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D7374B">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AEE24B1"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2247C3">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19EC090E" w:rsidR="00912F13" w:rsidRDefault="004F0EE9" w:rsidP="0057671E">
            <w:pPr>
              <w:spacing w:line="360" w:lineRule="auto"/>
              <w:rPr>
                <w:rFonts w:ascii="Times New Roman" w:eastAsia="宋体" w:hAnsi="Times New Roman" w:cs="Times New Roman"/>
                <w:sz w:val="24"/>
                <w:szCs w:val="24"/>
              </w:rPr>
            </w:pPr>
            <w:r w:rsidRPr="0016171D">
              <w:rPr>
                <w:rFonts w:ascii="宋体" w:eastAsia="宋体" w:hAnsi="宋体" w:cs="宋体" w:hint="eastAsia"/>
                <w:sz w:val="24"/>
                <w:szCs w:val="24"/>
              </w:rPr>
              <w:t>线上参与</w:t>
            </w:r>
            <w:proofErr w:type="gramStart"/>
            <w:r w:rsidR="003951FD" w:rsidRPr="003951FD">
              <w:rPr>
                <w:rFonts w:ascii="宋体" w:eastAsia="宋体" w:hAnsi="宋体" w:cs="宋体" w:hint="eastAsia"/>
                <w:sz w:val="24"/>
                <w:szCs w:val="24"/>
              </w:rPr>
              <w:t>龙迅股份</w:t>
            </w:r>
            <w:proofErr w:type="gramEnd"/>
            <w:r w:rsidR="00AA3AEE" w:rsidRPr="00AA3AEE">
              <w:rPr>
                <w:rFonts w:ascii="宋体" w:eastAsia="宋体" w:hAnsi="宋体" w:cs="宋体" w:hint="eastAsia"/>
                <w:sz w:val="24"/>
                <w:szCs w:val="24"/>
              </w:rPr>
              <w:t>2024年度业绩说明会</w:t>
            </w:r>
            <w:r w:rsidR="009C2B9A">
              <w:rPr>
                <w:rFonts w:ascii="宋体" w:eastAsia="宋体" w:hAnsi="宋体" w:cs="宋体" w:hint="eastAsia"/>
                <w:sz w:val="24"/>
                <w:szCs w:val="24"/>
              </w:rPr>
              <w:t>的</w:t>
            </w:r>
            <w:r w:rsidRPr="0016171D">
              <w:rPr>
                <w:rFonts w:ascii="宋体" w:eastAsia="宋体" w:hAnsi="宋体" w:cs="宋体"/>
                <w:sz w:val="24"/>
                <w:szCs w:val="24"/>
              </w:rPr>
              <w:t>全体投资者</w:t>
            </w:r>
          </w:p>
        </w:tc>
      </w:tr>
      <w:tr w:rsidR="00912F13" w14:paraId="2CB2AF29"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76B0B0FF" w:rsidR="00912F13" w:rsidRDefault="004F0EE9" w:rsidP="0057671E">
            <w:pPr>
              <w:spacing w:line="360" w:lineRule="auto"/>
              <w:rPr>
                <w:rFonts w:ascii="宋体" w:eastAsia="宋体" w:hAnsi="宋体" w:cs="Times New Roman"/>
                <w:bCs/>
                <w:iCs/>
                <w:color w:val="000000"/>
                <w:sz w:val="24"/>
                <w:szCs w:val="24"/>
              </w:rPr>
            </w:pPr>
            <w:r w:rsidRPr="004F0EE9">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Pr="004F0EE9">
              <w:rPr>
                <w:rFonts w:ascii="Times New Roman" w:eastAsia="宋体" w:hAnsi="Times New Roman" w:cs="Times New Roman" w:hint="eastAsia"/>
                <w:bCs/>
                <w:iCs/>
                <w:color w:val="000000"/>
                <w:sz w:val="24"/>
                <w:szCs w:val="24"/>
              </w:rPr>
              <w:t>年</w:t>
            </w:r>
            <w:r w:rsidR="0057671E">
              <w:rPr>
                <w:rFonts w:ascii="Times New Roman" w:eastAsia="宋体" w:hAnsi="Times New Roman" w:cs="Times New Roman"/>
                <w:bCs/>
                <w:iCs/>
                <w:color w:val="000000"/>
                <w:sz w:val="24"/>
                <w:szCs w:val="24"/>
              </w:rPr>
              <w:t>3</w:t>
            </w:r>
            <w:r w:rsidRPr="004F0EE9">
              <w:rPr>
                <w:rFonts w:ascii="Times New Roman" w:eastAsia="宋体" w:hAnsi="Times New Roman" w:cs="Times New Roman" w:hint="eastAsia"/>
                <w:bCs/>
                <w:iCs/>
                <w:color w:val="000000"/>
                <w:sz w:val="24"/>
                <w:szCs w:val="24"/>
              </w:rPr>
              <w:t>月</w:t>
            </w:r>
            <w:r w:rsidR="00AA3AEE">
              <w:rPr>
                <w:rFonts w:ascii="Times New Roman" w:eastAsia="宋体" w:hAnsi="Times New Roman" w:cs="Times New Roman" w:hint="eastAsia"/>
                <w:bCs/>
                <w:iCs/>
                <w:color w:val="000000"/>
                <w:sz w:val="24"/>
                <w:szCs w:val="24"/>
              </w:rPr>
              <w:t>2</w:t>
            </w:r>
            <w:r w:rsidR="0057671E">
              <w:rPr>
                <w:rFonts w:ascii="Times New Roman" w:eastAsia="宋体" w:hAnsi="Times New Roman" w:cs="Times New Roman"/>
                <w:bCs/>
                <w:iCs/>
                <w:color w:val="000000"/>
                <w:sz w:val="24"/>
                <w:szCs w:val="24"/>
              </w:rPr>
              <w:t>6</w:t>
            </w:r>
            <w:r w:rsidRPr="004F0EE9">
              <w:rPr>
                <w:rFonts w:ascii="Times New Roman" w:eastAsia="宋体" w:hAnsi="Times New Roman" w:cs="Times New Roman" w:hint="eastAsia"/>
                <w:bCs/>
                <w:iCs/>
                <w:color w:val="000000"/>
                <w:sz w:val="24"/>
                <w:szCs w:val="24"/>
              </w:rPr>
              <w:t>日</w:t>
            </w:r>
            <w:r w:rsidRPr="004F0EE9">
              <w:rPr>
                <w:rFonts w:ascii="Times New Roman" w:eastAsia="宋体" w:hAnsi="Times New Roman" w:cs="Times New Roman" w:hint="eastAsia"/>
                <w:bCs/>
                <w:iCs/>
                <w:color w:val="000000"/>
                <w:sz w:val="24"/>
                <w:szCs w:val="24"/>
              </w:rPr>
              <w:t xml:space="preserve"> </w:t>
            </w:r>
            <w:r w:rsidR="003951FD">
              <w:rPr>
                <w:rFonts w:ascii="Times New Roman" w:eastAsia="宋体" w:hAnsi="Times New Roman" w:cs="Times New Roman"/>
                <w:bCs/>
                <w:iCs/>
                <w:color w:val="000000"/>
                <w:sz w:val="24"/>
                <w:szCs w:val="24"/>
              </w:rPr>
              <w:t>9</w:t>
            </w:r>
            <w:r w:rsidR="003951FD">
              <w:rPr>
                <w:rFonts w:ascii="Times New Roman" w:eastAsia="宋体" w:hAnsi="Times New Roman" w:cs="Times New Roman" w:hint="eastAsia"/>
                <w:bCs/>
                <w:iCs/>
                <w:color w:val="000000"/>
                <w:sz w:val="24"/>
                <w:szCs w:val="24"/>
              </w:rPr>
              <w:t>:00-</w:t>
            </w:r>
            <w:r w:rsidRPr="004F0EE9">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0</w:t>
            </w:r>
            <w:r w:rsidR="003951FD">
              <w:rPr>
                <w:rFonts w:ascii="Times New Roman" w:eastAsia="宋体" w:hAnsi="Times New Roman" w:cs="Times New Roman" w:hint="eastAsia"/>
                <w:bCs/>
                <w:iCs/>
                <w:color w:val="000000"/>
                <w:sz w:val="24"/>
                <w:szCs w:val="24"/>
              </w:rPr>
              <w:t>:00</w:t>
            </w:r>
          </w:p>
        </w:tc>
      </w:tr>
      <w:tr w:rsidR="00912F13" w14:paraId="21C30B68"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590F096A" w:rsidR="00912F13" w:rsidRDefault="004F0EE9" w:rsidP="004F0EE9">
            <w:pPr>
              <w:spacing w:line="360" w:lineRule="auto"/>
              <w:jc w:val="left"/>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上海证券交易所</w:t>
            </w:r>
            <w:proofErr w:type="gramStart"/>
            <w:r w:rsidRPr="004F0EE9">
              <w:rPr>
                <w:rFonts w:ascii="宋体" w:eastAsia="宋体" w:hAnsi="宋体" w:cs="Times New Roman" w:hint="eastAsia"/>
                <w:bCs/>
                <w:iCs/>
                <w:color w:val="000000"/>
                <w:sz w:val="24"/>
                <w:szCs w:val="24"/>
              </w:rPr>
              <w:t>上证路演</w:t>
            </w:r>
            <w:proofErr w:type="gramEnd"/>
            <w:r w:rsidRPr="004F0EE9">
              <w:rPr>
                <w:rFonts w:ascii="宋体" w:eastAsia="宋体" w:hAnsi="宋体" w:cs="Times New Roman" w:hint="eastAsia"/>
                <w:bCs/>
                <w:iCs/>
                <w:color w:val="000000"/>
                <w:sz w:val="24"/>
                <w:szCs w:val="24"/>
              </w:rPr>
              <w:t>中心（网址：https://roadshow.sseinfo.com/）网络互动</w:t>
            </w:r>
          </w:p>
        </w:tc>
      </w:tr>
      <w:tr w:rsidR="00912F13" w14:paraId="7A6B7232"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B1585F0" w14:textId="77777777" w:rsidR="004F0EE9" w:rsidRP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董事长、总经理：FENG CHEN先生</w:t>
            </w:r>
          </w:p>
          <w:p w14:paraId="63C0411F" w14:textId="77777777" w:rsidR="004F0EE9" w:rsidRP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董事会秘书：赵</w:t>
            </w:r>
            <w:proofErr w:type="gramStart"/>
            <w:r w:rsidRPr="004F0EE9">
              <w:rPr>
                <w:rFonts w:ascii="宋体" w:eastAsia="宋体" w:hAnsi="宋体" w:cs="Times New Roman" w:hint="eastAsia"/>
                <w:bCs/>
                <w:iCs/>
                <w:color w:val="000000"/>
                <w:sz w:val="24"/>
                <w:szCs w:val="24"/>
              </w:rPr>
              <w:t>彧</w:t>
            </w:r>
            <w:proofErr w:type="gramEnd"/>
            <w:r w:rsidRPr="004F0EE9">
              <w:rPr>
                <w:rFonts w:ascii="宋体" w:eastAsia="宋体" w:hAnsi="宋体" w:cs="Times New Roman" w:hint="eastAsia"/>
                <w:bCs/>
                <w:iCs/>
                <w:color w:val="000000"/>
                <w:sz w:val="24"/>
                <w:szCs w:val="24"/>
              </w:rPr>
              <w:t>女士</w:t>
            </w:r>
          </w:p>
          <w:p w14:paraId="618F228B" w14:textId="77777777" w:rsidR="004F0EE9" w:rsidRP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财务负责人：韦永祥先生</w:t>
            </w:r>
          </w:p>
          <w:p w14:paraId="73831AEC" w14:textId="50D8922D" w:rsidR="0037784B"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r w:rsidR="0057671E">
              <w:rPr>
                <w:rFonts w:ascii="宋体" w:eastAsia="宋体" w:hAnsi="宋体" w:cs="Times New Roman" w:hint="eastAsia"/>
                <w:bCs/>
                <w:iCs/>
                <w:color w:val="000000"/>
                <w:sz w:val="24"/>
                <w:szCs w:val="24"/>
              </w:rPr>
              <w:t>陈来</w:t>
            </w:r>
            <w:r w:rsidRPr="004F0EE9">
              <w:rPr>
                <w:rFonts w:ascii="宋体" w:eastAsia="宋体" w:hAnsi="宋体" w:cs="Times New Roman" w:hint="eastAsia"/>
                <w:bCs/>
                <w:iCs/>
                <w:color w:val="000000"/>
                <w:sz w:val="24"/>
                <w:szCs w:val="24"/>
              </w:rPr>
              <w:t>先生</w:t>
            </w:r>
          </w:p>
          <w:p w14:paraId="47F0C2BC" w14:textId="2540A0FE" w:rsidR="0057671E" w:rsidRDefault="0057671E" w:rsidP="0057671E">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r>
              <w:rPr>
                <w:rFonts w:ascii="宋体" w:eastAsia="宋体" w:hAnsi="宋体" w:cs="Times New Roman" w:hint="eastAsia"/>
                <w:bCs/>
                <w:iCs/>
                <w:color w:val="000000"/>
                <w:sz w:val="24"/>
                <w:szCs w:val="24"/>
              </w:rPr>
              <w:t>解光军</w:t>
            </w:r>
            <w:r w:rsidRPr="004F0EE9">
              <w:rPr>
                <w:rFonts w:ascii="宋体" w:eastAsia="宋体" w:hAnsi="宋体" w:cs="Times New Roman" w:hint="eastAsia"/>
                <w:bCs/>
                <w:iCs/>
                <w:color w:val="000000"/>
                <w:sz w:val="24"/>
                <w:szCs w:val="24"/>
              </w:rPr>
              <w:t>先生</w:t>
            </w:r>
          </w:p>
        </w:tc>
      </w:tr>
      <w:tr w:rsidR="00912F13" w14:paraId="1714307E"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2ED1C944" w14:textId="77777777" w:rsidR="009C2B9A" w:rsidRDefault="009C2B9A" w:rsidP="009C2B9A">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b/>
                <w:sz w:val="24"/>
                <w:szCs w:val="24"/>
              </w:rPr>
              <w:t>预征集问答</w:t>
            </w:r>
          </w:p>
          <w:p w14:paraId="21FF99EA" w14:textId="4AFE7BE9" w:rsidR="00AA3AEE" w:rsidRPr="0016171D" w:rsidRDefault="00AA3AEE"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2B5E9D">
              <w:rPr>
                <w:rFonts w:ascii="宋体" w:eastAsia="宋体" w:hAnsi="宋体" w:cs="宋体" w:hint="eastAsia"/>
                <w:b/>
                <w:sz w:val="24"/>
                <w:szCs w:val="24"/>
              </w:rPr>
              <w:t>（</w:t>
            </w:r>
            <w:r w:rsidR="0009320C" w:rsidRPr="0009320C">
              <w:rPr>
                <w:rFonts w:ascii="宋体" w:eastAsia="宋体" w:hAnsi="宋体" w:cs="宋体" w:hint="eastAsia"/>
                <w:b/>
                <w:sz w:val="24"/>
                <w:szCs w:val="24"/>
              </w:rPr>
              <w:t>1</w:t>
            </w:r>
            <w:r w:rsidR="002B5E9D">
              <w:rPr>
                <w:rFonts w:ascii="宋体" w:eastAsia="宋体" w:hAnsi="宋体" w:cs="宋体" w:hint="eastAsia"/>
                <w:b/>
                <w:sz w:val="24"/>
                <w:szCs w:val="24"/>
              </w:rPr>
              <w:t>）</w:t>
            </w:r>
            <w:r w:rsidR="0009320C" w:rsidRPr="0009320C">
              <w:rPr>
                <w:rFonts w:ascii="宋体" w:eastAsia="宋体" w:hAnsi="宋体" w:cs="宋体" w:hint="eastAsia"/>
                <w:b/>
                <w:sz w:val="24"/>
                <w:szCs w:val="24"/>
              </w:rPr>
              <w:t>根据公司之前公布的股权激励行权条件，2024年营</w:t>
            </w:r>
            <w:proofErr w:type="gramStart"/>
            <w:r w:rsidR="0009320C" w:rsidRPr="0009320C">
              <w:rPr>
                <w:rFonts w:ascii="宋体" w:eastAsia="宋体" w:hAnsi="宋体" w:cs="宋体" w:hint="eastAsia"/>
                <w:b/>
                <w:sz w:val="24"/>
                <w:szCs w:val="24"/>
              </w:rPr>
              <w:t>收增长</w:t>
            </w:r>
            <w:proofErr w:type="gramEnd"/>
            <w:r w:rsidR="0009320C" w:rsidRPr="0009320C">
              <w:rPr>
                <w:rFonts w:ascii="宋体" w:eastAsia="宋体" w:hAnsi="宋体" w:cs="宋体" w:hint="eastAsia"/>
                <w:b/>
                <w:sz w:val="24"/>
                <w:szCs w:val="24"/>
              </w:rPr>
              <w:t>上限目标为50%，实际增长44%，请问其中的差异哪些细分领域还有改善空间？2025年最高增长目标目前可实现度如何？</w:t>
            </w:r>
            <w:r w:rsidR="002B5E9D">
              <w:rPr>
                <w:rFonts w:ascii="宋体" w:eastAsia="宋体" w:hAnsi="宋体" w:cs="宋体" w:hint="eastAsia"/>
                <w:b/>
                <w:sz w:val="24"/>
                <w:szCs w:val="24"/>
              </w:rPr>
              <w:t>（</w:t>
            </w:r>
            <w:r w:rsidR="002B5E9D">
              <w:rPr>
                <w:rFonts w:ascii="宋体" w:eastAsia="宋体" w:hAnsi="宋体" w:cs="宋体"/>
                <w:b/>
                <w:sz w:val="24"/>
                <w:szCs w:val="24"/>
              </w:rPr>
              <w:t>2</w:t>
            </w:r>
            <w:r w:rsidR="002B5E9D">
              <w:rPr>
                <w:rFonts w:ascii="宋体" w:eastAsia="宋体" w:hAnsi="宋体" w:cs="宋体" w:hint="eastAsia"/>
                <w:b/>
                <w:sz w:val="24"/>
                <w:szCs w:val="24"/>
              </w:rPr>
              <w:t>）</w:t>
            </w:r>
            <w:r w:rsidR="0009320C" w:rsidRPr="0009320C">
              <w:rPr>
                <w:rFonts w:ascii="宋体" w:eastAsia="宋体" w:hAnsi="宋体" w:cs="宋体" w:hint="eastAsia"/>
                <w:b/>
                <w:sz w:val="24"/>
                <w:szCs w:val="24"/>
              </w:rPr>
              <w:t>车载serders芯片量产进度如何，从</w:t>
            </w:r>
            <w:proofErr w:type="gramStart"/>
            <w:r w:rsidR="0009320C" w:rsidRPr="0009320C">
              <w:rPr>
                <w:rFonts w:ascii="宋体" w:eastAsia="宋体" w:hAnsi="宋体" w:cs="宋体" w:hint="eastAsia"/>
                <w:b/>
                <w:sz w:val="24"/>
                <w:szCs w:val="24"/>
              </w:rPr>
              <w:t>流片阶段</w:t>
            </w:r>
            <w:proofErr w:type="gramEnd"/>
            <w:r w:rsidR="0009320C" w:rsidRPr="0009320C">
              <w:rPr>
                <w:rFonts w:ascii="宋体" w:eastAsia="宋体" w:hAnsi="宋体" w:cs="宋体" w:hint="eastAsia"/>
                <w:b/>
                <w:sz w:val="24"/>
                <w:szCs w:val="24"/>
              </w:rPr>
              <w:t>到量产阶段突破预估还需要多久？目前公司在车载serders芯片与哪些下游汽车客户有合作，该产品是定制还是通用型产品。</w:t>
            </w:r>
            <w:r w:rsidR="002B5E9D">
              <w:rPr>
                <w:rFonts w:ascii="宋体" w:eastAsia="宋体" w:hAnsi="宋体" w:cs="宋体" w:hint="eastAsia"/>
                <w:b/>
                <w:sz w:val="24"/>
                <w:szCs w:val="24"/>
              </w:rPr>
              <w:t>（</w:t>
            </w:r>
            <w:r w:rsidR="002B5E9D">
              <w:rPr>
                <w:rFonts w:ascii="宋体" w:eastAsia="宋体" w:hAnsi="宋体" w:cs="宋体"/>
                <w:b/>
                <w:sz w:val="24"/>
                <w:szCs w:val="24"/>
              </w:rPr>
              <w:t>3</w:t>
            </w:r>
            <w:r w:rsidR="002B5E9D">
              <w:rPr>
                <w:rFonts w:ascii="宋体" w:eastAsia="宋体" w:hAnsi="宋体" w:cs="宋体" w:hint="eastAsia"/>
                <w:b/>
                <w:sz w:val="24"/>
                <w:szCs w:val="24"/>
              </w:rPr>
              <w:t>）</w:t>
            </w:r>
            <w:r w:rsidR="0009320C" w:rsidRPr="0009320C">
              <w:rPr>
                <w:rFonts w:ascii="宋体" w:eastAsia="宋体" w:hAnsi="宋体" w:cs="宋体" w:hint="eastAsia"/>
                <w:b/>
                <w:sz w:val="24"/>
                <w:szCs w:val="24"/>
              </w:rPr>
              <w:t>公司目前的主要竞争对手是TI，作为国产替代TI的细分领域的产品，该细分领域目前国内的市场蛋糕规模最新数据为多少。其次，作为竞争对手TI为IDM</w:t>
            </w:r>
            <w:r w:rsidR="0009320C" w:rsidRPr="0009320C">
              <w:rPr>
                <w:rFonts w:ascii="宋体" w:eastAsia="宋体" w:hAnsi="宋体" w:cs="宋体" w:hint="eastAsia"/>
                <w:b/>
                <w:sz w:val="24"/>
                <w:szCs w:val="24"/>
              </w:rPr>
              <w:lastRenderedPageBreak/>
              <w:t>模式，公司以后的发展方向有没有考虑从FABLESS向IDM方向发展？</w:t>
            </w:r>
            <w:r w:rsidR="002B5E9D">
              <w:rPr>
                <w:rFonts w:ascii="宋体" w:eastAsia="宋体" w:hAnsi="宋体" w:cs="宋体" w:hint="eastAsia"/>
                <w:b/>
                <w:sz w:val="24"/>
                <w:szCs w:val="24"/>
              </w:rPr>
              <w:t>（</w:t>
            </w:r>
            <w:r w:rsidR="002B5E9D">
              <w:rPr>
                <w:rFonts w:ascii="宋体" w:eastAsia="宋体" w:hAnsi="宋体" w:cs="宋体"/>
                <w:b/>
                <w:sz w:val="24"/>
                <w:szCs w:val="24"/>
              </w:rPr>
              <w:t>4</w:t>
            </w:r>
            <w:r w:rsidR="002B5E9D">
              <w:rPr>
                <w:rFonts w:ascii="宋体" w:eastAsia="宋体" w:hAnsi="宋体" w:cs="宋体" w:hint="eastAsia"/>
                <w:b/>
                <w:sz w:val="24"/>
                <w:szCs w:val="24"/>
              </w:rPr>
              <w:t>）</w:t>
            </w:r>
            <w:r w:rsidR="0009320C" w:rsidRPr="0009320C">
              <w:rPr>
                <w:rFonts w:ascii="宋体" w:eastAsia="宋体" w:hAnsi="宋体" w:cs="宋体" w:hint="eastAsia"/>
                <w:b/>
                <w:sz w:val="24"/>
                <w:szCs w:val="24"/>
              </w:rPr>
              <w:t>2025年是AI眼镜大年，</w:t>
            </w:r>
            <w:proofErr w:type="gramStart"/>
            <w:r w:rsidR="0009320C" w:rsidRPr="0009320C">
              <w:rPr>
                <w:rFonts w:ascii="宋体" w:eastAsia="宋体" w:hAnsi="宋体" w:cs="宋体" w:hint="eastAsia"/>
                <w:b/>
                <w:sz w:val="24"/>
                <w:szCs w:val="24"/>
              </w:rPr>
              <w:t>请问龙迅的</w:t>
            </w:r>
            <w:proofErr w:type="gramEnd"/>
            <w:r w:rsidR="0009320C" w:rsidRPr="0009320C">
              <w:rPr>
                <w:rFonts w:ascii="宋体" w:eastAsia="宋体" w:hAnsi="宋体" w:cs="宋体" w:hint="eastAsia"/>
                <w:b/>
                <w:sz w:val="24"/>
                <w:szCs w:val="24"/>
              </w:rPr>
              <w:t>产品已经进入哪些主流的AI眼镜的BOM里。公司对这个方向的展望如何。</w:t>
            </w:r>
          </w:p>
          <w:p w14:paraId="4FA9B974" w14:textId="122CD7ED" w:rsidR="0009320C" w:rsidRPr="0009320C" w:rsidRDefault="00AA3AEE" w:rsidP="0009320C">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09320C" w:rsidRPr="0009320C">
              <w:rPr>
                <w:rFonts w:ascii="宋体" w:eastAsia="宋体" w:hAnsi="宋体" w:cs="宋体" w:hint="eastAsia"/>
                <w:sz w:val="24"/>
                <w:szCs w:val="24"/>
              </w:rPr>
              <w:t>尊敬的投资者，您好！</w:t>
            </w:r>
          </w:p>
          <w:p w14:paraId="3D3C6F1B" w14:textId="564CBD05" w:rsidR="0009320C" w:rsidRPr="0009320C" w:rsidRDefault="0009320C" w:rsidP="0009320C">
            <w:pPr>
              <w:spacing w:line="360" w:lineRule="auto"/>
              <w:ind w:firstLineChars="200" w:firstLine="480"/>
              <w:rPr>
                <w:rFonts w:ascii="宋体" w:eastAsia="宋体" w:hAnsi="宋体" w:cs="宋体"/>
                <w:sz w:val="24"/>
                <w:szCs w:val="24"/>
              </w:rPr>
            </w:pPr>
            <w:r w:rsidRPr="0009320C">
              <w:rPr>
                <w:rFonts w:ascii="宋体" w:eastAsia="宋体" w:hAnsi="宋体" w:cs="宋体" w:hint="eastAsia"/>
                <w:sz w:val="24"/>
                <w:szCs w:val="24"/>
              </w:rPr>
              <w:t>2024年度，公司全年实现营业总收入46,600.27万元，较上年同期增长44.21%；归属于母公司所有者的净利润14,441.14万元，较上年同期增长40.62%；归属于母公司所有者的扣除非经常性损益的净利润11,142.54万元，较上年同期增长66.80%。毛利率为55.48%,较上年同期提升1.48个百分点，公司整体业绩实现了较快增长。2025年，公司将围绕自身技术优势和市场能力积极进行产品布局和业务拓展，加快新产品研发进度，进一步提升产品性能和质量，提高客户满意度。2025年经营业绩请关注公司后续披露的相关公告。</w:t>
            </w:r>
          </w:p>
          <w:p w14:paraId="527F4216" w14:textId="1791A043" w:rsidR="0009320C" w:rsidRPr="0009320C" w:rsidRDefault="0009320C" w:rsidP="0009320C">
            <w:pPr>
              <w:spacing w:line="360" w:lineRule="auto"/>
              <w:ind w:firstLineChars="200" w:firstLine="480"/>
              <w:rPr>
                <w:rFonts w:ascii="宋体" w:eastAsia="宋体" w:hAnsi="宋体" w:cs="宋体"/>
                <w:sz w:val="24"/>
                <w:szCs w:val="24"/>
              </w:rPr>
            </w:pPr>
            <w:r w:rsidRPr="0009320C">
              <w:rPr>
                <w:rFonts w:ascii="宋体" w:eastAsia="宋体" w:hAnsi="宋体" w:cs="宋体" w:hint="eastAsia"/>
                <w:sz w:val="24"/>
                <w:szCs w:val="24"/>
              </w:rPr>
              <w:t>针对汽车市场对于视频长距离传输和超高清视频显示需求开发的车载</w:t>
            </w:r>
            <w:proofErr w:type="spellStart"/>
            <w:r w:rsidRPr="0009320C">
              <w:rPr>
                <w:rFonts w:ascii="宋体" w:eastAsia="宋体" w:hAnsi="宋体" w:cs="宋体" w:hint="eastAsia"/>
                <w:sz w:val="24"/>
                <w:szCs w:val="24"/>
              </w:rPr>
              <w:t>SerDes</w:t>
            </w:r>
            <w:proofErr w:type="spellEnd"/>
            <w:r w:rsidRPr="0009320C">
              <w:rPr>
                <w:rFonts w:ascii="宋体" w:eastAsia="宋体" w:hAnsi="宋体" w:cs="宋体" w:hint="eastAsia"/>
                <w:sz w:val="24"/>
                <w:szCs w:val="24"/>
              </w:rPr>
              <w:t>芯片组进入全面市场推广，在电动两轮车仪表盘、工业焊接3D摄像机等领域已逐步量产；车内行车监控、农业</w:t>
            </w:r>
            <w:proofErr w:type="gramStart"/>
            <w:r w:rsidRPr="0009320C">
              <w:rPr>
                <w:rFonts w:ascii="宋体" w:eastAsia="宋体" w:hAnsi="宋体" w:cs="宋体" w:hint="eastAsia"/>
                <w:sz w:val="24"/>
                <w:szCs w:val="24"/>
              </w:rPr>
              <w:t>无人智驾小车</w:t>
            </w:r>
            <w:proofErr w:type="gramEnd"/>
            <w:r w:rsidRPr="0009320C">
              <w:rPr>
                <w:rFonts w:ascii="宋体" w:eastAsia="宋体" w:hAnsi="宋体" w:cs="宋体" w:hint="eastAsia"/>
                <w:sz w:val="24"/>
                <w:szCs w:val="24"/>
              </w:rPr>
              <w:t>等领域正处于原型机验证测试阶段，具体客户中的产品应用情况，请关注公司后续披露的相关公告。该产品是通用型产品。</w:t>
            </w:r>
          </w:p>
          <w:p w14:paraId="771739AE" w14:textId="660D13DC" w:rsidR="0009320C" w:rsidRPr="0009320C" w:rsidRDefault="0009320C" w:rsidP="0009320C">
            <w:pPr>
              <w:spacing w:line="360" w:lineRule="auto"/>
              <w:ind w:firstLineChars="200" w:firstLine="480"/>
              <w:rPr>
                <w:rFonts w:ascii="宋体" w:eastAsia="宋体" w:hAnsi="宋体" w:cs="宋体"/>
                <w:sz w:val="24"/>
                <w:szCs w:val="24"/>
              </w:rPr>
            </w:pPr>
            <w:r w:rsidRPr="0009320C">
              <w:rPr>
                <w:rFonts w:ascii="宋体" w:eastAsia="宋体" w:hAnsi="宋体" w:cs="宋体" w:hint="eastAsia"/>
                <w:sz w:val="24"/>
                <w:szCs w:val="24"/>
              </w:rPr>
              <w:t>关于公司境内</w:t>
            </w:r>
            <w:proofErr w:type="gramStart"/>
            <w:r w:rsidRPr="0009320C">
              <w:rPr>
                <w:rFonts w:ascii="宋体" w:eastAsia="宋体" w:hAnsi="宋体" w:cs="宋体" w:hint="eastAsia"/>
                <w:sz w:val="24"/>
                <w:szCs w:val="24"/>
              </w:rPr>
              <w:t>外竞争</w:t>
            </w:r>
            <w:proofErr w:type="gramEnd"/>
            <w:r w:rsidRPr="0009320C">
              <w:rPr>
                <w:rFonts w:ascii="宋体" w:eastAsia="宋体" w:hAnsi="宋体" w:cs="宋体" w:hint="eastAsia"/>
                <w:sz w:val="24"/>
                <w:szCs w:val="24"/>
              </w:rPr>
              <w:t>对手及对</w:t>
            </w:r>
            <w:proofErr w:type="gramStart"/>
            <w:r w:rsidRPr="0009320C">
              <w:rPr>
                <w:rFonts w:ascii="宋体" w:eastAsia="宋体" w:hAnsi="宋体" w:cs="宋体" w:hint="eastAsia"/>
                <w:sz w:val="24"/>
                <w:szCs w:val="24"/>
              </w:rPr>
              <w:t>标公司</w:t>
            </w:r>
            <w:proofErr w:type="gramEnd"/>
            <w:r w:rsidRPr="0009320C">
              <w:rPr>
                <w:rFonts w:ascii="宋体" w:eastAsia="宋体" w:hAnsi="宋体" w:cs="宋体" w:hint="eastAsia"/>
                <w:sz w:val="24"/>
                <w:szCs w:val="24"/>
              </w:rPr>
              <w:t>的业务数据及细分行业的市场规模数据建议参考专业研究报告数据；公司目前采用国际集成电路设计行业广泛采用的Fabless模式运营，后续经营模式如调整及变更，会通过定期报告或非定期公告进行披露。</w:t>
            </w:r>
          </w:p>
          <w:p w14:paraId="510CB36F" w14:textId="1006A087" w:rsidR="0009320C" w:rsidRPr="0009320C" w:rsidRDefault="0009320C" w:rsidP="0009320C">
            <w:pPr>
              <w:spacing w:line="360" w:lineRule="auto"/>
              <w:ind w:firstLineChars="200" w:firstLine="480"/>
              <w:rPr>
                <w:rFonts w:ascii="宋体" w:eastAsia="宋体" w:hAnsi="宋体" w:cs="宋体"/>
                <w:sz w:val="24"/>
                <w:szCs w:val="24"/>
              </w:rPr>
            </w:pPr>
            <w:r w:rsidRPr="0009320C">
              <w:rPr>
                <w:rFonts w:ascii="宋体" w:eastAsia="宋体" w:hAnsi="宋体" w:cs="宋体" w:hint="eastAsia"/>
                <w:sz w:val="24"/>
                <w:szCs w:val="24"/>
              </w:rPr>
              <w:t>AR/VR是公司重要的业务方向，随着AI在边缘</w:t>
            </w:r>
            <w:proofErr w:type="gramStart"/>
            <w:r w:rsidRPr="0009320C">
              <w:rPr>
                <w:rFonts w:ascii="宋体" w:eastAsia="宋体" w:hAnsi="宋体" w:cs="宋体" w:hint="eastAsia"/>
                <w:sz w:val="24"/>
                <w:szCs w:val="24"/>
              </w:rPr>
              <w:t>端逐步</w:t>
            </w:r>
            <w:proofErr w:type="gramEnd"/>
            <w:r w:rsidRPr="0009320C">
              <w:rPr>
                <w:rFonts w:ascii="宋体" w:eastAsia="宋体" w:hAnsi="宋体" w:cs="宋体" w:hint="eastAsia"/>
                <w:sz w:val="24"/>
                <w:szCs w:val="24"/>
              </w:rPr>
              <w:t>落地，我们更加看好该领域前景。公司桥接类芯片在AR/VR分离式头盔领域的产业化推广顺利，已拓展了终端客户包括</w:t>
            </w:r>
            <w:proofErr w:type="spellStart"/>
            <w:r w:rsidRPr="0009320C">
              <w:rPr>
                <w:rFonts w:ascii="宋体" w:eastAsia="宋体" w:hAnsi="宋体" w:cs="宋体" w:hint="eastAsia"/>
                <w:sz w:val="24"/>
                <w:szCs w:val="24"/>
              </w:rPr>
              <w:t>Nreal</w:t>
            </w:r>
            <w:proofErr w:type="spellEnd"/>
            <w:r w:rsidRPr="0009320C">
              <w:rPr>
                <w:rFonts w:ascii="宋体" w:eastAsia="宋体" w:hAnsi="宋体" w:cs="宋体" w:hint="eastAsia"/>
                <w:sz w:val="24"/>
                <w:szCs w:val="24"/>
              </w:rPr>
              <w:t>、</w:t>
            </w:r>
            <w:proofErr w:type="spellStart"/>
            <w:r w:rsidRPr="0009320C">
              <w:rPr>
                <w:rFonts w:ascii="宋体" w:eastAsia="宋体" w:hAnsi="宋体" w:cs="宋体" w:hint="eastAsia"/>
                <w:sz w:val="24"/>
                <w:szCs w:val="24"/>
              </w:rPr>
              <w:t>Rokid</w:t>
            </w:r>
            <w:proofErr w:type="spellEnd"/>
            <w:r w:rsidRPr="0009320C">
              <w:rPr>
                <w:rFonts w:ascii="宋体" w:eastAsia="宋体" w:hAnsi="宋体" w:cs="宋体" w:hint="eastAsia"/>
                <w:sz w:val="24"/>
                <w:szCs w:val="24"/>
              </w:rPr>
              <w:t>、TCL雷鸟等国内领先的AR/VR硬件厂商。公司持续加大该领域的研发投入、升级相关产品，进一步提升性能及降低功耗，以适配更多的分离式及</w:t>
            </w:r>
            <w:proofErr w:type="gramStart"/>
            <w:r w:rsidRPr="0009320C">
              <w:rPr>
                <w:rFonts w:ascii="宋体" w:eastAsia="宋体" w:hAnsi="宋体" w:cs="宋体" w:hint="eastAsia"/>
                <w:sz w:val="24"/>
                <w:szCs w:val="24"/>
              </w:rPr>
              <w:t>一</w:t>
            </w:r>
            <w:proofErr w:type="gramEnd"/>
            <w:r w:rsidRPr="0009320C">
              <w:rPr>
                <w:rFonts w:ascii="宋体" w:eastAsia="宋体" w:hAnsi="宋体" w:cs="宋体" w:hint="eastAsia"/>
                <w:sz w:val="24"/>
                <w:szCs w:val="24"/>
              </w:rPr>
              <w:t>体式AR/VR的产品。</w:t>
            </w:r>
          </w:p>
          <w:p w14:paraId="41230D98" w14:textId="6FA7088D" w:rsidR="009C2B9A" w:rsidRDefault="0009320C" w:rsidP="00176C54">
            <w:pPr>
              <w:spacing w:line="360" w:lineRule="auto"/>
              <w:ind w:firstLineChars="200" w:firstLine="480"/>
              <w:rPr>
                <w:rFonts w:ascii="宋体" w:eastAsia="宋体" w:hAnsi="宋体" w:cs="宋体"/>
                <w:sz w:val="24"/>
                <w:szCs w:val="24"/>
              </w:rPr>
            </w:pPr>
            <w:r w:rsidRPr="0009320C">
              <w:rPr>
                <w:rFonts w:ascii="宋体" w:eastAsia="宋体" w:hAnsi="宋体" w:cs="宋体" w:hint="eastAsia"/>
                <w:sz w:val="24"/>
                <w:szCs w:val="24"/>
              </w:rPr>
              <w:t>感谢您的关注！</w:t>
            </w:r>
          </w:p>
          <w:p w14:paraId="53A4118E" w14:textId="1C4AF01A" w:rsidR="0028717B" w:rsidRDefault="00D10FA4" w:rsidP="00EB71B4">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二</w:t>
            </w:r>
            <w:r w:rsidR="0028717B">
              <w:rPr>
                <w:rFonts w:ascii="宋体" w:eastAsia="宋体" w:hAnsi="宋体" w:cs="宋体" w:hint="eastAsia"/>
                <w:b/>
                <w:sz w:val="24"/>
                <w:szCs w:val="24"/>
              </w:rPr>
              <w:t>、</w:t>
            </w:r>
            <w:r w:rsidR="00EB71B4">
              <w:rPr>
                <w:rFonts w:ascii="宋体" w:eastAsia="宋体" w:hAnsi="宋体" w:cs="宋体" w:hint="eastAsia"/>
                <w:b/>
                <w:sz w:val="24"/>
                <w:szCs w:val="24"/>
              </w:rPr>
              <w:t>互动交流</w:t>
            </w:r>
          </w:p>
          <w:p w14:paraId="6CCD34E3" w14:textId="3EB1B51C" w:rsidR="00AB33E6" w:rsidRPr="0016171D"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lastRenderedPageBreak/>
              <w:t>1、</w:t>
            </w:r>
            <w:r w:rsidR="000F3D50" w:rsidRPr="000F3D50">
              <w:rPr>
                <w:rFonts w:ascii="宋体" w:eastAsia="宋体" w:hAnsi="宋体" w:cs="宋体" w:hint="eastAsia"/>
                <w:b/>
                <w:sz w:val="24"/>
                <w:szCs w:val="24"/>
              </w:rPr>
              <w:t>公司认为目前高速混合信号芯片领域，在技术层面、客户需求层面等，2025年有何新的发展趋势？</w:t>
            </w:r>
          </w:p>
          <w:p w14:paraId="0EB2FC7B" w14:textId="76B46E97" w:rsidR="000F3D50" w:rsidRPr="000F3D50" w:rsidRDefault="00AB33E6" w:rsidP="000F3D50">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sidR="007700E9">
              <w:rPr>
                <w:rFonts w:ascii="宋体" w:eastAsia="宋体" w:hAnsi="宋体" w:cs="宋体" w:hint="eastAsia"/>
                <w:sz w:val="24"/>
                <w:szCs w:val="24"/>
              </w:rPr>
              <w:t>：</w:t>
            </w:r>
            <w:r w:rsidR="000F3D50" w:rsidRPr="000F3D50">
              <w:rPr>
                <w:rFonts w:ascii="宋体" w:eastAsia="宋体" w:hAnsi="宋体" w:cs="宋体" w:hint="eastAsia"/>
                <w:sz w:val="24"/>
                <w:szCs w:val="24"/>
              </w:rPr>
              <w:t>尊敬的投资者，您好！</w:t>
            </w:r>
          </w:p>
          <w:p w14:paraId="038CA758" w14:textId="38FE0C45" w:rsidR="000F3D50" w:rsidRPr="000F3D50" w:rsidRDefault="000F3D50" w:rsidP="000F3D50">
            <w:pPr>
              <w:spacing w:line="360" w:lineRule="auto"/>
              <w:ind w:firstLineChars="200" w:firstLine="480"/>
              <w:rPr>
                <w:rFonts w:ascii="宋体" w:eastAsia="宋体" w:hAnsi="宋体" w:cs="宋体"/>
                <w:sz w:val="24"/>
                <w:szCs w:val="24"/>
              </w:rPr>
            </w:pPr>
            <w:r w:rsidRPr="000F3D50">
              <w:rPr>
                <w:rFonts w:ascii="宋体" w:eastAsia="宋体" w:hAnsi="宋体" w:cs="宋体" w:hint="eastAsia"/>
                <w:sz w:val="24"/>
                <w:szCs w:val="24"/>
              </w:rPr>
              <w:t>高速混合信号芯片在消费电子、通信系统、汽车制造以及工业控制等领域需求旺盛。技术层面，持续朝着高带宽、高精度、低信噪比、低功耗、低延迟、可扩展方向发展；客户需求层面，客户追求高性价比的同时，希望产品更具兼容性、可以兼容不同协议，使用更加便利。</w:t>
            </w:r>
          </w:p>
          <w:p w14:paraId="1772CE25" w14:textId="67D0D4E5" w:rsidR="00AB33E6" w:rsidRDefault="000F3D50" w:rsidP="00176C54">
            <w:pPr>
              <w:spacing w:line="360" w:lineRule="auto"/>
              <w:ind w:firstLineChars="200" w:firstLine="480"/>
              <w:rPr>
                <w:rFonts w:ascii="Times New Roman" w:eastAsia="宋体" w:hAnsi="Times New Roman"/>
                <w:b/>
                <w:sz w:val="24"/>
                <w:szCs w:val="24"/>
              </w:rPr>
            </w:pPr>
            <w:r w:rsidRPr="000F3D50">
              <w:rPr>
                <w:rFonts w:ascii="宋体" w:eastAsia="宋体" w:hAnsi="宋体" w:cs="宋体" w:hint="eastAsia"/>
                <w:sz w:val="24"/>
                <w:szCs w:val="24"/>
              </w:rPr>
              <w:t>感谢您的关注！</w:t>
            </w:r>
          </w:p>
          <w:p w14:paraId="741BB4EC" w14:textId="10388BFB"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2</w:t>
            </w:r>
            <w:r>
              <w:rPr>
                <w:rFonts w:ascii="宋体" w:eastAsia="宋体" w:hAnsi="宋体" w:cs="宋体" w:hint="eastAsia"/>
                <w:b/>
                <w:sz w:val="24"/>
                <w:szCs w:val="24"/>
              </w:rPr>
              <w:t>、</w:t>
            </w:r>
            <w:r w:rsidR="000F3D50" w:rsidRPr="000F3D50">
              <w:rPr>
                <w:rFonts w:ascii="宋体" w:eastAsia="宋体" w:hAnsi="宋体" w:cs="宋体" w:hint="eastAsia"/>
                <w:b/>
                <w:sz w:val="24"/>
                <w:szCs w:val="24"/>
              </w:rPr>
              <w:t>公司2025年一季度目前经营情况如何？同比去年同期是否有增长的可能性？</w:t>
            </w:r>
          </w:p>
          <w:p w14:paraId="0D31EFEB" w14:textId="37B2E0A9" w:rsidR="000F3D50" w:rsidRPr="000F3D50" w:rsidRDefault="00EB71B4" w:rsidP="000F3D50">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0F3D50" w:rsidRPr="000F3D50">
              <w:rPr>
                <w:rFonts w:ascii="宋体" w:eastAsia="宋体" w:hAnsi="宋体" w:cs="宋体" w:hint="eastAsia"/>
                <w:sz w:val="24"/>
                <w:szCs w:val="24"/>
              </w:rPr>
              <w:t>尊敬的投资者，您好！</w:t>
            </w:r>
          </w:p>
          <w:p w14:paraId="4FCDB887" w14:textId="3F8DC1AB" w:rsidR="000F3D50" w:rsidRPr="000F3D50" w:rsidRDefault="000F3D50" w:rsidP="000F3D50">
            <w:pPr>
              <w:spacing w:line="360" w:lineRule="auto"/>
              <w:ind w:firstLineChars="200" w:firstLine="480"/>
              <w:rPr>
                <w:rFonts w:ascii="宋体" w:eastAsia="宋体" w:hAnsi="宋体" w:cs="宋体"/>
                <w:sz w:val="24"/>
                <w:szCs w:val="24"/>
              </w:rPr>
            </w:pPr>
            <w:r w:rsidRPr="000F3D50">
              <w:rPr>
                <w:rFonts w:ascii="宋体" w:eastAsia="宋体" w:hAnsi="宋体" w:cs="宋体" w:hint="eastAsia"/>
                <w:sz w:val="24"/>
                <w:szCs w:val="24"/>
              </w:rPr>
              <w:t>2025年一季度经营良好，在手订单充足，研发与市场推广有序进行。具体业绩数据请关注2025年4月份即将披露的一季度财务报告。</w:t>
            </w:r>
          </w:p>
          <w:p w14:paraId="60A6324F" w14:textId="26DF8131" w:rsidR="0057671E" w:rsidRDefault="000F3D50" w:rsidP="00176C54">
            <w:pPr>
              <w:spacing w:line="360" w:lineRule="auto"/>
              <w:ind w:firstLineChars="200" w:firstLine="480"/>
              <w:rPr>
                <w:rFonts w:ascii="Times New Roman" w:eastAsia="宋体" w:hAnsi="Times New Roman"/>
                <w:b/>
                <w:sz w:val="24"/>
                <w:szCs w:val="24"/>
              </w:rPr>
            </w:pPr>
            <w:r w:rsidRPr="000F3D50">
              <w:rPr>
                <w:rFonts w:ascii="宋体" w:eastAsia="宋体" w:hAnsi="宋体" w:cs="宋体" w:hint="eastAsia"/>
                <w:sz w:val="24"/>
                <w:szCs w:val="24"/>
              </w:rPr>
              <w:t>感谢您的关注！</w:t>
            </w:r>
          </w:p>
          <w:p w14:paraId="13E43DF9" w14:textId="389743D3"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3</w:t>
            </w:r>
            <w:r>
              <w:rPr>
                <w:rFonts w:ascii="宋体" w:eastAsia="宋体" w:hAnsi="宋体" w:cs="宋体" w:hint="eastAsia"/>
                <w:b/>
                <w:sz w:val="24"/>
                <w:szCs w:val="24"/>
              </w:rPr>
              <w:t>、</w:t>
            </w:r>
            <w:r w:rsidR="000F3D50" w:rsidRPr="000F3D50">
              <w:rPr>
                <w:rFonts w:ascii="宋体" w:eastAsia="宋体" w:hAnsi="宋体" w:cs="宋体" w:hint="eastAsia"/>
                <w:b/>
                <w:sz w:val="24"/>
                <w:szCs w:val="24"/>
              </w:rPr>
              <w:t>公司2024年业务</w:t>
            </w:r>
            <w:proofErr w:type="gramStart"/>
            <w:r w:rsidR="000F3D50" w:rsidRPr="000F3D50">
              <w:rPr>
                <w:rFonts w:ascii="宋体" w:eastAsia="宋体" w:hAnsi="宋体" w:cs="宋体" w:hint="eastAsia"/>
                <w:b/>
                <w:sz w:val="24"/>
                <w:szCs w:val="24"/>
              </w:rPr>
              <w:t>分各个</w:t>
            </w:r>
            <w:proofErr w:type="gramEnd"/>
            <w:r w:rsidR="000F3D50" w:rsidRPr="000F3D50">
              <w:rPr>
                <w:rFonts w:ascii="宋体" w:eastAsia="宋体" w:hAnsi="宋体" w:cs="宋体" w:hint="eastAsia"/>
                <w:b/>
                <w:sz w:val="24"/>
                <w:szCs w:val="24"/>
              </w:rPr>
              <w:t>领域，例如汽车电子、ARVR</w:t>
            </w:r>
            <w:proofErr w:type="gramStart"/>
            <w:r w:rsidR="000F3D50" w:rsidRPr="000F3D50">
              <w:rPr>
                <w:rFonts w:ascii="宋体" w:eastAsia="宋体" w:hAnsi="宋体" w:cs="宋体" w:hint="eastAsia"/>
                <w:b/>
                <w:sz w:val="24"/>
                <w:szCs w:val="24"/>
              </w:rPr>
              <w:t>等营收</w:t>
            </w:r>
            <w:proofErr w:type="gramEnd"/>
            <w:r w:rsidR="000F3D50" w:rsidRPr="000F3D50">
              <w:rPr>
                <w:rFonts w:ascii="宋体" w:eastAsia="宋体" w:hAnsi="宋体" w:cs="宋体" w:hint="eastAsia"/>
                <w:b/>
                <w:sz w:val="24"/>
                <w:szCs w:val="24"/>
              </w:rPr>
              <w:t>分别是多少？</w:t>
            </w:r>
          </w:p>
          <w:p w14:paraId="2F36F128" w14:textId="6F5F5191" w:rsidR="000F3D50" w:rsidRPr="000F3D50" w:rsidRDefault="00EB71B4" w:rsidP="000F3D50">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0F3D50" w:rsidRPr="000F3D50">
              <w:rPr>
                <w:rFonts w:ascii="宋体" w:eastAsia="宋体" w:hAnsi="宋体" w:cs="宋体" w:hint="eastAsia"/>
                <w:sz w:val="24"/>
                <w:szCs w:val="24"/>
              </w:rPr>
              <w:t>尊敬的投资者，您好！</w:t>
            </w:r>
          </w:p>
          <w:p w14:paraId="69CE545C" w14:textId="140CC9DC" w:rsidR="000F3D50" w:rsidRPr="000F3D50" w:rsidRDefault="000F3D50" w:rsidP="000F3D50">
            <w:pPr>
              <w:spacing w:line="360" w:lineRule="auto"/>
              <w:ind w:firstLineChars="200" w:firstLine="480"/>
              <w:rPr>
                <w:rFonts w:ascii="宋体" w:eastAsia="宋体" w:hAnsi="宋体" w:cs="宋体"/>
                <w:sz w:val="24"/>
                <w:szCs w:val="24"/>
              </w:rPr>
            </w:pPr>
            <w:r w:rsidRPr="000F3D50">
              <w:rPr>
                <w:rFonts w:ascii="宋体" w:eastAsia="宋体" w:hAnsi="宋体" w:cs="宋体" w:hint="eastAsia"/>
                <w:sz w:val="24"/>
                <w:szCs w:val="24"/>
              </w:rPr>
              <w:t>公司高速混合信号芯片产品广泛应用于显示器/</w:t>
            </w:r>
            <w:proofErr w:type="gramStart"/>
            <w:r w:rsidRPr="000F3D50">
              <w:rPr>
                <w:rFonts w:ascii="宋体" w:eastAsia="宋体" w:hAnsi="宋体" w:cs="宋体" w:hint="eastAsia"/>
                <w:sz w:val="24"/>
                <w:szCs w:val="24"/>
              </w:rPr>
              <w:t>商显及</w:t>
            </w:r>
            <w:proofErr w:type="gramEnd"/>
            <w:r w:rsidRPr="000F3D50">
              <w:rPr>
                <w:rFonts w:ascii="宋体" w:eastAsia="宋体" w:hAnsi="宋体" w:cs="宋体" w:hint="eastAsia"/>
                <w:sz w:val="24"/>
                <w:szCs w:val="24"/>
              </w:rPr>
              <w:t>配件、汽车电子、工业及通讯、</w:t>
            </w:r>
            <w:proofErr w:type="gramStart"/>
            <w:r w:rsidRPr="000F3D50">
              <w:rPr>
                <w:rFonts w:ascii="宋体" w:eastAsia="宋体" w:hAnsi="宋体" w:cs="宋体" w:hint="eastAsia"/>
                <w:sz w:val="24"/>
                <w:szCs w:val="24"/>
              </w:rPr>
              <w:t>微显示</w:t>
            </w:r>
            <w:proofErr w:type="gramEnd"/>
            <w:r w:rsidRPr="000F3D50">
              <w:rPr>
                <w:rFonts w:ascii="宋体" w:eastAsia="宋体" w:hAnsi="宋体" w:cs="宋体" w:hint="eastAsia"/>
                <w:sz w:val="24"/>
                <w:szCs w:val="24"/>
              </w:rPr>
              <w:t>等领域的多元化终端场景。从芯片功能的角度，主要可分为高清视频桥接及处理芯片和高速信号传输芯片。公司的收入结构是按照芯片功能分类统计，2024年度，高清视频桥接及处理芯片占销售收入的比重为91.35%，高速信号传输芯片占销售收入的比重为6.22%。</w:t>
            </w:r>
          </w:p>
          <w:p w14:paraId="1BAB5623" w14:textId="7E2568FB" w:rsidR="00310302" w:rsidRDefault="000F3D50" w:rsidP="000F3D50">
            <w:pPr>
              <w:spacing w:line="360" w:lineRule="auto"/>
              <w:ind w:firstLineChars="200" w:firstLine="480"/>
              <w:rPr>
                <w:rFonts w:ascii="Times New Roman" w:eastAsia="宋体" w:hAnsi="Times New Roman"/>
              </w:rPr>
            </w:pPr>
            <w:r w:rsidRPr="000F3D50">
              <w:rPr>
                <w:rFonts w:ascii="宋体" w:eastAsia="宋体" w:hAnsi="宋体" w:cs="宋体" w:hint="eastAsia"/>
                <w:sz w:val="24"/>
                <w:szCs w:val="24"/>
              </w:rPr>
              <w:t>感谢您的关注！</w:t>
            </w:r>
          </w:p>
        </w:tc>
      </w:tr>
      <w:tr w:rsidR="0037784B" w14:paraId="34FBA150"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457BD6">
            <w:pPr>
              <w:adjustRightInd w:val="0"/>
              <w:snapToGrid w:val="0"/>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7536D6">
        <w:trPr>
          <w:trHeight w:val="55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457BD6">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1A4C34E9" w:rsidR="000352CD" w:rsidRDefault="000352CD" w:rsidP="0057671E">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57671E">
              <w:rPr>
                <w:rFonts w:ascii="宋体" w:eastAsia="宋体" w:hAnsi="宋体" w:cs="Times New Roman"/>
                <w:bCs/>
                <w:iCs/>
                <w:color w:val="000000"/>
                <w:sz w:val="24"/>
                <w:szCs w:val="24"/>
              </w:rPr>
              <w:t>5</w:t>
            </w:r>
            <w:r>
              <w:rPr>
                <w:rFonts w:ascii="宋体" w:eastAsia="宋体" w:hAnsi="宋体" w:cs="Times New Roman"/>
                <w:bCs/>
                <w:iCs/>
                <w:color w:val="000000"/>
                <w:sz w:val="24"/>
                <w:szCs w:val="24"/>
              </w:rPr>
              <w:t>年</w:t>
            </w:r>
            <w:r w:rsidR="0057671E">
              <w:rPr>
                <w:rFonts w:ascii="宋体" w:eastAsia="宋体" w:hAnsi="宋体" w:cs="Times New Roman"/>
                <w:bCs/>
                <w:iCs/>
                <w:color w:val="000000"/>
                <w:sz w:val="24"/>
                <w:szCs w:val="24"/>
              </w:rPr>
              <w:t>3</w:t>
            </w:r>
            <w:r>
              <w:rPr>
                <w:rFonts w:ascii="宋体" w:eastAsia="宋体" w:hAnsi="宋体" w:cs="Times New Roman"/>
                <w:bCs/>
                <w:iCs/>
                <w:color w:val="000000"/>
                <w:sz w:val="24"/>
                <w:szCs w:val="24"/>
              </w:rPr>
              <w:t>月</w:t>
            </w:r>
            <w:r w:rsidR="00AA3AEE">
              <w:rPr>
                <w:rFonts w:ascii="宋体" w:eastAsia="宋体" w:hAnsi="宋体" w:cs="Times New Roman" w:hint="eastAsia"/>
                <w:bCs/>
                <w:iCs/>
                <w:color w:val="000000"/>
                <w:sz w:val="24"/>
                <w:szCs w:val="24"/>
              </w:rPr>
              <w:t>2</w:t>
            </w:r>
            <w:r w:rsidR="0057671E">
              <w:rPr>
                <w:rFonts w:ascii="宋体" w:eastAsia="宋体" w:hAnsi="宋体" w:cs="Times New Roman"/>
                <w:bCs/>
                <w:iCs/>
                <w:color w:val="000000"/>
                <w:sz w:val="24"/>
                <w:szCs w:val="24"/>
              </w:rPr>
              <w:t>6</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bookmarkStart w:id="0" w:name="_GoBack"/>
      <w:bookmarkEnd w:id="0"/>
    </w:p>
    <w:sectPr w:rsidR="00912F13" w:rsidSect="00640718">
      <w:footerReference w:type="default" r:id="rId7"/>
      <w:pgSz w:w="11906" w:h="16838"/>
      <w:pgMar w:top="1077" w:right="1418" w:bottom="1077" w:left="1418" w:header="851" w:footer="90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CFBC4" w14:textId="77777777" w:rsidR="007A42A7" w:rsidRDefault="007A42A7" w:rsidP="00EA0A6D">
      <w:r>
        <w:separator/>
      </w:r>
    </w:p>
  </w:endnote>
  <w:endnote w:type="continuationSeparator" w:id="0">
    <w:p w14:paraId="5B48B2DD" w14:textId="77777777" w:rsidR="007A42A7" w:rsidRDefault="007A42A7"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96"/>
      <w:docPartObj>
        <w:docPartGallery w:val="Page Numbers (Bottom of Page)"/>
        <w:docPartUnique/>
      </w:docPartObj>
    </w:sdtPr>
    <w:sdtEndPr/>
    <w:sdtContent>
      <w:p w14:paraId="54AF1768" w14:textId="1489FA09" w:rsidR="00AD07BE" w:rsidRDefault="00AD07BE" w:rsidP="00AD07BE">
        <w:pPr>
          <w:pStyle w:val="a5"/>
          <w:jc w:val="center"/>
        </w:pPr>
        <w:r>
          <w:fldChar w:fldCharType="begin"/>
        </w:r>
        <w:r>
          <w:instrText>PAGE   \* MERGEFORMAT</w:instrText>
        </w:r>
        <w:r>
          <w:fldChar w:fldCharType="separate"/>
        </w:r>
        <w:r w:rsidR="007536D6" w:rsidRPr="007536D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A3D0F" w14:textId="77777777" w:rsidR="007A42A7" w:rsidRDefault="007A42A7" w:rsidP="00EA0A6D">
      <w:r>
        <w:separator/>
      </w:r>
    </w:p>
  </w:footnote>
  <w:footnote w:type="continuationSeparator" w:id="0">
    <w:p w14:paraId="36EEC9AB" w14:textId="77777777" w:rsidR="007A42A7" w:rsidRDefault="007A42A7"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1774"/>
    <w:rsid w:val="00067F5D"/>
    <w:rsid w:val="0008475C"/>
    <w:rsid w:val="00091A4A"/>
    <w:rsid w:val="0009320C"/>
    <w:rsid w:val="0009685F"/>
    <w:rsid w:val="000C05A6"/>
    <w:rsid w:val="000C7534"/>
    <w:rsid w:val="000D14D9"/>
    <w:rsid w:val="000F33C9"/>
    <w:rsid w:val="000F3D50"/>
    <w:rsid w:val="00101079"/>
    <w:rsid w:val="00107A8F"/>
    <w:rsid w:val="0011699F"/>
    <w:rsid w:val="0012229E"/>
    <w:rsid w:val="001425B2"/>
    <w:rsid w:val="001462DE"/>
    <w:rsid w:val="00160079"/>
    <w:rsid w:val="001628DE"/>
    <w:rsid w:val="00176C54"/>
    <w:rsid w:val="00190646"/>
    <w:rsid w:val="00192748"/>
    <w:rsid w:val="00193E2B"/>
    <w:rsid w:val="0019539F"/>
    <w:rsid w:val="001956F8"/>
    <w:rsid w:val="001B1EB0"/>
    <w:rsid w:val="001B7B03"/>
    <w:rsid w:val="001E3922"/>
    <w:rsid w:val="002118FF"/>
    <w:rsid w:val="002166C9"/>
    <w:rsid w:val="002242DE"/>
    <w:rsid w:val="002247C3"/>
    <w:rsid w:val="00247D94"/>
    <w:rsid w:val="002530B7"/>
    <w:rsid w:val="002723FC"/>
    <w:rsid w:val="00276E3A"/>
    <w:rsid w:val="00277BBD"/>
    <w:rsid w:val="00282908"/>
    <w:rsid w:val="0028717B"/>
    <w:rsid w:val="002A00C3"/>
    <w:rsid w:val="002B5E9D"/>
    <w:rsid w:val="002C4B69"/>
    <w:rsid w:val="002C758D"/>
    <w:rsid w:val="002D14FA"/>
    <w:rsid w:val="002D6251"/>
    <w:rsid w:val="002E2A8E"/>
    <w:rsid w:val="002E2E89"/>
    <w:rsid w:val="002E59A0"/>
    <w:rsid w:val="002E7F51"/>
    <w:rsid w:val="002F78FC"/>
    <w:rsid w:val="002F7F46"/>
    <w:rsid w:val="00310302"/>
    <w:rsid w:val="003116A7"/>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97C64"/>
    <w:rsid w:val="003A449A"/>
    <w:rsid w:val="003A5ACD"/>
    <w:rsid w:val="003B46A6"/>
    <w:rsid w:val="003B7800"/>
    <w:rsid w:val="003C349E"/>
    <w:rsid w:val="003C6E36"/>
    <w:rsid w:val="003C7481"/>
    <w:rsid w:val="0040193F"/>
    <w:rsid w:val="00402DD8"/>
    <w:rsid w:val="00402F14"/>
    <w:rsid w:val="00441EB9"/>
    <w:rsid w:val="0045727C"/>
    <w:rsid w:val="00457BD6"/>
    <w:rsid w:val="00466FB0"/>
    <w:rsid w:val="00475019"/>
    <w:rsid w:val="00487128"/>
    <w:rsid w:val="00495C37"/>
    <w:rsid w:val="004C1609"/>
    <w:rsid w:val="004D25C8"/>
    <w:rsid w:val="004D370C"/>
    <w:rsid w:val="004E0D26"/>
    <w:rsid w:val="004E75F1"/>
    <w:rsid w:val="004F0EE9"/>
    <w:rsid w:val="004F6F2F"/>
    <w:rsid w:val="004F71CF"/>
    <w:rsid w:val="00502AFD"/>
    <w:rsid w:val="0051554B"/>
    <w:rsid w:val="00516100"/>
    <w:rsid w:val="005168CE"/>
    <w:rsid w:val="005536E5"/>
    <w:rsid w:val="0057508E"/>
    <w:rsid w:val="0057671E"/>
    <w:rsid w:val="00587FBD"/>
    <w:rsid w:val="00591F31"/>
    <w:rsid w:val="00593A75"/>
    <w:rsid w:val="005A767C"/>
    <w:rsid w:val="005A7BE0"/>
    <w:rsid w:val="005B7C5A"/>
    <w:rsid w:val="005D4DF3"/>
    <w:rsid w:val="005F0D1F"/>
    <w:rsid w:val="00604E02"/>
    <w:rsid w:val="006110FE"/>
    <w:rsid w:val="006165BB"/>
    <w:rsid w:val="00640718"/>
    <w:rsid w:val="00653E45"/>
    <w:rsid w:val="00682F92"/>
    <w:rsid w:val="006870CC"/>
    <w:rsid w:val="006B1F74"/>
    <w:rsid w:val="006B3405"/>
    <w:rsid w:val="006B4443"/>
    <w:rsid w:val="006C054F"/>
    <w:rsid w:val="006C66E7"/>
    <w:rsid w:val="006E18F4"/>
    <w:rsid w:val="006E405F"/>
    <w:rsid w:val="006F76EC"/>
    <w:rsid w:val="007069E9"/>
    <w:rsid w:val="007070EC"/>
    <w:rsid w:val="0075138C"/>
    <w:rsid w:val="00751C55"/>
    <w:rsid w:val="007536D6"/>
    <w:rsid w:val="00763710"/>
    <w:rsid w:val="00767AA8"/>
    <w:rsid w:val="007700E9"/>
    <w:rsid w:val="00777226"/>
    <w:rsid w:val="007A1855"/>
    <w:rsid w:val="007A2ED2"/>
    <w:rsid w:val="007A42A7"/>
    <w:rsid w:val="007B48D1"/>
    <w:rsid w:val="007C0DE2"/>
    <w:rsid w:val="007D6C04"/>
    <w:rsid w:val="007E0589"/>
    <w:rsid w:val="007E76DD"/>
    <w:rsid w:val="007E79E9"/>
    <w:rsid w:val="007F2B5F"/>
    <w:rsid w:val="008014CD"/>
    <w:rsid w:val="008072F3"/>
    <w:rsid w:val="00821152"/>
    <w:rsid w:val="00821360"/>
    <w:rsid w:val="008374CC"/>
    <w:rsid w:val="008410C0"/>
    <w:rsid w:val="008423DE"/>
    <w:rsid w:val="008524CA"/>
    <w:rsid w:val="00872FB8"/>
    <w:rsid w:val="00876EAF"/>
    <w:rsid w:val="00892290"/>
    <w:rsid w:val="008A1EB3"/>
    <w:rsid w:val="008A4507"/>
    <w:rsid w:val="008B1FAF"/>
    <w:rsid w:val="008B233B"/>
    <w:rsid w:val="008B7E20"/>
    <w:rsid w:val="008E0076"/>
    <w:rsid w:val="008E35A4"/>
    <w:rsid w:val="008E36AA"/>
    <w:rsid w:val="008F275B"/>
    <w:rsid w:val="00907690"/>
    <w:rsid w:val="00912F13"/>
    <w:rsid w:val="0091748D"/>
    <w:rsid w:val="00917FE6"/>
    <w:rsid w:val="0092170E"/>
    <w:rsid w:val="00923851"/>
    <w:rsid w:val="00926D95"/>
    <w:rsid w:val="0093449B"/>
    <w:rsid w:val="00970F4C"/>
    <w:rsid w:val="00973826"/>
    <w:rsid w:val="00981B6D"/>
    <w:rsid w:val="009940B9"/>
    <w:rsid w:val="009B2451"/>
    <w:rsid w:val="009B3B3C"/>
    <w:rsid w:val="009C0623"/>
    <w:rsid w:val="009C2B9A"/>
    <w:rsid w:val="009D5717"/>
    <w:rsid w:val="009E21FF"/>
    <w:rsid w:val="009F5E6C"/>
    <w:rsid w:val="00A004DF"/>
    <w:rsid w:val="00A014A1"/>
    <w:rsid w:val="00A139AA"/>
    <w:rsid w:val="00A21201"/>
    <w:rsid w:val="00A27140"/>
    <w:rsid w:val="00A30221"/>
    <w:rsid w:val="00A4546B"/>
    <w:rsid w:val="00A52FDA"/>
    <w:rsid w:val="00A5333A"/>
    <w:rsid w:val="00A560BC"/>
    <w:rsid w:val="00A6047B"/>
    <w:rsid w:val="00A63F05"/>
    <w:rsid w:val="00A71C7E"/>
    <w:rsid w:val="00A83D39"/>
    <w:rsid w:val="00A96B28"/>
    <w:rsid w:val="00AA3AEE"/>
    <w:rsid w:val="00AB33E6"/>
    <w:rsid w:val="00AB4105"/>
    <w:rsid w:val="00AC1DF9"/>
    <w:rsid w:val="00AC366C"/>
    <w:rsid w:val="00AD07BE"/>
    <w:rsid w:val="00AD31C0"/>
    <w:rsid w:val="00AF7B6E"/>
    <w:rsid w:val="00B53FCD"/>
    <w:rsid w:val="00B67F5C"/>
    <w:rsid w:val="00B71A2D"/>
    <w:rsid w:val="00B76E2E"/>
    <w:rsid w:val="00B77398"/>
    <w:rsid w:val="00B84C75"/>
    <w:rsid w:val="00B94696"/>
    <w:rsid w:val="00BB18CD"/>
    <w:rsid w:val="00BB48B3"/>
    <w:rsid w:val="00BC4895"/>
    <w:rsid w:val="00BD12E9"/>
    <w:rsid w:val="00BD2A40"/>
    <w:rsid w:val="00BD470D"/>
    <w:rsid w:val="00BF2D6A"/>
    <w:rsid w:val="00BF31A3"/>
    <w:rsid w:val="00C1295D"/>
    <w:rsid w:val="00C15107"/>
    <w:rsid w:val="00C157D1"/>
    <w:rsid w:val="00C310E4"/>
    <w:rsid w:val="00C50699"/>
    <w:rsid w:val="00C517AB"/>
    <w:rsid w:val="00C54BE7"/>
    <w:rsid w:val="00C62803"/>
    <w:rsid w:val="00C640EC"/>
    <w:rsid w:val="00C67BE1"/>
    <w:rsid w:val="00C83EDD"/>
    <w:rsid w:val="00C93309"/>
    <w:rsid w:val="00CA772A"/>
    <w:rsid w:val="00CB3208"/>
    <w:rsid w:val="00CC30AD"/>
    <w:rsid w:val="00CC4858"/>
    <w:rsid w:val="00CC7FCA"/>
    <w:rsid w:val="00CD02F4"/>
    <w:rsid w:val="00CD40CD"/>
    <w:rsid w:val="00CD56CF"/>
    <w:rsid w:val="00CD6AC3"/>
    <w:rsid w:val="00CF2366"/>
    <w:rsid w:val="00CF3499"/>
    <w:rsid w:val="00CF6611"/>
    <w:rsid w:val="00D02B9C"/>
    <w:rsid w:val="00D02C26"/>
    <w:rsid w:val="00D10FA4"/>
    <w:rsid w:val="00D11F76"/>
    <w:rsid w:val="00D14C2C"/>
    <w:rsid w:val="00D326BC"/>
    <w:rsid w:val="00D34260"/>
    <w:rsid w:val="00D36011"/>
    <w:rsid w:val="00D37086"/>
    <w:rsid w:val="00D419B6"/>
    <w:rsid w:val="00D465C3"/>
    <w:rsid w:val="00D5700F"/>
    <w:rsid w:val="00D7374B"/>
    <w:rsid w:val="00DA5661"/>
    <w:rsid w:val="00DA59A4"/>
    <w:rsid w:val="00DA5C2D"/>
    <w:rsid w:val="00DB25D4"/>
    <w:rsid w:val="00DB5458"/>
    <w:rsid w:val="00DB5A2B"/>
    <w:rsid w:val="00DC790B"/>
    <w:rsid w:val="00DE1EA2"/>
    <w:rsid w:val="00DE4BC8"/>
    <w:rsid w:val="00E011EB"/>
    <w:rsid w:val="00E06224"/>
    <w:rsid w:val="00E264B6"/>
    <w:rsid w:val="00E357ED"/>
    <w:rsid w:val="00E51155"/>
    <w:rsid w:val="00E567FD"/>
    <w:rsid w:val="00E65FFC"/>
    <w:rsid w:val="00E76806"/>
    <w:rsid w:val="00E77A50"/>
    <w:rsid w:val="00E82818"/>
    <w:rsid w:val="00EA0A6D"/>
    <w:rsid w:val="00EB71B4"/>
    <w:rsid w:val="00EB7495"/>
    <w:rsid w:val="00EC5EB2"/>
    <w:rsid w:val="00ED702F"/>
    <w:rsid w:val="00EE6C76"/>
    <w:rsid w:val="00EF5849"/>
    <w:rsid w:val="00F151BE"/>
    <w:rsid w:val="00F15FF1"/>
    <w:rsid w:val="00F36A25"/>
    <w:rsid w:val="00F56451"/>
    <w:rsid w:val="00F730A6"/>
    <w:rsid w:val="00F76CCB"/>
    <w:rsid w:val="00F82F19"/>
    <w:rsid w:val="00F92170"/>
    <w:rsid w:val="00F96956"/>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1348-4E85-4AFA-AD86-BAFF821A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69</cp:revision>
  <cp:lastPrinted>2023-01-17T05:44:00Z</cp:lastPrinted>
  <dcterms:created xsi:type="dcterms:W3CDTF">2023-03-10T07:19:00Z</dcterms:created>
  <dcterms:modified xsi:type="dcterms:W3CDTF">2025-03-26T07:06:00Z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