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DADF">
      <w:pPr>
        <w:spacing w:line="360" w:lineRule="auto"/>
        <w:rPr>
          <w:bCs/>
          <w:iCs/>
          <w:color w:val="000000"/>
          <w:sz w:val="24"/>
        </w:rPr>
      </w:pPr>
      <w:r>
        <w:rPr>
          <w:rFonts w:hAnsi="宋体"/>
          <w:bCs/>
          <w:iCs/>
          <w:color w:val="000000"/>
          <w:sz w:val="24"/>
        </w:rPr>
        <w:t>证券代码：</w:t>
      </w:r>
      <w:r>
        <w:rPr>
          <w:rFonts w:hint="eastAsia" w:hAnsi="宋体"/>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int="eastAsia" w:hAnsi="宋体"/>
          <w:bCs/>
          <w:iCs/>
          <w:color w:val="000000"/>
          <w:sz w:val="24"/>
        </w:rPr>
        <w:t>迅捷兴</w:t>
      </w:r>
    </w:p>
    <w:p w14:paraId="10BC6865">
      <w:pPr>
        <w:spacing w:line="360" w:lineRule="auto"/>
        <w:jc w:val="center"/>
        <w:rPr>
          <w:rFonts w:hAnsi="宋体"/>
          <w:b/>
          <w:bCs/>
          <w:iCs/>
          <w:color w:val="000000"/>
          <w:sz w:val="32"/>
          <w:szCs w:val="32"/>
        </w:rPr>
      </w:pPr>
      <w:r>
        <w:rPr>
          <w:rFonts w:hint="eastAsia" w:hAnsi="宋体"/>
          <w:b/>
          <w:bCs/>
          <w:iCs/>
          <w:color w:val="000000"/>
          <w:sz w:val="32"/>
          <w:szCs w:val="32"/>
        </w:rPr>
        <w:t>深圳市迅捷兴科技股份有限公司</w:t>
      </w:r>
    </w:p>
    <w:p w14:paraId="26FD93D4">
      <w:pPr>
        <w:spacing w:line="360" w:lineRule="auto"/>
        <w:jc w:val="center"/>
        <w:rPr>
          <w:rFonts w:hint="eastAsia" w:hAnsi="宋体" w:eastAsia="宋体"/>
          <w:b/>
          <w:bCs/>
          <w:iCs/>
          <w:color w:val="000000"/>
          <w:sz w:val="32"/>
          <w:szCs w:val="32"/>
          <w:lang w:eastAsia="zh-CN"/>
        </w:rPr>
      </w:pPr>
      <w:r>
        <w:rPr>
          <w:rFonts w:hAnsi="宋体"/>
          <w:b/>
          <w:bCs/>
          <w:iCs/>
          <w:color w:val="000000"/>
          <w:sz w:val="32"/>
          <w:szCs w:val="32"/>
        </w:rPr>
        <w:t>投资者关系活动记录表</w:t>
      </w:r>
      <w:r>
        <w:rPr>
          <w:rFonts w:hint="eastAsia" w:hAnsi="宋体"/>
          <w:b/>
          <w:bCs/>
          <w:iCs/>
          <w:color w:val="000000"/>
          <w:sz w:val="32"/>
          <w:szCs w:val="32"/>
        </w:rPr>
        <w:t>（2024年</w:t>
      </w:r>
      <w:r>
        <w:rPr>
          <w:rFonts w:hint="eastAsia" w:hAnsi="宋体"/>
          <w:b/>
          <w:bCs/>
          <w:iCs/>
          <w:color w:val="000000"/>
          <w:sz w:val="32"/>
          <w:szCs w:val="32"/>
          <w:lang w:val="en-US" w:eastAsia="zh-CN"/>
        </w:rPr>
        <w:t>度</w:t>
      </w:r>
      <w:r>
        <w:rPr>
          <w:rFonts w:hint="eastAsia" w:hAnsi="宋体"/>
          <w:b/>
          <w:bCs/>
          <w:iCs/>
          <w:color w:val="000000"/>
          <w:sz w:val="32"/>
          <w:szCs w:val="32"/>
        </w:rPr>
        <w:t>业绩说明会）</w:t>
      </w:r>
    </w:p>
    <w:p w14:paraId="691CFB23">
      <w:pPr>
        <w:spacing w:line="360" w:lineRule="auto"/>
        <w:jc w:val="center"/>
        <w:rPr>
          <w:rFonts w:hint="eastAsia" w:eastAsia="宋体"/>
          <w:bCs/>
          <w:iCs/>
          <w:color w:val="000000"/>
          <w:sz w:val="24"/>
          <w:szCs w:val="32"/>
          <w:lang w:eastAsia="zh-CN"/>
        </w:rPr>
      </w:pPr>
      <w:r>
        <w:rPr>
          <w:rFonts w:hint="eastAsia" w:hAnsi="宋体"/>
          <w:b/>
          <w:bCs/>
          <w:iCs/>
          <w:color w:val="000000"/>
          <w:sz w:val="32"/>
          <w:szCs w:val="32"/>
        </w:rPr>
        <w:t xml:space="preserve"> </w:t>
      </w:r>
      <w:r>
        <w:rPr>
          <w:rFonts w:hAnsi="宋体"/>
          <w:b/>
          <w:bCs/>
          <w:iCs/>
          <w:color w:val="000000"/>
          <w:sz w:val="32"/>
          <w:szCs w:val="32"/>
        </w:rPr>
        <w:t xml:space="preserve">                                          </w:t>
      </w:r>
      <w:r>
        <w:rPr>
          <w:rFonts w:hAnsi="宋体"/>
          <w:bCs/>
          <w:iCs/>
          <w:color w:val="000000"/>
          <w:sz w:val="24"/>
          <w:szCs w:val="32"/>
        </w:rPr>
        <w:t xml:space="preserve"> </w:t>
      </w:r>
      <w:r>
        <w:rPr>
          <w:rFonts w:hint="eastAsia" w:hAnsi="宋体"/>
          <w:bCs/>
          <w:iCs/>
          <w:color w:val="000000"/>
          <w:sz w:val="24"/>
          <w:szCs w:val="32"/>
        </w:rPr>
        <w:t>编号：</w:t>
      </w:r>
      <w:r>
        <w:rPr>
          <w:rFonts w:hAnsi="宋体"/>
          <w:bCs/>
          <w:iCs/>
          <w:color w:val="000000"/>
          <w:sz w:val="24"/>
          <w:szCs w:val="32"/>
        </w:rPr>
        <w:t>202</w:t>
      </w:r>
      <w:r>
        <w:rPr>
          <w:rFonts w:hint="eastAsia" w:hAnsi="宋体"/>
          <w:bCs/>
          <w:iCs/>
          <w:color w:val="000000"/>
          <w:sz w:val="24"/>
          <w:szCs w:val="32"/>
        </w:rPr>
        <w:t>50</w:t>
      </w:r>
      <w:r>
        <w:rPr>
          <w:rFonts w:hint="eastAsia" w:hAnsi="宋体"/>
          <w:bCs/>
          <w:iCs/>
          <w:color w:val="000000"/>
          <w:sz w:val="24"/>
          <w:szCs w:val="32"/>
          <w:lang w:val="en-US" w:eastAsia="zh-CN"/>
        </w:rPr>
        <w:t>3</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33"/>
      </w:tblGrid>
      <w:tr w14:paraId="529A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7DB66BA">
            <w:pPr>
              <w:spacing w:line="360" w:lineRule="auto"/>
              <w:jc w:val="center"/>
              <w:rPr>
                <w:b/>
                <w:bCs/>
                <w:iCs/>
                <w:color w:val="auto"/>
                <w:sz w:val="24"/>
              </w:rPr>
            </w:pPr>
            <w:r>
              <w:rPr>
                <w:rFonts w:hAnsi="宋体"/>
                <w:b/>
                <w:bCs/>
                <w:iCs/>
                <w:color w:val="auto"/>
                <w:sz w:val="24"/>
              </w:rPr>
              <w:t>投资者关系活动类别</w:t>
            </w:r>
          </w:p>
        </w:tc>
        <w:tc>
          <w:tcPr>
            <w:tcW w:w="6633" w:type="dxa"/>
          </w:tcPr>
          <w:p w14:paraId="5700AE75">
            <w:pPr>
              <w:spacing w:line="360" w:lineRule="auto"/>
              <w:rPr>
                <w:bCs/>
                <w:iCs/>
                <w:color w:val="auto"/>
                <w:sz w:val="24"/>
                <w:szCs w:val="24"/>
              </w:rPr>
            </w:pPr>
            <w:r>
              <w:rPr>
                <w:rFonts w:hint="eastAsia" w:ascii="宋体" w:hAnsi="宋体"/>
                <w:bCs/>
                <w:iCs/>
                <w:color w:val="auto"/>
                <w:sz w:val="24"/>
                <w:szCs w:val="24"/>
              </w:rPr>
              <w:sym w:font="Wingdings 2" w:char="00A3"/>
            </w:r>
            <w:r>
              <w:rPr>
                <w:rFonts w:hAnsi="宋体"/>
                <w:bCs/>
                <w:iCs/>
                <w:color w:val="auto"/>
                <w:sz w:val="24"/>
                <w:szCs w:val="24"/>
              </w:rPr>
              <w:t>特定对象调研</w:t>
            </w:r>
            <w:r>
              <w:rPr>
                <w:bCs/>
                <w:iCs/>
                <w:color w:val="auto"/>
                <w:sz w:val="24"/>
                <w:szCs w:val="24"/>
              </w:rPr>
              <w:t xml:space="preserve">       </w:t>
            </w:r>
            <w:r>
              <w:rPr>
                <w:rFonts w:hint="eastAsia"/>
                <w:bCs/>
                <w:iCs/>
                <w:color w:val="auto"/>
                <w:sz w:val="24"/>
                <w:szCs w:val="24"/>
              </w:rPr>
              <w:t xml:space="preserve"> </w:t>
            </w:r>
            <w:r>
              <w:rPr>
                <w:rFonts w:hint="eastAsia" w:ascii="宋体" w:hAnsi="宋体"/>
                <w:bCs/>
                <w:iCs/>
                <w:color w:val="auto"/>
                <w:sz w:val="24"/>
                <w:szCs w:val="24"/>
              </w:rPr>
              <w:t>□</w:t>
            </w:r>
            <w:r>
              <w:rPr>
                <w:rFonts w:hAnsi="宋体"/>
                <w:bCs/>
                <w:iCs/>
                <w:color w:val="auto"/>
                <w:sz w:val="24"/>
                <w:szCs w:val="24"/>
              </w:rPr>
              <w:t>分析师会议</w:t>
            </w:r>
          </w:p>
          <w:p w14:paraId="5031A3E2">
            <w:pPr>
              <w:spacing w:line="360" w:lineRule="auto"/>
              <w:rPr>
                <w:bCs/>
                <w:iCs/>
                <w:color w:val="auto"/>
                <w:sz w:val="24"/>
                <w:szCs w:val="24"/>
              </w:rPr>
            </w:pPr>
            <w:r>
              <w:rPr>
                <w:rFonts w:hint="eastAsia" w:ascii="宋体" w:hAnsi="宋体"/>
                <w:bCs/>
                <w:iCs/>
                <w:color w:val="auto"/>
                <w:sz w:val="24"/>
                <w:szCs w:val="24"/>
              </w:rPr>
              <w:t>□</w:t>
            </w:r>
            <w:r>
              <w:rPr>
                <w:rFonts w:hAnsi="宋体"/>
                <w:bCs/>
                <w:iCs/>
                <w:color w:val="auto"/>
                <w:sz w:val="24"/>
                <w:szCs w:val="24"/>
              </w:rPr>
              <w:t>媒体采访</w:t>
            </w:r>
            <w:r>
              <w:rPr>
                <w:bCs/>
                <w:iCs/>
                <w:color w:val="auto"/>
                <w:sz w:val="24"/>
                <w:szCs w:val="24"/>
              </w:rPr>
              <w:t xml:space="preserve">            </w:t>
            </w:r>
            <w:r>
              <w:rPr>
                <w:rFonts w:hint="eastAsia" w:ascii="Segoe UI Symbol" w:hAnsi="Segoe UI Symbol" w:cs="Segoe UI Symbol"/>
                <w:bCs/>
                <w:iCs/>
                <w:color w:val="auto"/>
                <w:sz w:val="24"/>
                <w:szCs w:val="24"/>
              </w:rPr>
              <w:sym w:font="Wingdings 2" w:char="0052"/>
            </w:r>
            <w:r>
              <w:rPr>
                <w:rFonts w:hAnsi="宋体"/>
                <w:bCs/>
                <w:iCs/>
                <w:color w:val="auto"/>
                <w:sz w:val="24"/>
                <w:szCs w:val="24"/>
              </w:rPr>
              <w:t>业绩说明会</w:t>
            </w:r>
          </w:p>
          <w:p w14:paraId="1B68E5BA">
            <w:pPr>
              <w:spacing w:line="360" w:lineRule="auto"/>
              <w:rPr>
                <w:bCs/>
                <w:iCs/>
                <w:color w:val="auto"/>
                <w:sz w:val="24"/>
                <w:szCs w:val="24"/>
              </w:rPr>
            </w:pPr>
            <w:r>
              <w:rPr>
                <w:rFonts w:hint="eastAsia" w:ascii="宋体" w:hAnsi="宋体"/>
                <w:bCs/>
                <w:iCs/>
                <w:color w:val="auto"/>
                <w:sz w:val="24"/>
                <w:szCs w:val="24"/>
              </w:rPr>
              <w:t>□</w:t>
            </w:r>
            <w:r>
              <w:rPr>
                <w:rFonts w:hAnsi="宋体"/>
                <w:bCs/>
                <w:iCs/>
                <w:color w:val="auto"/>
                <w:sz w:val="24"/>
                <w:szCs w:val="24"/>
              </w:rPr>
              <w:t>新闻发布会</w:t>
            </w:r>
            <w:r>
              <w:rPr>
                <w:bCs/>
                <w:iCs/>
                <w:color w:val="auto"/>
                <w:sz w:val="24"/>
                <w:szCs w:val="24"/>
              </w:rPr>
              <w:t xml:space="preserve">          </w:t>
            </w:r>
            <w:r>
              <w:rPr>
                <w:rFonts w:hint="eastAsia" w:ascii="宋体" w:hAnsi="宋体"/>
                <w:bCs/>
                <w:iCs/>
                <w:color w:val="auto"/>
                <w:sz w:val="24"/>
                <w:szCs w:val="24"/>
              </w:rPr>
              <w:sym w:font="Wingdings 2" w:char="00A3"/>
            </w:r>
            <w:r>
              <w:rPr>
                <w:rFonts w:hAnsi="宋体"/>
                <w:bCs/>
                <w:iCs/>
                <w:color w:val="auto"/>
                <w:sz w:val="24"/>
                <w:szCs w:val="24"/>
              </w:rPr>
              <w:t>路演活动</w:t>
            </w:r>
          </w:p>
          <w:p w14:paraId="7DA20B2B">
            <w:pPr>
              <w:spacing w:line="360" w:lineRule="auto"/>
              <w:rPr>
                <w:rFonts w:hAnsi="宋体"/>
                <w:bCs/>
                <w:iCs/>
                <w:color w:val="auto"/>
                <w:sz w:val="24"/>
                <w:szCs w:val="24"/>
              </w:rPr>
            </w:pPr>
            <w:r>
              <w:rPr>
                <w:rFonts w:hint="eastAsia" w:ascii="宋体" w:hAnsi="宋体"/>
                <w:bCs/>
                <w:iCs/>
                <w:color w:val="auto"/>
                <w:sz w:val="24"/>
                <w:szCs w:val="24"/>
              </w:rPr>
              <w:t>□</w:t>
            </w:r>
            <w:r>
              <w:rPr>
                <w:rFonts w:hAnsi="宋体"/>
                <w:bCs/>
                <w:iCs/>
                <w:color w:val="auto"/>
                <w:sz w:val="24"/>
                <w:szCs w:val="24"/>
              </w:rPr>
              <w:t>现场参观</w:t>
            </w:r>
            <w:r>
              <w:rPr>
                <w:rFonts w:hint="eastAsia" w:hAnsi="宋体"/>
                <w:bCs/>
                <w:iCs/>
                <w:color w:val="auto"/>
                <w:sz w:val="24"/>
                <w:szCs w:val="24"/>
              </w:rPr>
              <w:t xml:space="preserve">           </w:t>
            </w:r>
          </w:p>
          <w:p w14:paraId="2241D522">
            <w:pPr>
              <w:spacing w:line="360" w:lineRule="auto"/>
              <w:rPr>
                <w:bCs/>
                <w:iCs/>
                <w:color w:val="auto"/>
                <w:sz w:val="24"/>
                <w:szCs w:val="24"/>
              </w:rPr>
            </w:pPr>
            <w:r>
              <w:rPr>
                <w:rFonts w:hint="eastAsia" w:ascii="宋体" w:hAnsi="宋体"/>
                <w:bCs/>
                <w:iCs/>
                <w:color w:val="auto"/>
                <w:sz w:val="24"/>
                <w:szCs w:val="24"/>
              </w:rPr>
              <w:t>□</w:t>
            </w:r>
            <w:r>
              <w:rPr>
                <w:rFonts w:hAnsi="宋体"/>
                <w:bCs/>
                <w:iCs/>
                <w:color w:val="auto"/>
                <w:sz w:val="24"/>
                <w:szCs w:val="24"/>
              </w:rPr>
              <w:t>其他</w:t>
            </w:r>
            <w:r>
              <w:rPr>
                <w:rFonts w:hint="eastAsia" w:hAnsi="宋体"/>
                <w:bCs/>
                <w:iCs/>
                <w:color w:val="auto"/>
                <w:sz w:val="24"/>
                <w:szCs w:val="24"/>
              </w:rPr>
              <w:t xml:space="preserve"> </w:t>
            </w:r>
          </w:p>
        </w:tc>
      </w:tr>
      <w:tr w14:paraId="7DFD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980" w:type="dxa"/>
            <w:vAlign w:val="center"/>
          </w:tcPr>
          <w:p w14:paraId="00DEA55F">
            <w:pPr>
              <w:spacing w:line="360" w:lineRule="auto"/>
              <w:jc w:val="center"/>
              <w:rPr>
                <w:b/>
                <w:bCs/>
                <w:iCs/>
                <w:color w:val="auto"/>
                <w:sz w:val="24"/>
              </w:rPr>
            </w:pPr>
            <w:r>
              <w:rPr>
                <w:rFonts w:hAnsi="宋体"/>
                <w:b/>
                <w:bCs/>
                <w:iCs/>
                <w:color w:val="auto"/>
                <w:sz w:val="24"/>
              </w:rPr>
              <w:t>参与单位名称</w:t>
            </w:r>
          </w:p>
        </w:tc>
        <w:tc>
          <w:tcPr>
            <w:tcW w:w="6633" w:type="dxa"/>
            <w:vAlign w:val="center"/>
          </w:tcPr>
          <w:p w14:paraId="2772E666">
            <w:pPr>
              <w:widowControl/>
              <w:tabs>
                <w:tab w:val="left" w:pos="2940"/>
              </w:tabs>
              <w:spacing w:line="360" w:lineRule="auto"/>
              <w:rPr>
                <w:color w:val="auto"/>
                <w:sz w:val="24"/>
                <w:szCs w:val="24"/>
              </w:rPr>
            </w:pPr>
            <w:r>
              <w:rPr>
                <w:rFonts w:hint="eastAsia"/>
                <w:color w:val="auto"/>
                <w:sz w:val="24"/>
                <w:szCs w:val="24"/>
              </w:rPr>
              <w:t>通过上证路演中心网络互动平台参与公司2024年度业绩说明会的投资者</w:t>
            </w:r>
          </w:p>
        </w:tc>
      </w:tr>
      <w:tr w14:paraId="7FC0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56D15EA">
            <w:pPr>
              <w:spacing w:line="360" w:lineRule="auto"/>
              <w:jc w:val="center"/>
              <w:rPr>
                <w:b/>
                <w:bCs/>
                <w:iCs/>
                <w:color w:val="auto"/>
                <w:sz w:val="24"/>
              </w:rPr>
            </w:pPr>
            <w:r>
              <w:rPr>
                <w:rFonts w:hAnsi="宋体"/>
                <w:b/>
                <w:bCs/>
                <w:iCs/>
                <w:color w:val="auto"/>
                <w:sz w:val="24"/>
              </w:rPr>
              <w:t>时</w:t>
            </w:r>
            <w:r>
              <w:rPr>
                <w:b/>
                <w:bCs/>
                <w:iCs/>
                <w:color w:val="auto"/>
                <w:sz w:val="24"/>
              </w:rPr>
              <w:t xml:space="preserve">  </w:t>
            </w:r>
            <w:r>
              <w:rPr>
                <w:rFonts w:hAnsi="宋体"/>
                <w:b/>
                <w:bCs/>
                <w:iCs/>
                <w:color w:val="auto"/>
                <w:sz w:val="24"/>
              </w:rPr>
              <w:t>间</w:t>
            </w:r>
          </w:p>
        </w:tc>
        <w:tc>
          <w:tcPr>
            <w:tcW w:w="6633" w:type="dxa"/>
          </w:tcPr>
          <w:p w14:paraId="094D90FF">
            <w:pPr>
              <w:spacing w:line="360" w:lineRule="auto"/>
              <w:rPr>
                <w:rFonts w:hint="eastAsia"/>
                <w:bCs/>
                <w:iCs/>
                <w:color w:val="auto"/>
                <w:sz w:val="24"/>
                <w:szCs w:val="24"/>
              </w:rPr>
            </w:pPr>
            <w:r>
              <w:rPr>
                <w:rFonts w:hint="eastAsia"/>
                <w:bCs/>
                <w:iCs/>
                <w:color w:val="auto"/>
                <w:sz w:val="24"/>
                <w:szCs w:val="24"/>
                <w:lang w:eastAsia="zh-CN"/>
              </w:rPr>
              <w:t>2025年3月31日</w:t>
            </w:r>
            <w:r>
              <w:rPr>
                <w:rFonts w:hint="eastAsia" w:ascii="宋体" w:hAnsi="宋体" w:eastAsia="宋体" w:cs="宋体"/>
                <w:bCs/>
                <w:iCs/>
                <w:color w:val="auto"/>
                <w:sz w:val="24"/>
                <w:highlight w:val="none"/>
              </w:rPr>
              <w:t>15:00-16:30</w:t>
            </w:r>
          </w:p>
        </w:tc>
      </w:tr>
      <w:tr w14:paraId="2332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ED26192">
            <w:pPr>
              <w:spacing w:line="360" w:lineRule="auto"/>
              <w:jc w:val="center"/>
              <w:rPr>
                <w:b/>
                <w:bCs/>
                <w:iCs/>
                <w:color w:val="auto"/>
                <w:sz w:val="24"/>
              </w:rPr>
            </w:pPr>
            <w:r>
              <w:rPr>
                <w:rFonts w:hAnsi="宋体"/>
                <w:b/>
                <w:bCs/>
                <w:iCs/>
                <w:color w:val="auto"/>
                <w:sz w:val="24"/>
              </w:rPr>
              <w:t>地</w:t>
            </w:r>
            <w:r>
              <w:rPr>
                <w:b/>
                <w:bCs/>
                <w:iCs/>
                <w:color w:val="auto"/>
                <w:sz w:val="24"/>
              </w:rPr>
              <w:t xml:space="preserve">  </w:t>
            </w:r>
            <w:r>
              <w:rPr>
                <w:rFonts w:hAnsi="宋体"/>
                <w:b/>
                <w:bCs/>
                <w:iCs/>
                <w:color w:val="auto"/>
                <w:sz w:val="24"/>
              </w:rPr>
              <w:t>点</w:t>
            </w:r>
          </w:p>
        </w:tc>
        <w:tc>
          <w:tcPr>
            <w:tcW w:w="6633" w:type="dxa"/>
          </w:tcPr>
          <w:p w14:paraId="6BA48FEF">
            <w:pPr>
              <w:spacing w:line="360" w:lineRule="auto"/>
              <w:rPr>
                <w:bCs/>
                <w:iCs/>
                <w:color w:val="auto"/>
                <w:sz w:val="24"/>
                <w:szCs w:val="24"/>
              </w:rPr>
            </w:pPr>
            <w:r>
              <w:rPr>
                <w:rFonts w:hint="eastAsia"/>
                <w:bCs/>
                <w:iCs/>
                <w:color w:val="auto"/>
                <w:sz w:val="24"/>
                <w:szCs w:val="24"/>
              </w:rPr>
              <w:t>上证路演中心（网址：http://roadshow.sseinfo.com/）</w:t>
            </w:r>
          </w:p>
        </w:tc>
      </w:tr>
      <w:tr w14:paraId="2F07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80" w:type="dxa"/>
            <w:vAlign w:val="center"/>
          </w:tcPr>
          <w:p w14:paraId="6BFEE4A7">
            <w:pPr>
              <w:spacing w:line="360" w:lineRule="auto"/>
              <w:jc w:val="center"/>
              <w:rPr>
                <w:b/>
                <w:bCs/>
                <w:iCs/>
                <w:color w:val="auto"/>
                <w:sz w:val="24"/>
              </w:rPr>
            </w:pPr>
            <w:r>
              <w:rPr>
                <w:rFonts w:hAnsi="宋体"/>
                <w:b/>
                <w:bCs/>
                <w:iCs/>
                <w:color w:val="auto"/>
                <w:sz w:val="24"/>
              </w:rPr>
              <w:t>上市公司接待人员姓名</w:t>
            </w:r>
          </w:p>
        </w:tc>
        <w:tc>
          <w:tcPr>
            <w:tcW w:w="6633" w:type="dxa"/>
            <w:vAlign w:val="center"/>
          </w:tcPr>
          <w:p w14:paraId="2C96C4C5">
            <w:pPr>
              <w:widowControl/>
              <w:tabs>
                <w:tab w:val="left" w:pos="2940"/>
              </w:tabs>
              <w:spacing w:line="360" w:lineRule="auto"/>
              <w:rPr>
                <w:bCs/>
                <w:iCs/>
                <w:color w:val="auto"/>
                <w:sz w:val="24"/>
                <w:szCs w:val="24"/>
              </w:rPr>
            </w:pPr>
            <w:r>
              <w:rPr>
                <w:rFonts w:hint="eastAsia"/>
                <w:color w:val="auto"/>
                <w:sz w:val="24"/>
                <w:szCs w:val="24"/>
              </w:rPr>
              <w:t>董事长兼总经理马卓、独立董事刘木勇、董事会秘书吴玉梅、财务总监刘望兰</w:t>
            </w:r>
          </w:p>
        </w:tc>
      </w:tr>
      <w:tr w14:paraId="4470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0" w:type="dxa"/>
            <w:vAlign w:val="center"/>
          </w:tcPr>
          <w:p w14:paraId="4C1A0338">
            <w:pPr>
              <w:spacing w:line="360" w:lineRule="auto"/>
              <w:rPr>
                <w:b/>
                <w:bCs/>
                <w:iCs/>
                <w:color w:val="auto"/>
                <w:sz w:val="24"/>
              </w:rPr>
            </w:pPr>
            <w:r>
              <w:rPr>
                <w:rFonts w:hAnsi="宋体"/>
                <w:b/>
                <w:bCs/>
                <w:iCs/>
                <w:color w:val="auto"/>
                <w:sz w:val="24"/>
              </w:rPr>
              <w:t>投资者关系活动主要内容介绍</w:t>
            </w:r>
          </w:p>
        </w:tc>
        <w:tc>
          <w:tcPr>
            <w:tcW w:w="6633" w:type="dxa"/>
          </w:tcPr>
          <w:p w14:paraId="696EE834">
            <w:pPr>
              <w:autoSpaceDE w:val="0"/>
              <w:autoSpaceDN w:val="0"/>
              <w:spacing w:before="156" w:beforeLines="50" w:line="360" w:lineRule="auto"/>
              <w:outlineLvl w:val="0"/>
              <w:rPr>
                <w:color w:val="auto"/>
                <w:kern w:val="0"/>
                <w:sz w:val="24"/>
                <w:szCs w:val="24"/>
              </w:rPr>
            </w:pPr>
            <w:r>
              <w:rPr>
                <w:rFonts w:hint="eastAsia"/>
                <w:color w:val="auto"/>
                <w:kern w:val="0"/>
                <w:sz w:val="24"/>
                <w:szCs w:val="24"/>
              </w:rPr>
              <w:t>主要内容整理如下：</w:t>
            </w:r>
          </w:p>
          <w:p w14:paraId="3D10557E">
            <w:pPr>
              <w:keepNext w:val="0"/>
              <w:keepLines w:val="0"/>
              <w:pageBreakBefore w:val="0"/>
              <w:numPr>
                <w:numId w:val="0"/>
              </w:numPr>
              <w:kinsoku/>
              <w:wordWrap/>
              <w:overflowPunct/>
              <w:topLinePunct w:val="0"/>
              <w:autoSpaceDE/>
              <w:autoSpaceDN/>
              <w:bidi w:val="0"/>
              <w:adjustRightInd/>
              <w:snapToGrid/>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问1：</w:t>
            </w:r>
            <w:r>
              <w:rPr>
                <w:rFonts w:hint="default" w:ascii="Times New Roman" w:hAnsi="Times New Roman" w:eastAsia="宋体" w:cs="Times New Roman"/>
                <w:b/>
                <w:bCs/>
                <w:color w:val="auto"/>
                <w:sz w:val="24"/>
                <w:szCs w:val="24"/>
              </w:rPr>
              <w:t>请问202</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年度公司业绩下滑的主要原因是什么？</w:t>
            </w:r>
          </w:p>
          <w:p w14:paraId="5365DEC1">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val="en-US" w:eastAsia="zh-CN"/>
              </w:rPr>
              <w:t>答：</w:t>
            </w:r>
            <w:r>
              <w:rPr>
                <w:rFonts w:hint="default" w:ascii="Times New Roman" w:hAnsi="Times New Roman" w:eastAsia="宋体" w:cs="Times New Roman"/>
                <w:color w:val="auto"/>
                <w:sz w:val="24"/>
                <w:szCs w:val="24"/>
              </w:rPr>
              <w:t>尊敬的投资者，您好！报告期，公司整体产能仍未充分利用，产品单位固定成本依然较高以及行业价格竞争激烈，使得公司业绩一直承压。2024年公司归属于上市公司股东的净利润同比减少114.65%，主要系公司基于审慎性原则对前期子公司可弥补亏损形成的递延所得税资产进行全额转回及研发费用加计扣除的影响，所得税费用同比增加1,014.10万元，叠加销售费用中佣金服务及职工薪酬增加、财务费用中外币产生汇兑收益减少及利息支出增加等致使公司归属于母公司所有者的净利润下降。感谢您的关注</w:t>
            </w:r>
            <w:r>
              <w:rPr>
                <w:rFonts w:hint="default" w:ascii="Times New Roman" w:hAnsi="Times New Roman" w:eastAsia="宋体" w:cs="Times New Roman"/>
                <w:color w:val="auto"/>
                <w:sz w:val="24"/>
                <w:szCs w:val="24"/>
                <w:lang w:eastAsia="zh-CN"/>
              </w:rPr>
              <w:t>！</w:t>
            </w:r>
          </w:p>
          <w:p w14:paraId="029604ED">
            <w:pPr>
              <w:keepNext w:val="0"/>
              <w:keepLines w:val="0"/>
              <w:pageBreakBefore w:val="0"/>
              <w:numPr>
                <w:numId w:val="0"/>
              </w:numPr>
              <w:kinsoku/>
              <w:wordWrap/>
              <w:overflowPunct/>
              <w:topLinePunct w:val="0"/>
              <w:autoSpaceDE/>
              <w:autoSpaceDN/>
              <w:bidi w:val="0"/>
              <w:adjustRightInd/>
              <w:snapToGrid/>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问2：</w:t>
            </w:r>
            <w:r>
              <w:rPr>
                <w:rFonts w:hint="default" w:ascii="Times New Roman" w:hAnsi="Times New Roman" w:eastAsia="宋体" w:cs="Times New Roman"/>
                <w:b/>
                <w:bCs/>
                <w:color w:val="auto"/>
                <w:sz w:val="24"/>
                <w:szCs w:val="24"/>
              </w:rPr>
              <w:t>请问贵公司在202</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年就业务增长方面是否有相应的计划</w:t>
            </w:r>
          </w:p>
          <w:p w14:paraId="431D69B9">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left="0" w:firstLine="480" w:firstLineChars="200"/>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答：</w:t>
            </w:r>
            <w:r>
              <w:rPr>
                <w:rFonts w:hint="default" w:ascii="Times New Roman" w:hAnsi="Times New Roman" w:eastAsia="宋体" w:cs="Times New Roman"/>
                <w:color w:val="auto"/>
                <w:sz w:val="24"/>
                <w:szCs w:val="24"/>
              </w:rPr>
              <w:t>尊敬的投资者，您好！202</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年，公司重点工作是充分发挥特色化一站式服务优势，加大市场开发力度，提升产能利用率，加速实现公司规模效应。具体体现在以下方面：1、加快产能爬升，实现规模效应</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b w:val="0"/>
                <w:bCs w:val="0"/>
                <w:color w:val="auto"/>
                <w:kern w:val="2"/>
                <w:sz w:val="24"/>
                <w:szCs w:val="24"/>
                <w:lang w:val="en-US" w:eastAsia="zh-CN" w:bidi="ar"/>
              </w:rPr>
              <w:t>聚焦一站式服务需求大客户，持续深挖大客户需求</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加大海外市场开拓，提升海外市场渗透率。2、推进珠海智慧型样板厂顺利投产，释放样板产能。</w:t>
            </w:r>
            <w:r>
              <w:rPr>
                <w:rFonts w:hint="default" w:ascii="Times New Roman" w:hAnsi="Times New Roman" w:eastAsia="宋体" w:cs="Times New Roman"/>
                <w:b w:val="0"/>
                <w:bCs w:val="0"/>
                <w:color w:val="auto"/>
                <w:kern w:val="2"/>
                <w:sz w:val="24"/>
                <w:szCs w:val="24"/>
                <w:lang w:val="en-US" w:eastAsia="zh-CN" w:bidi="ar"/>
              </w:rPr>
              <w:t>3、变革营销模式，推动网上商城上线4、贯彻人才与组织战略，夯实可持续发展根基。</w:t>
            </w:r>
          </w:p>
          <w:p w14:paraId="5CCFDF39">
            <w:pPr>
              <w:keepNext w:val="0"/>
              <w:keepLines w:val="0"/>
              <w:pageBreakBefore w:val="0"/>
              <w:numPr>
                <w:numId w:val="0"/>
              </w:numPr>
              <w:kinsoku/>
              <w:wordWrap/>
              <w:overflowPunct/>
              <w:topLinePunct w:val="0"/>
              <w:autoSpaceDE/>
              <w:autoSpaceDN/>
              <w:bidi w:val="0"/>
              <w:adjustRightInd/>
              <w:snapToGrid/>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问3：</w:t>
            </w:r>
            <w:r>
              <w:rPr>
                <w:rFonts w:hint="default" w:ascii="Times New Roman" w:hAnsi="Times New Roman" w:eastAsia="宋体" w:cs="Times New Roman"/>
                <w:b/>
                <w:bCs/>
                <w:color w:val="auto"/>
                <w:sz w:val="24"/>
                <w:szCs w:val="24"/>
              </w:rPr>
              <w:t>请问</w:t>
            </w:r>
            <w:r>
              <w:rPr>
                <w:rFonts w:hint="default" w:ascii="Times New Roman" w:hAnsi="Times New Roman" w:eastAsia="宋体" w:cs="Times New Roman"/>
                <w:b/>
                <w:bCs/>
                <w:color w:val="auto"/>
                <w:sz w:val="24"/>
                <w:szCs w:val="24"/>
                <w:lang w:val="en-US" w:eastAsia="zh-CN"/>
              </w:rPr>
              <w:t>珠海新模式赋能</w:t>
            </w:r>
            <w:r>
              <w:rPr>
                <w:rFonts w:hint="default" w:ascii="Times New Roman" w:hAnsi="Times New Roman" w:eastAsia="宋体" w:cs="Times New Roman"/>
                <w:b/>
                <w:bCs/>
                <w:color w:val="auto"/>
                <w:sz w:val="24"/>
                <w:szCs w:val="24"/>
              </w:rPr>
              <w:t>具体体现在哪些方面？</w:t>
            </w:r>
          </w:p>
          <w:p w14:paraId="603F79A3">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答：</w:t>
            </w:r>
            <w:r>
              <w:rPr>
                <w:rFonts w:hint="default" w:ascii="Times New Roman" w:hAnsi="Times New Roman" w:eastAsia="宋体" w:cs="Times New Roman"/>
                <w:color w:val="auto"/>
                <w:sz w:val="24"/>
                <w:szCs w:val="24"/>
              </w:rPr>
              <w:t>尊敬的投资者，您好！未来，公司网上商城以深圳量身定制样板厂、信丰一厂高多层、软硬结合、HDI样板小批量工厂及珠海标准化样板工厂为依托，面向全球电子制造企业、科研院校、创客群体提供定制化样板、标准化样板及技术咨询服务。</w:t>
            </w:r>
          </w:p>
          <w:p w14:paraId="1135CD97">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将加快推动迅捷兴网上商城上线推广及运用，网上商城可实现PCB线上下单，实现“即时报价、线上下单、自动审单、进度追踪”闭环，将可极大提高样板服务质量同时还将为公司拓展客户群体，提供订单支持，为珠海互联网+智慧型项目投产做好铺垫。该项目将开创样板批量化生产模式，有效提升公司PCB样板生产能力，进一步提升公司在PCB样板市场的竞争地位。</w:t>
            </w:r>
          </w:p>
          <w:p w14:paraId="42CDB92C">
            <w:pPr>
              <w:keepNext w:val="0"/>
              <w:keepLines w:val="0"/>
              <w:pageBreakBefore w:val="0"/>
              <w:numPr>
                <w:numId w:val="0"/>
              </w:numPr>
              <w:kinsoku/>
              <w:wordWrap/>
              <w:overflowPunct/>
              <w:topLinePunct w:val="0"/>
              <w:autoSpaceDE/>
              <w:autoSpaceDN/>
              <w:bidi w:val="0"/>
              <w:adjustRightInd/>
              <w:snapToGrid/>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问4：</w:t>
            </w:r>
            <w:r>
              <w:rPr>
                <w:rFonts w:hint="default" w:ascii="Times New Roman" w:hAnsi="Times New Roman" w:eastAsia="宋体" w:cs="Times New Roman"/>
                <w:b/>
                <w:bCs/>
                <w:color w:val="auto"/>
                <w:sz w:val="24"/>
                <w:szCs w:val="24"/>
                <w:lang w:val="en-US" w:eastAsia="zh-CN"/>
              </w:rPr>
              <w:t>网上商城的推出会带来什么效果</w:t>
            </w:r>
            <w:r>
              <w:rPr>
                <w:rFonts w:hint="default" w:ascii="Times New Roman" w:hAnsi="Times New Roman" w:eastAsia="宋体" w:cs="Times New Roman"/>
                <w:b/>
                <w:bCs/>
                <w:color w:val="auto"/>
                <w:sz w:val="24"/>
                <w:szCs w:val="24"/>
              </w:rPr>
              <w:t>。</w:t>
            </w:r>
          </w:p>
          <w:p w14:paraId="20A52662">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答：</w:t>
            </w:r>
            <w:r>
              <w:rPr>
                <w:rFonts w:hint="default" w:ascii="Times New Roman" w:hAnsi="Times New Roman" w:eastAsia="宋体" w:cs="Times New Roman"/>
                <w:color w:val="auto"/>
                <w:sz w:val="24"/>
                <w:szCs w:val="24"/>
              </w:rPr>
              <w:t>尊敬的投资者，您好！因PCB样板主要满足客户产品研究开发阶段的小批量试样需求，客户群体分布广泛且数量众多。在传统销售模式下，受限于销售团队规模和服务半径，公司业务难以覆盖和满足市场容量广阔的长尾需求。</w:t>
            </w:r>
          </w:p>
          <w:p w14:paraId="18DBF53E">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而网上商城的推出将改变传统销售模式，通过交易流程的电子化、数字化，及产品设计流程的标准化，减少交易的中间环节，降低客户的沟通成本，有效缩短客户产品设计和采购周期，进而提升其研发效率，更好、更快地满足客户研发创新需求。感谢您的关注！</w:t>
            </w:r>
          </w:p>
          <w:p w14:paraId="03C35856">
            <w:pPr>
              <w:keepNext w:val="0"/>
              <w:keepLines w:val="0"/>
              <w:pageBreakBefore w:val="0"/>
              <w:numPr>
                <w:numId w:val="0"/>
              </w:numPr>
              <w:kinsoku/>
              <w:wordWrap/>
              <w:overflowPunct/>
              <w:topLinePunct w:val="0"/>
              <w:autoSpaceDE/>
              <w:autoSpaceDN/>
              <w:bidi w:val="0"/>
              <w:adjustRightInd/>
              <w:snapToGrid/>
              <w:spacing w:before="157" w:beforeLines="50" w:line="360" w:lineRule="auto"/>
              <w:ind w:left="0" w:leftChars="0" w:firstLine="482" w:firstLineChars="200"/>
              <w:textAlignment w:val="auto"/>
              <w:rPr>
                <w:rFonts w:hint="default" w:ascii="Times New Roman" w:hAnsi="Times New Roman" w:eastAsia="宋体" w:cs="Times New Roman"/>
                <w:b/>
                <w:bCs/>
                <w:color w:val="auto"/>
                <w:sz w:val="24"/>
                <w:szCs w:val="24"/>
              </w:rPr>
            </w:pPr>
            <w:r>
              <w:rPr>
                <w:rFonts w:hint="eastAsia" w:cs="Times New Roman"/>
                <w:b/>
                <w:bCs/>
                <w:color w:val="auto"/>
                <w:sz w:val="24"/>
                <w:szCs w:val="24"/>
                <w:lang w:val="en-US" w:eastAsia="zh-CN"/>
              </w:rPr>
              <w:t>问5：</w:t>
            </w:r>
            <w:r>
              <w:rPr>
                <w:rFonts w:hint="default" w:ascii="Times New Roman" w:hAnsi="Times New Roman" w:eastAsia="宋体" w:cs="Times New Roman"/>
                <w:b/>
                <w:bCs/>
                <w:color w:val="auto"/>
                <w:sz w:val="24"/>
                <w:szCs w:val="24"/>
              </w:rPr>
              <w:t>当前电子行业中，AI服务器相关领域的市场容量增速较快，下游领域以AI、网络通讯等为核心的同行业公司沪电股份、胜宏科技2024年业绩涨幅均较大，市值涨幅也较大。公司2024年度报告提及，在X86服务器Whitely 平台产品领域实现量产，请问公司相关客户有哪些？目前在手订单怎么样？公司2025年是否会增加AI服务器相关领域的研发投入？</w:t>
            </w:r>
          </w:p>
          <w:p w14:paraId="7B9BA452">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答：</w:t>
            </w:r>
            <w:r>
              <w:rPr>
                <w:rFonts w:hint="default" w:ascii="Times New Roman" w:hAnsi="Times New Roman" w:eastAsia="宋体" w:cs="Times New Roman"/>
                <w:color w:val="auto"/>
                <w:sz w:val="24"/>
                <w:szCs w:val="24"/>
              </w:rPr>
              <w:t>尊敬的投资者，您好！公司坚持以市场需求为导向，持续推进技术创新，提升产品附加值与市场竞争力。感谢您的关注！</w:t>
            </w:r>
          </w:p>
          <w:p w14:paraId="1D62D93F">
            <w:pPr>
              <w:keepNext w:val="0"/>
              <w:keepLines w:val="0"/>
              <w:pageBreakBefore w:val="0"/>
              <w:kinsoku/>
              <w:wordWrap/>
              <w:overflowPunct/>
              <w:topLinePunct w:val="0"/>
              <w:autoSpaceDE/>
              <w:autoSpaceDN/>
              <w:bidi w:val="0"/>
              <w:adjustRightInd/>
              <w:snapToGrid/>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问6：</w:t>
            </w:r>
            <w:r>
              <w:rPr>
                <w:rFonts w:hint="default" w:ascii="Times New Roman" w:hAnsi="Times New Roman" w:eastAsia="宋体" w:cs="Times New Roman"/>
                <w:b/>
                <w:bCs/>
                <w:color w:val="auto"/>
                <w:sz w:val="24"/>
                <w:szCs w:val="24"/>
                <w:lang w:val="en-US" w:eastAsia="zh-CN"/>
              </w:rPr>
              <w:t>公司募投项目投产后，毛利率一直处于较低状态，降低了公司整体的盈利能力。根据了解，PCB工厂投产初期，报废率通常较高，产品生产过程中的非合理损耗通常较大，从而导致短期内难以实现盈利。请问公司珠海互联网+智慧型样板生产2025年是否可以投产，或者进行初步试生产？公司是否制定了有效措施缩短新工厂投产初期的亏损时期和亏损额？</w:t>
            </w:r>
          </w:p>
          <w:p w14:paraId="1548EAB1">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答:尊敬的投资者，您好！公司正在稳步推进珠海迅捷兴互联网+智慧型样板生产基地项目的实施，预计2025年二季度投产。珠海工厂将定位于快件样板，打造互联网+智慧型项目，该项目有三个亮点：（1）推出互联网接单平台，实现PCB线上下单，通过工程自动化，报价DFM窗口，自动EQ平台等系统，提高服务质量和拓宽服务群体。（2）开创样板批量化生产新模式，大幅降低样板制造成本等（3）打造数字化智能工厂，实现数字化、智慧化生产。感谢您的关注！</w:t>
            </w:r>
          </w:p>
          <w:p w14:paraId="5B9AFEA1">
            <w:pPr>
              <w:keepNext w:val="0"/>
              <w:keepLines w:val="0"/>
              <w:pageBreakBefore w:val="0"/>
              <w:kinsoku/>
              <w:wordWrap/>
              <w:overflowPunct/>
              <w:topLinePunct w:val="0"/>
              <w:autoSpaceDE/>
              <w:autoSpaceDN/>
              <w:bidi w:val="0"/>
              <w:adjustRightInd/>
              <w:snapToGrid/>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问7：</w:t>
            </w:r>
            <w:r>
              <w:rPr>
                <w:rFonts w:hint="default" w:ascii="Times New Roman" w:hAnsi="Times New Roman" w:eastAsia="宋体" w:cs="Times New Roman"/>
                <w:b/>
                <w:bCs/>
                <w:color w:val="auto"/>
                <w:sz w:val="24"/>
                <w:szCs w:val="24"/>
                <w:lang w:val="en-US" w:eastAsia="zh-CN"/>
              </w:rPr>
              <w:t>公司毛利率、净利率很低,是什么原因?,公司有什么应对策略?</w:t>
            </w:r>
          </w:p>
          <w:p w14:paraId="076CDFC8">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答:尊敬的投资者，您好，公司的毛利率、净利率较低主要是公司整体产能仍未充分利用，使得产品单位固定成本依然较高，边际效益未显现；叠加行业价格竞争激烈，价格仍未有明显改善，公司利润承压明显。</w:t>
            </w:r>
          </w:p>
          <w:p w14:paraId="1219B8BD">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未来，公司对外将持续加快市场开发，进一步提高大客户订单份额比等，加速实现公司规模效应，对内加强产销联动,充分挖潜增效,节能降耗,提升盈利水平。感谢您的关注。</w:t>
            </w:r>
          </w:p>
          <w:p w14:paraId="08A779D5">
            <w:pPr>
              <w:keepNext w:val="0"/>
              <w:keepLines w:val="0"/>
              <w:pageBreakBefore w:val="0"/>
              <w:kinsoku/>
              <w:wordWrap/>
              <w:overflowPunct/>
              <w:topLinePunct w:val="0"/>
              <w:autoSpaceDE/>
              <w:autoSpaceDN/>
              <w:bidi w:val="0"/>
              <w:adjustRightInd/>
              <w:snapToGrid/>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问8：</w:t>
            </w:r>
            <w:r>
              <w:rPr>
                <w:rFonts w:hint="default" w:ascii="Times New Roman" w:hAnsi="Times New Roman" w:eastAsia="宋体" w:cs="Times New Roman"/>
                <w:b/>
                <w:bCs/>
                <w:color w:val="auto"/>
                <w:sz w:val="24"/>
                <w:szCs w:val="24"/>
                <w:lang w:val="en-US" w:eastAsia="zh-CN"/>
              </w:rPr>
              <w:t>资产负债率大幅上涨原因。近年来负债率持续增长合理性。</w:t>
            </w:r>
          </w:p>
          <w:p w14:paraId="252F5ACB">
            <w:pPr>
              <w:keepNext w:val="0"/>
              <w:keepLines w:val="0"/>
              <w:pageBreakBefore w:val="0"/>
              <w:kinsoku/>
              <w:wordWrap/>
              <w:overflowPunct/>
              <w:topLinePunct w:val="0"/>
              <w:autoSpaceDE/>
              <w:autoSpaceDN/>
              <w:bidi w:val="0"/>
              <w:adjustRightInd/>
              <w:snapToGrid/>
              <w:spacing w:before="157" w:beforeLines="50" w:line="360" w:lineRule="auto"/>
              <w:ind w:left="0" w:firstLine="480" w:firstLineChars="200"/>
              <w:textAlignment w:val="auto"/>
              <w:rPr>
                <w:rFonts w:ascii="宋体" w:hAnsi="宋体"/>
                <w:b/>
                <w:bCs/>
                <w:color w:val="auto"/>
                <w:kern w:val="0"/>
                <w:sz w:val="24"/>
                <w:szCs w:val="24"/>
              </w:rPr>
            </w:pPr>
            <w:r>
              <w:rPr>
                <w:rFonts w:hint="default" w:ascii="Times New Roman" w:hAnsi="Times New Roman" w:eastAsia="宋体" w:cs="Times New Roman"/>
                <w:color w:val="auto"/>
                <w:sz w:val="24"/>
                <w:szCs w:val="24"/>
                <w:shd w:val="clear" w:color="auto" w:fill="FFFFFF"/>
              </w:rPr>
              <w:t>答：</w:t>
            </w:r>
            <w:r>
              <w:rPr>
                <w:rFonts w:hint="default" w:ascii="Times New Roman" w:hAnsi="Times New Roman" w:eastAsia="宋体" w:cs="Times New Roman"/>
                <w:color w:val="auto"/>
                <w:sz w:val="24"/>
                <w:szCs w:val="24"/>
              </w:rPr>
              <w:t>尊敬的投资者，您好，公司2022年度-2024年度的资产负债率分别为34.82%、33.24%和40.40%，资产负债率上升主要系随着公司经营规模快速扩大及购置写字楼，资金需求较高，致公司借款增加。整体而言，公司资产负债结构合理，财务状况良好。感谢您的关注！</w:t>
            </w:r>
            <w:bookmarkStart w:id="0" w:name="_GoBack"/>
            <w:bookmarkEnd w:id="0"/>
          </w:p>
        </w:tc>
      </w:tr>
      <w:tr w14:paraId="4EE8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80" w:type="dxa"/>
            <w:vAlign w:val="center"/>
          </w:tcPr>
          <w:p w14:paraId="1A22A2E0">
            <w:pPr>
              <w:spacing w:line="360" w:lineRule="auto"/>
              <w:rPr>
                <w:b/>
                <w:bCs/>
                <w:iCs/>
                <w:color w:val="auto"/>
                <w:sz w:val="24"/>
              </w:rPr>
            </w:pPr>
            <w:r>
              <w:rPr>
                <w:rFonts w:hAnsi="宋体"/>
                <w:b/>
                <w:bCs/>
                <w:iCs/>
                <w:color w:val="auto"/>
                <w:sz w:val="24"/>
              </w:rPr>
              <w:t>附件清单（如有）</w:t>
            </w:r>
          </w:p>
        </w:tc>
        <w:tc>
          <w:tcPr>
            <w:tcW w:w="6633" w:type="dxa"/>
          </w:tcPr>
          <w:p w14:paraId="4B0661F1">
            <w:pPr>
              <w:spacing w:line="360" w:lineRule="auto"/>
              <w:rPr>
                <w:bCs/>
                <w:iCs/>
                <w:color w:val="auto"/>
                <w:sz w:val="24"/>
                <w:szCs w:val="24"/>
              </w:rPr>
            </w:pPr>
          </w:p>
        </w:tc>
      </w:tr>
    </w:tbl>
    <w:p w14:paraId="3E28C6C0">
      <w:pPr>
        <w:spacing w:line="360" w:lineRule="auto"/>
      </w:pPr>
    </w:p>
    <w:sectPr>
      <w:footerReference r:id="rId3" w:type="default"/>
      <w:pgSz w:w="11906" w:h="16838"/>
      <w:pgMar w:top="1276"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12A5">
    <w:pPr>
      <w:pStyle w:val="4"/>
      <w:jc w:val="cente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2AB"/>
    <w:rsid w:val="000633CE"/>
    <w:rsid w:val="000648BA"/>
    <w:rsid w:val="0006749C"/>
    <w:rsid w:val="00067F8F"/>
    <w:rsid w:val="00072FBC"/>
    <w:rsid w:val="00073120"/>
    <w:rsid w:val="0007321A"/>
    <w:rsid w:val="00073755"/>
    <w:rsid w:val="00076191"/>
    <w:rsid w:val="000778DD"/>
    <w:rsid w:val="000800D2"/>
    <w:rsid w:val="00080545"/>
    <w:rsid w:val="00083E09"/>
    <w:rsid w:val="0008496E"/>
    <w:rsid w:val="0008582C"/>
    <w:rsid w:val="0009254C"/>
    <w:rsid w:val="00093F1D"/>
    <w:rsid w:val="0009789D"/>
    <w:rsid w:val="000A064C"/>
    <w:rsid w:val="000A13AA"/>
    <w:rsid w:val="000A1D56"/>
    <w:rsid w:val="000A253D"/>
    <w:rsid w:val="000A3F1F"/>
    <w:rsid w:val="000A5634"/>
    <w:rsid w:val="000A5DA5"/>
    <w:rsid w:val="000A6778"/>
    <w:rsid w:val="000B221C"/>
    <w:rsid w:val="000B46A8"/>
    <w:rsid w:val="000B4A14"/>
    <w:rsid w:val="000B5985"/>
    <w:rsid w:val="000B5BDC"/>
    <w:rsid w:val="000B63B2"/>
    <w:rsid w:val="000C0BE3"/>
    <w:rsid w:val="000C1DAE"/>
    <w:rsid w:val="000C1E5B"/>
    <w:rsid w:val="000C629F"/>
    <w:rsid w:val="000C6F1D"/>
    <w:rsid w:val="000C7786"/>
    <w:rsid w:val="000D72D5"/>
    <w:rsid w:val="000E38FF"/>
    <w:rsid w:val="000F03F6"/>
    <w:rsid w:val="000F3C28"/>
    <w:rsid w:val="000F4EC0"/>
    <w:rsid w:val="000F61F5"/>
    <w:rsid w:val="000F63EC"/>
    <w:rsid w:val="000F6C3F"/>
    <w:rsid w:val="0010441F"/>
    <w:rsid w:val="001056E9"/>
    <w:rsid w:val="00111867"/>
    <w:rsid w:val="001164FC"/>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40F9"/>
    <w:rsid w:val="00185524"/>
    <w:rsid w:val="00193BF7"/>
    <w:rsid w:val="00193DEE"/>
    <w:rsid w:val="00196388"/>
    <w:rsid w:val="001B2803"/>
    <w:rsid w:val="001B3651"/>
    <w:rsid w:val="001C03D3"/>
    <w:rsid w:val="001C0A54"/>
    <w:rsid w:val="001C241E"/>
    <w:rsid w:val="001C44D8"/>
    <w:rsid w:val="001C4891"/>
    <w:rsid w:val="001C54FA"/>
    <w:rsid w:val="001C5E51"/>
    <w:rsid w:val="001C765B"/>
    <w:rsid w:val="001D1627"/>
    <w:rsid w:val="001D34D7"/>
    <w:rsid w:val="001E16CF"/>
    <w:rsid w:val="001E20FD"/>
    <w:rsid w:val="001E2704"/>
    <w:rsid w:val="001E305A"/>
    <w:rsid w:val="001F1334"/>
    <w:rsid w:val="001F66AA"/>
    <w:rsid w:val="00200465"/>
    <w:rsid w:val="002012E1"/>
    <w:rsid w:val="00203987"/>
    <w:rsid w:val="00205975"/>
    <w:rsid w:val="00207EE7"/>
    <w:rsid w:val="00210740"/>
    <w:rsid w:val="00213F1F"/>
    <w:rsid w:val="002142E0"/>
    <w:rsid w:val="002147C4"/>
    <w:rsid w:val="002168D3"/>
    <w:rsid w:val="00217345"/>
    <w:rsid w:val="00220683"/>
    <w:rsid w:val="0022108A"/>
    <w:rsid w:val="00222CB0"/>
    <w:rsid w:val="00224BF5"/>
    <w:rsid w:val="00230F76"/>
    <w:rsid w:val="00231306"/>
    <w:rsid w:val="00231DBD"/>
    <w:rsid w:val="00235B92"/>
    <w:rsid w:val="002368DC"/>
    <w:rsid w:val="00236D48"/>
    <w:rsid w:val="00236D93"/>
    <w:rsid w:val="00240325"/>
    <w:rsid w:val="00240C58"/>
    <w:rsid w:val="00241B3E"/>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BED"/>
    <w:rsid w:val="00295F91"/>
    <w:rsid w:val="002A03A6"/>
    <w:rsid w:val="002A2257"/>
    <w:rsid w:val="002A2761"/>
    <w:rsid w:val="002A64DE"/>
    <w:rsid w:val="002A6B19"/>
    <w:rsid w:val="002B0995"/>
    <w:rsid w:val="002B0FA8"/>
    <w:rsid w:val="002B15A1"/>
    <w:rsid w:val="002B19D3"/>
    <w:rsid w:val="002B3F39"/>
    <w:rsid w:val="002C176B"/>
    <w:rsid w:val="002C2A4E"/>
    <w:rsid w:val="002C4A4C"/>
    <w:rsid w:val="002C58DE"/>
    <w:rsid w:val="002C767D"/>
    <w:rsid w:val="002D391E"/>
    <w:rsid w:val="002D6E39"/>
    <w:rsid w:val="002E23B4"/>
    <w:rsid w:val="002E3BC6"/>
    <w:rsid w:val="002E5518"/>
    <w:rsid w:val="002F1B2C"/>
    <w:rsid w:val="002F2F12"/>
    <w:rsid w:val="002F3F69"/>
    <w:rsid w:val="002F4D7D"/>
    <w:rsid w:val="002F56C2"/>
    <w:rsid w:val="003003C7"/>
    <w:rsid w:val="00302887"/>
    <w:rsid w:val="00303A2A"/>
    <w:rsid w:val="003044B8"/>
    <w:rsid w:val="003071FF"/>
    <w:rsid w:val="00307723"/>
    <w:rsid w:val="00310AA5"/>
    <w:rsid w:val="00311026"/>
    <w:rsid w:val="00312B1B"/>
    <w:rsid w:val="00316781"/>
    <w:rsid w:val="0031709D"/>
    <w:rsid w:val="0032048C"/>
    <w:rsid w:val="0032227F"/>
    <w:rsid w:val="00322388"/>
    <w:rsid w:val="003225D0"/>
    <w:rsid w:val="003234F2"/>
    <w:rsid w:val="003249F4"/>
    <w:rsid w:val="00326570"/>
    <w:rsid w:val="00326669"/>
    <w:rsid w:val="003305C0"/>
    <w:rsid w:val="00333AE8"/>
    <w:rsid w:val="003342E6"/>
    <w:rsid w:val="00341E6A"/>
    <w:rsid w:val="003446D4"/>
    <w:rsid w:val="003447B0"/>
    <w:rsid w:val="00344D1B"/>
    <w:rsid w:val="00346BDB"/>
    <w:rsid w:val="003519F2"/>
    <w:rsid w:val="00352D87"/>
    <w:rsid w:val="00353FC0"/>
    <w:rsid w:val="00355C4F"/>
    <w:rsid w:val="00355DEE"/>
    <w:rsid w:val="00356F08"/>
    <w:rsid w:val="003579E1"/>
    <w:rsid w:val="0036208C"/>
    <w:rsid w:val="00371ED2"/>
    <w:rsid w:val="00372002"/>
    <w:rsid w:val="003738FB"/>
    <w:rsid w:val="00383454"/>
    <w:rsid w:val="0038775A"/>
    <w:rsid w:val="003923AA"/>
    <w:rsid w:val="00392BFC"/>
    <w:rsid w:val="0039676D"/>
    <w:rsid w:val="00396C52"/>
    <w:rsid w:val="00397DCA"/>
    <w:rsid w:val="003A3127"/>
    <w:rsid w:val="003B4127"/>
    <w:rsid w:val="003C0372"/>
    <w:rsid w:val="003C0F8F"/>
    <w:rsid w:val="003C1FBA"/>
    <w:rsid w:val="003C4060"/>
    <w:rsid w:val="003C5143"/>
    <w:rsid w:val="003C5F23"/>
    <w:rsid w:val="003C665D"/>
    <w:rsid w:val="003D18DB"/>
    <w:rsid w:val="003D284C"/>
    <w:rsid w:val="003D2A45"/>
    <w:rsid w:val="003D2D46"/>
    <w:rsid w:val="003D47FE"/>
    <w:rsid w:val="003D7CF9"/>
    <w:rsid w:val="003E0CC0"/>
    <w:rsid w:val="003E3C6A"/>
    <w:rsid w:val="003E47DF"/>
    <w:rsid w:val="003E7013"/>
    <w:rsid w:val="003F50F8"/>
    <w:rsid w:val="003F59AF"/>
    <w:rsid w:val="00403B30"/>
    <w:rsid w:val="0040444A"/>
    <w:rsid w:val="00406D18"/>
    <w:rsid w:val="00410C9F"/>
    <w:rsid w:val="004172A2"/>
    <w:rsid w:val="004238EB"/>
    <w:rsid w:val="00425F4F"/>
    <w:rsid w:val="00430273"/>
    <w:rsid w:val="00430A5B"/>
    <w:rsid w:val="004343BE"/>
    <w:rsid w:val="00434E09"/>
    <w:rsid w:val="00436649"/>
    <w:rsid w:val="0044038A"/>
    <w:rsid w:val="00440DDE"/>
    <w:rsid w:val="00447F77"/>
    <w:rsid w:val="004512BA"/>
    <w:rsid w:val="00452387"/>
    <w:rsid w:val="0045267E"/>
    <w:rsid w:val="004526C8"/>
    <w:rsid w:val="00453386"/>
    <w:rsid w:val="0046254F"/>
    <w:rsid w:val="00465B7C"/>
    <w:rsid w:val="00466A29"/>
    <w:rsid w:val="004710E9"/>
    <w:rsid w:val="00471CE2"/>
    <w:rsid w:val="00473EC2"/>
    <w:rsid w:val="00475FBF"/>
    <w:rsid w:val="00484DFB"/>
    <w:rsid w:val="004902E8"/>
    <w:rsid w:val="004912A4"/>
    <w:rsid w:val="0049283E"/>
    <w:rsid w:val="00494F54"/>
    <w:rsid w:val="004963EE"/>
    <w:rsid w:val="004A11FB"/>
    <w:rsid w:val="004A21E7"/>
    <w:rsid w:val="004A345F"/>
    <w:rsid w:val="004A58E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B01"/>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3AC"/>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18C"/>
    <w:rsid w:val="0056595B"/>
    <w:rsid w:val="00565CF7"/>
    <w:rsid w:val="005702F4"/>
    <w:rsid w:val="0057491E"/>
    <w:rsid w:val="00577959"/>
    <w:rsid w:val="00577E90"/>
    <w:rsid w:val="00587FB2"/>
    <w:rsid w:val="00590467"/>
    <w:rsid w:val="00592401"/>
    <w:rsid w:val="00592A16"/>
    <w:rsid w:val="00593522"/>
    <w:rsid w:val="0059427E"/>
    <w:rsid w:val="005960B0"/>
    <w:rsid w:val="00596CDB"/>
    <w:rsid w:val="00597BA4"/>
    <w:rsid w:val="005A169B"/>
    <w:rsid w:val="005A318C"/>
    <w:rsid w:val="005A3A6A"/>
    <w:rsid w:val="005A6C95"/>
    <w:rsid w:val="005B56DE"/>
    <w:rsid w:val="005C272B"/>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4D00"/>
    <w:rsid w:val="00616C67"/>
    <w:rsid w:val="00620BCC"/>
    <w:rsid w:val="00620F6C"/>
    <w:rsid w:val="006223A7"/>
    <w:rsid w:val="0062668A"/>
    <w:rsid w:val="00627C44"/>
    <w:rsid w:val="006301D9"/>
    <w:rsid w:val="006315F3"/>
    <w:rsid w:val="0063388C"/>
    <w:rsid w:val="00634980"/>
    <w:rsid w:val="00635625"/>
    <w:rsid w:val="0063730A"/>
    <w:rsid w:val="00637426"/>
    <w:rsid w:val="006401C6"/>
    <w:rsid w:val="006413AE"/>
    <w:rsid w:val="006428ED"/>
    <w:rsid w:val="006517B8"/>
    <w:rsid w:val="00651B0D"/>
    <w:rsid w:val="006573E2"/>
    <w:rsid w:val="00660866"/>
    <w:rsid w:val="0066204C"/>
    <w:rsid w:val="00663EFA"/>
    <w:rsid w:val="00664D37"/>
    <w:rsid w:val="00664EB9"/>
    <w:rsid w:val="00665E06"/>
    <w:rsid w:val="00666B25"/>
    <w:rsid w:val="00667DEA"/>
    <w:rsid w:val="00673E96"/>
    <w:rsid w:val="0067475F"/>
    <w:rsid w:val="00677213"/>
    <w:rsid w:val="00681449"/>
    <w:rsid w:val="00684B8A"/>
    <w:rsid w:val="006875B0"/>
    <w:rsid w:val="0069011D"/>
    <w:rsid w:val="00690DB9"/>
    <w:rsid w:val="0069134C"/>
    <w:rsid w:val="00693328"/>
    <w:rsid w:val="006945AE"/>
    <w:rsid w:val="00694AEB"/>
    <w:rsid w:val="006A076E"/>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4890"/>
    <w:rsid w:val="006F6E6C"/>
    <w:rsid w:val="006F7442"/>
    <w:rsid w:val="006F7548"/>
    <w:rsid w:val="007003A3"/>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48C8"/>
    <w:rsid w:val="0079525D"/>
    <w:rsid w:val="007A0800"/>
    <w:rsid w:val="007A0F7A"/>
    <w:rsid w:val="007A12A4"/>
    <w:rsid w:val="007B0230"/>
    <w:rsid w:val="007B08AB"/>
    <w:rsid w:val="007B28BC"/>
    <w:rsid w:val="007B47AA"/>
    <w:rsid w:val="007C3479"/>
    <w:rsid w:val="007C4564"/>
    <w:rsid w:val="007C6E19"/>
    <w:rsid w:val="007C704E"/>
    <w:rsid w:val="007D0305"/>
    <w:rsid w:val="007D114E"/>
    <w:rsid w:val="007D4CC6"/>
    <w:rsid w:val="007D6837"/>
    <w:rsid w:val="007E1B85"/>
    <w:rsid w:val="007E3F5C"/>
    <w:rsid w:val="007E6186"/>
    <w:rsid w:val="007E7E36"/>
    <w:rsid w:val="007F45C5"/>
    <w:rsid w:val="007F7E77"/>
    <w:rsid w:val="008009FA"/>
    <w:rsid w:val="00801F0E"/>
    <w:rsid w:val="0080355A"/>
    <w:rsid w:val="00803C0C"/>
    <w:rsid w:val="0080456F"/>
    <w:rsid w:val="008067DA"/>
    <w:rsid w:val="00807501"/>
    <w:rsid w:val="00807D39"/>
    <w:rsid w:val="00810B49"/>
    <w:rsid w:val="0081592C"/>
    <w:rsid w:val="00820947"/>
    <w:rsid w:val="00821E7B"/>
    <w:rsid w:val="00822CBB"/>
    <w:rsid w:val="00822CC3"/>
    <w:rsid w:val="00822D77"/>
    <w:rsid w:val="008246D5"/>
    <w:rsid w:val="008252A9"/>
    <w:rsid w:val="0082543B"/>
    <w:rsid w:val="00825B56"/>
    <w:rsid w:val="00825FE9"/>
    <w:rsid w:val="0083162D"/>
    <w:rsid w:val="00833CFD"/>
    <w:rsid w:val="00834E52"/>
    <w:rsid w:val="008357C9"/>
    <w:rsid w:val="008373E0"/>
    <w:rsid w:val="008408EF"/>
    <w:rsid w:val="00841410"/>
    <w:rsid w:val="00845634"/>
    <w:rsid w:val="00845B39"/>
    <w:rsid w:val="00847CA9"/>
    <w:rsid w:val="00850661"/>
    <w:rsid w:val="00850703"/>
    <w:rsid w:val="00855234"/>
    <w:rsid w:val="00856168"/>
    <w:rsid w:val="0085623A"/>
    <w:rsid w:val="008569C4"/>
    <w:rsid w:val="00856B23"/>
    <w:rsid w:val="00860804"/>
    <w:rsid w:val="00862C49"/>
    <w:rsid w:val="008631D3"/>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1E06"/>
    <w:rsid w:val="00914CC7"/>
    <w:rsid w:val="00915E8D"/>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38AB"/>
    <w:rsid w:val="00975416"/>
    <w:rsid w:val="00977BAB"/>
    <w:rsid w:val="00981C62"/>
    <w:rsid w:val="00983B1E"/>
    <w:rsid w:val="00985982"/>
    <w:rsid w:val="0099002D"/>
    <w:rsid w:val="0099081C"/>
    <w:rsid w:val="009928E2"/>
    <w:rsid w:val="00993848"/>
    <w:rsid w:val="00994E5B"/>
    <w:rsid w:val="00995008"/>
    <w:rsid w:val="009A042E"/>
    <w:rsid w:val="009A0604"/>
    <w:rsid w:val="009A14DA"/>
    <w:rsid w:val="009A26D4"/>
    <w:rsid w:val="009A43F3"/>
    <w:rsid w:val="009A7093"/>
    <w:rsid w:val="009B3ABB"/>
    <w:rsid w:val="009C01F2"/>
    <w:rsid w:val="009C3431"/>
    <w:rsid w:val="009C555A"/>
    <w:rsid w:val="009C6C52"/>
    <w:rsid w:val="009D05C8"/>
    <w:rsid w:val="009D2747"/>
    <w:rsid w:val="009D34DB"/>
    <w:rsid w:val="009D6096"/>
    <w:rsid w:val="009D614D"/>
    <w:rsid w:val="009D6E04"/>
    <w:rsid w:val="009D7A11"/>
    <w:rsid w:val="009E11AF"/>
    <w:rsid w:val="009E230B"/>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1A20"/>
    <w:rsid w:val="00A23E4D"/>
    <w:rsid w:val="00A24CC9"/>
    <w:rsid w:val="00A256B6"/>
    <w:rsid w:val="00A261CD"/>
    <w:rsid w:val="00A26B25"/>
    <w:rsid w:val="00A3123D"/>
    <w:rsid w:val="00A322EA"/>
    <w:rsid w:val="00A329E5"/>
    <w:rsid w:val="00A3395B"/>
    <w:rsid w:val="00A33F57"/>
    <w:rsid w:val="00A34310"/>
    <w:rsid w:val="00A36869"/>
    <w:rsid w:val="00A41042"/>
    <w:rsid w:val="00A42F49"/>
    <w:rsid w:val="00A43A61"/>
    <w:rsid w:val="00A45810"/>
    <w:rsid w:val="00A47023"/>
    <w:rsid w:val="00A5373E"/>
    <w:rsid w:val="00A53F07"/>
    <w:rsid w:val="00A55434"/>
    <w:rsid w:val="00A5577D"/>
    <w:rsid w:val="00A55B67"/>
    <w:rsid w:val="00A61179"/>
    <w:rsid w:val="00A6194D"/>
    <w:rsid w:val="00A70652"/>
    <w:rsid w:val="00A70A1A"/>
    <w:rsid w:val="00A713BC"/>
    <w:rsid w:val="00A73CDE"/>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B6409"/>
    <w:rsid w:val="00AC02C6"/>
    <w:rsid w:val="00AC0E0E"/>
    <w:rsid w:val="00AD0DB5"/>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32B"/>
    <w:rsid w:val="00B207D5"/>
    <w:rsid w:val="00B20A05"/>
    <w:rsid w:val="00B20C34"/>
    <w:rsid w:val="00B21EA4"/>
    <w:rsid w:val="00B22629"/>
    <w:rsid w:val="00B23027"/>
    <w:rsid w:val="00B308DD"/>
    <w:rsid w:val="00B31F4F"/>
    <w:rsid w:val="00B377AD"/>
    <w:rsid w:val="00B41B86"/>
    <w:rsid w:val="00B43980"/>
    <w:rsid w:val="00B4525E"/>
    <w:rsid w:val="00B45358"/>
    <w:rsid w:val="00B46B59"/>
    <w:rsid w:val="00B4749F"/>
    <w:rsid w:val="00B47B74"/>
    <w:rsid w:val="00B5343C"/>
    <w:rsid w:val="00B544CB"/>
    <w:rsid w:val="00B54D78"/>
    <w:rsid w:val="00B550CC"/>
    <w:rsid w:val="00B564AE"/>
    <w:rsid w:val="00B57B2A"/>
    <w:rsid w:val="00B57CEF"/>
    <w:rsid w:val="00B57FA1"/>
    <w:rsid w:val="00B60B9A"/>
    <w:rsid w:val="00B62066"/>
    <w:rsid w:val="00B63A80"/>
    <w:rsid w:val="00B65FFE"/>
    <w:rsid w:val="00B677B6"/>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4D57"/>
    <w:rsid w:val="00BF690D"/>
    <w:rsid w:val="00C073F9"/>
    <w:rsid w:val="00C119A0"/>
    <w:rsid w:val="00C12579"/>
    <w:rsid w:val="00C155E5"/>
    <w:rsid w:val="00C16EB3"/>
    <w:rsid w:val="00C22029"/>
    <w:rsid w:val="00C22195"/>
    <w:rsid w:val="00C22D46"/>
    <w:rsid w:val="00C31A08"/>
    <w:rsid w:val="00C35A9D"/>
    <w:rsid w:val="00C40D5A"/>
    <w:rsid w:val="00C415EE"/>
    <w:rsid w:val="00C41DD2"/>
    <w:rsid w:val="00C44DCA"/>
    <w:rsid w:val="00C44F25"/>
    <w:rsid w:val="00C46FA6"/>
    <w:rsid w:val="00C479BD"/>
    <w:rsid w:val="00C501D8"/>
    <w:rsid w:val="00C50C45"/>
    <w:rsid w:val="00C526F2"/>
    <w:rsid w:val="00C527C8"/>
    <w:rsid w:val="00C53E90"/>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B6EA3"/>
    <w:rsid w:val="00CC519C"/>
    <w:rsid w:val="00CD36F5"/>
    <w:rsid w:val="00CD3DF7"/>
    <w:rsid w:val="00CD4D99"/>
    <w:rsid w:val="00CD6B66"/>
    <w:rsid w:val="00CE02C4"/>
    <w:rsid w:val="00CE1202"/>
    <w:rsid w:val="00CE4404"/>
    <w:rsid w:val="00CF106F"/>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37E6D"/>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B8A"/>
    <w:rsid w:val="00D80D58"/>
    <w:rsid w:val="00D83D31"/>
    <w:rsid w:val="00D87F40"/>
    <w:rsid w:val="00D92535"/>
    <w:rsid w:val="00D947F3"/>
    <w:rsid w:val="00D95A18"/>
    <w:rsid w:val="00D9627F"/>
    <w:rsid w:val="00D9677D"/>
    <w:rsid w:val="00DA5DF9"/>
    <w:rsid w:val="00DB01B4"/>
    <w:rsid w:val="00DB1E19"/>
    <w:rsid w:val="00DB3BA6"/>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DF7678"/>
    <w:rsid w:val="00E01E8C"/>
    <w:rsid w:val="00E02C13"/>
    <w:rsid w:val="00E055C4"/>
    <w:rsid w:val="00E14C76"/>
    <w:rsid w:val="00E161AC"/>
    <w:rsid w:val="00E202F7"/>
    <w:rsid w:val="00E27745"/>
    <w:rsid w:val="00E27BC3"/>
    <w:rsid w:val="00E27D9F"/>
    <w:rsid w:val="00E302CB"/>
    <w:rsid w:val="00E31338"/>
    <w:rsid w:val="00E374E0"/>
    <w:rsid w:val="00E42F12"/>
    <w:rsid w:val="00E43822"/>
    <w:rsid w:val="00E438F8"/>
    <w:rsid w:val="00E44D84"/>
    <w:rsid w:val="00E46862"/>
    <w:rsid w:val="00E46B47"/>
    <w:rsid w:val="00E477BF"/>
    <w:rsid w:val="00E5194A"/>
    <w:rsid w:val="00E5207B"/>
    <w:rsid w:val="00E52549"/>
    <w:rsid w:val="00E5281F"/>
    <w:rsid w:val="00E528E6"/>
    <w:rsid w:val="00E569D3"/>
    <w:rsid w:val="00E60156"/>
    <w:rsid w:val="00E62608"/>
    <w:rsid w:val="00E63B1E"/>
    <w:rsid w:val="00E72D5B"/>
    <w:rsid w:val="00E75BD2"/>
    <w:rsid w:val="00E75EEA"/>
    <w:rsid w:val="00E76344"/>
    <w:rsid w:val="00E76AC4"/>
    <w:rsid w:val="00E77D14"/>
    <w:rsid w:val="00E80E41"/>
    <w:rsid w:val="00E814E2"/>
    <w:rsid w:val="00E817CB"/>
    <w:rsid w:val="00E829C2"/>
    <w:rsid w:val="00E8603D"/>
    <w:rsid w:val="00E86ED6"/>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66CD"/>
    <w:rsid w:val="00EC6DF1"/>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1540B"/>
    <w:rsid w:val="00F21971"/>
    <w:rsid w:val="00F22C02"/>
    <w:rsid w:val="00F27CC9"/>
    <w:rsid w:val="00F34A16"/>
    <w:rsid w:val="00F43580"/>
    <w:rsid w:val="00F43D53"/>
    <w:rsid w:val="00F474EB"/>
    <w:rsid w:val="00F50B0E"/>
    <w:rsid w:val="00F526D5"/>
    <w:rsid w:val="00F52749"/>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CCA60BC"/>
    <w:rsid w:val="0F730DB8"/>
    <w:rsid w:val="100532AB"/>
    <w:rsid w:val="16757B72"/>
    <w:rsid w:val="18AD3F21"/>
    <w:rsid w:val="1BED7449"/>
    <w:rsid w:val="1CAB3E49"/>
    <w:rsid w:val="215238B8"/>
    <w:rsid w:val="221A5500"/>
    <w:rsid w:val="2336753D"/>
    <w:rsid w:val="252E63EA"/>
    <w:rsid w:val="2A6D23A3"/>
    <w:rsid w:val="2B993C69"/>
    <w:rsid w:val="32A37E25"/>
    <w:rsid w:val="34AE7C4F"/>
    <w:rsid w:val="44315E8B"/>
    <w:rsid w:val="4EFA36B2"/>
    <w:rsid w:val="52B570AC"/>
    <w:rsid w:val="572A56C8"/>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annotation subject"/>
    <w:basedOn w:val="2"/>
    <w:next w:val="2"/>
    <w:link w:val="23"/>
    <w:qFormat/>
    <w:uiPriority w:val="0"/>
    <w:rPr>
      <w:b/>
      <w:bCs/>
    </w:rPr>
  </w:style>
  <w:style w:type="character" w:styleId="10">
    <w:name w:val="page number"/>
    <w:basedOn w:val="9"/>
    <w:qFormat/>
    <w:uiPriority w:val="0"/>
  </w:style>
  <w:style w:type="character" w:styleId="11">
    <w:name w:val="Emphasis"/>
    <w:qFormat/>
    <w:uiPriority w:val="20"/>
    <w:rPr>
      <w:color w:val="CC0000"/>
    </w:rPr>
  </w:style>
  <w:style w:type="character" w:styleId="12">
    <w:name w:val="Hyperlink"/>
    <w:unhideWhenUsed/>
    <w:qFormat/>
    <w:uiPriority w:val="99"/>
    <w:rPr>
      <w:color w:val="0000FF"/>
      <w:u w:val="single"/>
    </w:rPr>
  </w:style>
  <w:style w:type="character" w:styleId="13">
    <w:name w:val="annotation reference"/>
    <w:basedOn w:val="9"/>
    <w:qFormat/>
    <w:uiPriority w:val="0"/>
    <w:rPr>
      <w:sz w:val="21"/>
      <w:szCs w:val="21"/>
    </w:rPr>
  </w:style>
  <w:style w:type="paragraph" w:customStyle="1" w:styleId="14">
    <w:name w:val="p0"/>
    <w:basedOn w:val="1"/>
    <w:qFormat/>
    <w:uiPriority w:val="0"/>
    <w:pPr>
      <w:widowControl/>
    </w:pPr>
    <w:rPr>
      <w:kern w:val="0"/>
      <w:szCs w:val="21"/>
    </w:rPr>
  </w:style>
  <w:style w:type="character" w:customStyle="1" w:styleId="15">
    <w:name w:val="西矿招股书正文 Char"/>
    <w:link w:val="16"/>
    <w:qFormat/>
    <w:uiPriority w:val="0"/>
    <w:rPr>
      <w:rFonts w:eastAsia="宋体"/>
      <w:kern w:val="2"/>
      <w:sz w:val="24"/>
      <w:szCs w:val="24"/>
      <w:lang w:val="en-US" w:eastAsia="zh-CN" w:bidi="ar-SA"/>
    </w:rPr>
  </w:style>
  <w:style w:type="paragraph" w:customStyle="1" w:styleId="16">
    <w:name w:val="西矿招股书正文"/>
    <w:basedOn w:val="1"/>
    <w:link w:val="15"/>
    <w:qFormat/>
    <w:uiPriority w:val="0"/>
    <w:pPr>
      <w:overflowPunct w:val="0"/>
      <w:autoSpaceDE w:val="0"/>
      <w:autoSpaceDN w:val="0"/>
      <w:adjustRightInd w:val="0"/>
      <w:snapToGrid w:val="0"/>
      <w:spacing w:before="120" w:line="360" w:lineRule="auto"/>
      <w:ind w:firstLine="200" w:firstLineChars="200"/>
      <w:jc w:val="left"/>
    </w:pPr>
    <w:rPr>
      <w:sz w:val="24"/>
      <w:szCs w:val="24"/>
    </w:rPr>
  </w:style>
  <w:style w:type="paragraph" w:customStyle="1" w:styleId="17">
    <w:name w:val="Char"/>
    <w:basedOn w:val="1"/>
    <w:qFormat/>
    <w:uiPriority w:val="0"/>
    <w:pPr>
      <w:tabs>
        <w:tab w:val="left" w:pos="360"/>
      </w:tabs>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批注框文本 字符"/>
    <w:basedOn w:val="9"/>
    <w:link w:val="3"/>
    <w:qFormat/>
    <w:uiPriority w:val="0"/>
    <w:rPr>
      <w:kern w:val="2"/>
      <w:sz w:val="18"/>
      <w:szCs w:val="18"/>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character" w:customStyle="1" w:styleId="22">
    <w:name w:val="批注文字 字符"/>
    <w:basedOn w:val="9"/>
    <w:link w:val="2"/>
    <w:qFormat/>
    <w:uiPriority w:val="0"/>
    <w:rPr>
      <w:kern w:val="2"/>
      <w:sz w:val="21"/>
    </w:rPr>
  </w:style>
  <w:style w:type="character" w:customStyle="1" w:styleId="23">
    <w:name w:val="批注主题 字符"/>
    <w:basedOn w:val="22"/>
    <w:link w:val="7"/>
    <w:qFormat/>
    <w:uiPriority w:val="0"/>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C831-9376-43A7-B769-ACD5E703C5B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2420</Words>
  <Characters>2498</Characters>
  <Lines>2</Lines>
  <Paragraphs>5</Paragraphs>
  <TotalTime>4</TotalTime>
  <ScaleCrop>false</ScaleCrop>
  <LinksUpToDate>false</LinksUpToDate>
  <CharactersWithSpaces>2630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2021-08-30T09:06:00Z</dcterms:created>
  <dc:creator>User</dc:creator>
  <cp:lastModifiedBy>Hlcisy</cp:lastModifiedBy>
  <cp:lastPrinted>2017-11-27T00:20:00Z</cp:lastPrinted>
  <dcterms:modified xsi:type="dcterms:W3CDTF">2025-03-31T08:43:18Z</dcterms:modified>
  <dc:title>证券代码：002540                            证券简称：亚太科技</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678D8B2E60444341A3DE8FAF9B5B4022_13</vt:lpwstr>
  </property>
  <property fmtid="{D5CDD505-2E9C-101B-9397-08002B2CF9AE}" pid="4" name="KSOTemplateDocerSaveRecord">
    <vt:lpwstr>eyJoZGlkIjoiMTI2MjVlZTAyOGY1OTk3MTc2YjJmNmQ4NzAzMWQ1ZmMiLCJ1c2VySWQiOiIzNTI4Mjk2NDEifQ==</vt:lpwstr>
  </property>
</Properties>
</file>