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00D0" w14:textId="77777777" w:rsidR="00396B52" w:rsidRDefault="002D5E71">
      <w:pPr>
        <w:rPr>
          <w:rFonts w:ascii="宋体" w:hAnsi="宋体" w:hint="eastAsia"/>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14:paraId="4F0865A7" w14:textId="77777777" w:rsidR="00396B52" w:rsidRDefault="00396B52"/>
    <w:p w14:paraId="48E390FA" w14:textId="77777777" w:rsidR="00396B52" w:rsidRDefault="00396B52"/>
    <w:p w14:paraId="1B6470E0" w14:textId="77777777" w:rsidR="00396B52" w:rsidRDefault="00396B52"/>
    <w:p w14:paraId="1C2E5C74" w14:textId="77777777" w:rsidR="00396B52" w:rsidRDefault="00396B52"/>
    <w:p w14:paraId="7F3644A5" w14:textId="77777777" w:rsidR="00396B52" w:rsidRDefault="00396B52"/>
    <w:p w14:paraId="621F3B31" w14:textId="77777777" w:rsidR="00396B52" w:rsidRDefault="00396B52"/>
    <w:p w14:paraId="12C425AD" w14:textId="77777777" w:rsidR="00396B52" w:rsidRDefault="00396B52"/>
    <w:p w14:paraId="1FC2DFD5" w14:textId="77777777" w:rsidR="00396B52" w:rsidRDefault="00396B52"/>
    <w:p w14:paraId="2DD26A05" w14:textId="77777777" w:rsidR="00396B52" w:rsidRDefault="002D5E71">
      <w:pPr>
        <w:autoSpaceDE w:val="0"/>
        <w:autoSpaceDN w:val="0"/>
        <w:adjustRightInd w:val="0"/>
        <w:spacing w:beforeLines="50" w:before="156" w:afterLines="50" w:after="156" w:line="720" w:lineRule="exact"/>
        <w:jc w:val="center"/>
        <w:rPr>
          <w:rFonts w:ascii="黑体" w:eastAsia="黑体" w:hAnsi="黑体" w:cs="黑体" w:hint="eastAsia"/>
          <w:color w:val="000000"/>
          <w:kern w:val="0"/>
          <w:sz w:val="48"/>
          <w:szCs w:val="48"/>
        </w:rPr>
      </w:pPr>
      <w:r>
        <w:rPr>
          <w:rFonts w:ascii="黑体" w:eastAsia="黑体" w:hAnsi="黑体" w:cs="黑体" w:hint="eastAsia"/>
          <w:color w:val="000000"/>
          <w:kern w:val="0"/>
          <w:sz w:val="48"/>
          <w:szCs w:val="48"/>
        </w:rPr>
        <w:t>厦门特宝生物工程股份有限公司</w:t>
      </w:r>
    </w:p>
    <w:p w14:paraId="16C451A4" w14:textId="77777777" w:rsidR="00396B52" w:rsidRDefault="002D5E71">
      <w:pPr>
        <w:autoSpaceDE w:val="0"/>
        <w:autoSpaceDN w:val="0"/>
        <w:adjustRightInd w:val="0"/>
        <w:spacing w:beforeLines="50" w:before="156" w:afterLines="50" w:after="156" w:line="720" w:lineRule="exact"/>
        <w:jc w:val="center"/>
        <w:rPr>
          <w:rFonts w:ascii="黑体" w:eastAsia="黑体" w:hAnsi="黑体" w:cs="黑体" w:hint="eastAsia"/>
          <w:color w:val="000000"/>
          <w:sz w:val="48"/>
          <w:szCs w:val="48"/>
        </w:rPr>
      </w:pPr>
      <w:r>
        <w:rPr>
          <w:rFonts w:ascii="黑体" w:eastAsia="黑体" w:hAnsi="黑体" w:cs="黑体" w:hint="eastAsia"/>
          <w:color w:val="000000"/>
          <w:kern w:val="0"/>
          <w:sz w:val="48"/>
          <w:szCs w:val="48"/>
        </w:rPr>
        <w:t>投资者关系活动记录表</w:t>
      </w:r>
    </w:p>
    <w:p w14:paraId="27315FFA" w14:textId="77777777" w:rsidR="00396B52" w:rsidRDefault="00396B52">
      <w:pPr>
        <w:autoSpaceDE w:val="0"/>
        <w:autoSpaceDN w:val="0"/>
        <w:adjustRightInd w:val="0"/>
        <w:spacing w:beforeLines="50" w:before="156" w:afterLines="50" w:after="156" w:line="720" w:lineRule="exact"/>
        <w:ind w:rightChars="-24" w:right="-50"/>
        <w:jc w:val="center"/>
        <w:rPr>
          <w:rFonts w:eastAsia="黑体"/>
          <w:color w:val="000000"/>
          <w:sz w:val="44"/>
          <w:szCs w:val="34"/>
        </w:rPr>
      </w:pPr>
    </w:p>
    <w:p w14:paraId="28181BF6" w14:textId="77777777" w:rsidR="00396B52" w:rsidRDefault="00396B52"/>
    <w:p w14:paraId="631E1592" w14:textId="77777777" w:rsidR="00396B52" w:rsidRDefault="00396B52"/>
    <w:p w14:paraId="38131A03" w14:textId="77777777" w:rsidR="00396B52" w:rsidRDefault="002D5E71">
      <w:pPr>
        <w:jc w:val="center"/>
      </w:pPr>
      <w:r>
        <w:rPr>
          <w:noProof/>
        </w:rPr>
        <w:drawing>
          <wp:inline distT="0" distB="0" distL="0" distR="0" wp14:anchorId="3C5AB582" wp14:editId="7EF2067A">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14:paraId="02234C9E" w14:textId="77777777" w:rsidR="00396B52" w:rsidRDefault="00396B52">
      <w:pPr>
        <w:jc w:val="center"/>
      </w:pPr>
    </w:p>
    <w:p w14:paraId="77D068C5" w14:textId="77777777" w:rsidR="00396B52" w:rsidRDefault="00396B52">
      <w:pPr>
        <w:autoSpaceDE w:val="0"/>
        <w:autoSpaceDN w:val="0"/>
        <w:adjustRightInd w:val="0"/>
        <w:rPr>
          <w:rFonts w:ascii="宋体" w:hAnsi="宋体" w:cs="黑体" w:hint="eastAsia"/>
          <w:b/>
          <w:color w:val="000000"/>
          <w:kern w:val="0"/>
          <w:sz w:val="24"/>
        </w:rPr>
      </w:pPr>
    </w:p>
    <w:p w14:paraId="1DD815F7" w14:textId="77777777" w:rsidR="00396B52" w:rsidRDefault="00396B52">
      <w:pPr>
        <w:autoSpaceDE w:val="0"/>
        <w:autoSpaceDN w:val="0"/>
        <w:adjustRightInd w:val="0"/>
        <w:rPr>
          <w:rFonts w:ascii="宋体" w:hAnsi="宋体" w:cs="黑体" w:hint="eastAsia"/>
          <w:b/>
          <w:color w:val="000000"/>
          <w:kern w:val="0"/>
          <w:sz w:val="24"/>
        </w:rPr>
      </w:pPr>
    </w:p>
    <w:p w14:paraId="36F8AB42" w14:textId="77777777" w:rsidR="00396B52" w:rsidRDefault="00396B52">
      <w:pPr>
        <w:autoSpaceDE w:val="0"/>
        <w:autoSpaceDN w:val="0"/>
        <w:adjustRightInd w:val="0"/>
        <w:spacing w:beforeLines="100" w:before="312"/>
        <w:rPr>
          <w:rFonts w:ascii="黑体" w:eastAsia="黑体" w:cs="黑体"/>
          <w:color w:val="000000"/>
          <w:kern w:val="0"/>
          <w:sz w:val="32"/>
          <w:szCs w:val="28"/>
        </w:rPr>
      </w:pPr>
    </w:p>
    <w:p w14:paraId="661CDD9C" w14:textId="77777777" w:rsidR="00396B52" w:rsidRDefault="00396B52">
      <w:pPr>
        <w:rPr>
          <w:rFonts w:ascii="黑体" w:eastAsia="黑体" w:cs="黑体"/>
          <w:sz w:val="32"/>
          <w:szCs w:val="28"/>
        </w:rPr>
      </w:pPr>
    </w:p>
    <w:p w14:paraId="04C20EC5" w14:textId="77777777" w:rsidR="00396B52" w:rsidRDefault="00396B52">
      <w:pPr>
        <w:rPr>
          <w:rFonts w:ascii="黑体" w:eastAsia="黑体" w:cs="黑体"/>
          <w:sz w:val="32"/>
          <w:szCs w:val="28"/>
        </w:rPr>
      </w:pPr>
    </w:p>
    <w:p w14:paraId="504B93E3" w14:textId="77777777" w:rsidR="00396B52" w:rsidRDefault="00396B52">
      <w:pPr>
        <w:rPr>
          <w:rFonts w:ascii="黑体" w:eastAsia="黑体" w:cs="黑体"/>
          <w:sz w:val="32"/>
          <w:szCs w:val="28"/>
        </w:rPr>
      </w:pPr>
    </w:p>
    <w:p w14:paraId="0D3573EF" w14:textId="77777777" w:rsidR="00396B52" w:rsidRDefault="00396B52">
      <w:pPr>
        <w:rPr>
          <w:rFonts w:ascii="黑体" w:eastAsia="黑体" w:cs="黑体"/>
          <w:sz w:val="32"/>
          <w:szCs w:val="28"/>
        </w:rPr>
      </w:pPr>
    </w:p>
    <w:p w14:paraId="0B8636D2" w14:textId="77777777" w:rsidR="00396B52" w:rsidRDefault="00396B52">
      <w:pPr>
        <w:rPr>
          <w:rFonts w:ascii="黑体" w:eastAsia="黑体" w:cs="黑体"/>
          <w:sz w:val="32"/>
          <w:szCs w:val="28"/>
        </w:rPr>
      </w:pPr>
    </w:p>
    <w:p w14:paraId="0067A841" w14:textId="77777777" w:rsidR="00396B52" w:rsidRDefault="002D5E71">
      <w:pPr>
        <w:widowControl/>
        <w:jc w:val="left"/>
        <w:rPr>
          <w:rFonts w:ascii="黑体" w:eastAsia="黑体" w:cs="黑体"/>
          <w:sz w:val="32"/>
          <w:szCs w:val="28"/>
        </w:rPr>
      </w:pPr>
      <w:r>
        <w:rPr>
          <w:rFonts w:ascii="黑体" w:eastAsia="黑体" w:cs="黑体"/>
          <w:sz w:val="32"/>
          <w:szCs w:val="28"/>
        </w:rPr>
        <w:br w:type="page"/>
      </w:r>
    </w:p>
    <w:p w14:paraId="761FAB8A" w14:textId="77777777" w:rsidR="00396B52" w:rsidRDefault="002D5E71">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14:paraId="014F7448" w14:textId="77777777" w:rsidR="00396B52" w:rsidRDefault="002D5E71">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5915"/>
      </w:tblGrid>
      <w:tr w:rsidR="00396B52" w14:paraId="198AD83A" w14:textId="77777777">
        <w:trPr>
          <w:trHeight w:val="1698"/>
          <w:jc w:val="center"/>
        </w:trPr>
        <w:tc>
          <w:tcPr>
            <w:tcW w:w="1437" w:type="pct"/>
            <w:vAlign w:val="center"/>
          </w:tcPr>
          <w:p w14:paraId="79F07082" w14:textId="77777777" w:rsidR="00396B52" w:rsidRDefault="002D5E71">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563" w:type="pct"/>
            <w:vAlign w:val="center"/>
          </w:tcPr>
          <w:p w14:paraId="0B5D7439" w14:textId="77777777" w:rsidR="00396B52" w:rsidRDefault="002D5E71">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 xml:space="preserve">□公司现场接待     </w:t>
            </w:r>
            <w:r>
              <w:rPr>
                <w:rFonts w:ascii="宋体" w:hAnsi="Calibri" w:cs="宋体" w:hint="eastAsia"/>
                <w:color w:val="000000"/>
                <w:kern w:val="0"/>
                <w:sz w:val="24"/>
              </w:rPr>
              <w:sym w:font="Wingdings 2" w:char="F052"/>
            </w:r>
            <w:r>
              <w:rPr>
                <w:rFonts w:ascii="宋体" w:hAnsi="Calibri" w:cs="宋体" w:hint="eastAsia"/>
                <w:color w:val="000000"/>
                <w:kern w:val="0"/>
                <w:sz w:val="24"/>
              </w:rPr>
              <w:t>电话接待</w:t>
            </w:r>
          </w:p>
          <w:p w14:paraId="20A1D483" w14:textId="77777777" w:rsidR="00396B52" w:rsidRDefault="002D5E71">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14:paraId="26BA9577" w14:textId="77777777" w:rsidR="00396B52" w:rsidRDefault="002D5E71">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□定期报告说明会   □重要公告说明会</w:t>
            </w:r>
          </w:p>
        </w:tc>
      </w:tr>
      <w:tr w:rsidR="00396B52" w14:paraId="7BEA2BD3" w14:textId="77777777">
        <w:trPr>
          <w:trHeight w:val="4540"/>
          <w:jc w:val="center"/>
        </w:trPr>
        <w:tc>
          <w:tcPr>
            <w:tcW w:w="1437" w:type="pct"/>
            <w:vAlign w:val="center"/>
          </w:tcPr>
          <w:p w14:paraId="56DADB5C" w14:textId="77777777" w:rsidR="00396B52" w:rsidRDefault="002D5E7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563" w:type="pct"/>
            <w:vAlign w:val="center"/>
          </w:tcPr>
          <w:p w14:paraId="0F1338DD" w14:textId="3686260A" w:rsidR="00396B52" w:rsidRDefault="002D5E71" w:rsidP="002B18DA">
            <w:pPr>
              <w:autoSpaceDE w:val="0"/>
              <w:autoSpaceDN w:val="0"/>
              <w:adjustRightInd w:val="0"/>
              <w:spacing w:line="460" w:lineRule="exact"/>
              <w:rPr>
                <w:color w:val="000000"/>
                <w:kern w:val="0"/>
                <w:sz w:val="24"/>
                <w:lang w:eastAsia="zh"/>
              </w:rPr>
            </w:pPr>
            <w:r>
              <w:rPr>
                <w:rFonts w:hint="eastAsia"/>
                <w:color w:val="000000"/>
                <w:kern w:val="0"/>
                <w:sz w:val="24"/>
                <w:lang w:eastAsia="zh"/>
              </w:rPr>
              <w:t>国金证券；海通证券；兴业证券；东方证券；国海证券；西部证券；方正证券；天风证券；国信证券；银河证券；东吴证券；中信证券；东海证券；国泰君安证券；国盛证券；民生证券；开源证券；东方财富证券；国联证券；华福证券；海通国际资管；华源证券；中信证券资管；中国人寿资产管理有限公司；中国国际金融股份有限公司；长江养老保险股份有限公司；平安养老保险股份有限公司；诺德基金管理有限公司；摩根基金管理（中国）有限公司；汇添富基金管理股份有限公司；博时基金管理有限公司；国泰基金管理有限公司；财通证券资产管理有限公司；中邮证券有限责任公司；中银资产管理有限公司；长城基金；天弘基金管理有限公司；东方基金管理股份有限公司；东方阿尔法基金；财通基金管理有限公司；南方基金管理股份有限公司；华泰证券自营</w:t>
            </w:r>
            <w:r w:rsidR="007A3157">
              <w:rPr>
                <w:rFonts w:hint="eastAsia"/>
                <w:color w:val="000000"/>
                <w:kern w:val="0"/>
                <w:sz w:val="24"/>
                <w:lang w:eastAsia="zh"/>
              </w:rPr>
              <w:t>；</w:t>
            </w:r>
            <w:r>
              <w:rPr>
                <w:rFonts w:hint="eastAsia"/>
                <w:color w:val="000000"/>
                <w:kern w:val="0"/>
                <w:sz w:val="24"/>
                <w:lang w:eastAsia="zh"/>
              </w:rPr>
              <w:t>五矿证券有限公司；中航基金管理有限公司；中再资产管理股份有限公司；中域投资；中融汇信投资有限公司；中国通用技术</w:t>
            </w:r>
            <w:r w:rsidR="002B18DA">
              <w:rPr>
                <w:rFonts w:hint="eastAsia"/>
                <w:color w:val="000000"/>
                <w:kern w:val="0"/>
                <w:sz w:val="24"/>
                <w:lang w:eastAsia="zh"/>
              </w:rPr>
              <w:t>（</w:t>
            </w:r>
            <w:r w:rsidR="002B18DA" w:rsidRPr="004751CE">
              <w:rPr>
                <w:rFonts w:asciiTheme="minorEastAsia" w:eastAsiaTheme="minorEastAsia" w:hAnsiTheme="minorEastAsia" w:hint="eastAsia"/>
                <w:color w:val="000000"/>
                <w:kern w:val="0"/>
                <w:sz w:val="24"/>
                <w:lang w:eastAsia="zh"/>
              </w:rPr>
              <w:t>集团</w:t>
            </w:r>
            <w:r w:rsidR="002B18DA">
              <w:rPr>
                <w:rFonts w:hint="eastAsia"/>
                <w:color w:val="000000"/>
                <w:kern w:val="0"/>
                <w:sz w:val="24"/>
                <w:lang w:eastAsia="zh"/>
              </w:rPr>
              <w:t>）</w:t>
            </w:r>
            <w:r w:rsidRPr="004751CE">
              <w:rPr>
                <w:rFonts w:asciiTheme="minorEastAsia" w:eastAsiaTheme="minorEastAsia" w:hAnsiTheme="minorEastAsia" w:hint="eastAsia"/>
                <w:color w:val="000000"/>
                <w:kern w:val="0"/>
                <w:sz w:val="24"/>
                <w:lang w:eastAsia="zh"/>
              </w:rPr>
              <w:t>控</w:t>
            </w:r>
            <w:r>
              <w:rPr>
                <w:rFonts w:hint="eastAsia"/>
                <w:color w:val="000000"/>
                <w:kern w:val="0"/>
                <w:sz w:val="24"/>
                <w:lang w:eastAsia="zh"/>
              </w:rPr>
              <w:t>股有限责任公司；长信基金管理有限责任公司；永赢基金管理有限公司；浙江沃金投资管理有限公司；信达澳亚基金管理有限公司；相聚资本管理有限公司；太朴生科私募基金管理珠海有限公司；拾贝投资管</w:t>
            </w:r>
            <w:r w:rsidRPr="002B18DA">
              <w:rPr>
                <w:rFonts w:ascii="宋体" w:hAnsi="宋体" w:hint="eastAsia"/>
                <w:color w:val="000000"/>
                <w:kern w:val="0"/>
                <w:sz w:val="24"/>
                <w:lang w:eastAsia="zh"/>
              </w:rPr>
              <w:t>理</w:t>
            </w:r>
            <w:r w:rsidR="002B18DA">
              <w:rPr>
                <w:rFonts w:ascii="宋体" w:hAnsi="宋体" w:hint="eastAsia"/>
                <w:color w:val="000000"/>
                <w:kern w:val="0"/>
                <w:sz w:val="24"/>
                <w:lang w:eastAsia="zh"/>
              </w:rPr>
              <w:t>（</w:t>
            </w:r>
            <w:r w:rsidR="002B18DA" w:rsidRPr="002B18DA">
              <w:rPr>
                <w:rFonts w:ascii="宋体" w:hAnsi="宋体" w:hint="eastAsia"/>
                <w:color w:val="000000"/>
                <w:kern w:val="0"/>
                <w:sz w:val="24"/>
                <w:lang w:eastAsia="zh"/>
              </w:rPr>
              <w:t>北京</w:t>
            </w:r>
            <w:r w:rsidR="002B18DA">
              <w:rPr>
                <w:rFonts w:ascii="宋体" w:hAnsi="宋体" w:hint="eastAsia"/>
                <w:color w:val="000000"/>
                <w:kern w:val="0"/>
                <w:sz w:val="24"/>
                <w:lang w:eastAsia="zh"/>
              </w:rPr>
              <w:t>）</w:t>
            </w:r>
            <w:r w:rsidRPr="002B18DA">
              <w:rPr>
                <w:rFonts w:ascii="宋体" w:hAnsi="宋体" w:hint="eastAsia"/>
                <w:color w:val="000000"/>
                <w:kern w:val="0"/>
                <w:sz w:val="24"/>
                <w:lang w:eastAsia="zh"/>
              </w:rPr>
              <w:t>有</w:t>
            </w:r>
            <w:r>
              <w:rPr>
                <w:rFonts w:hint="eastAsia"/>
                <w:color w:val="000000"/>
                <w:kern w:val="0"/>
                <w:sz w:val="24"/>
                <w:lang w:eastAsia="zh"/>
              </w:rPr>
              <w:t>限公司；深圳市尚诚资产管理有限责任公司；深圳广金投资有限公司；深圳固禾私募证券基金管理有限公司；申万菱信基金</w:t>
            </w:r>
            <w:r>
              <w:rPr>
                <w:rFonts w:hint="eastAsia"/>
                <w:color w:val="000000"/>
                <w:kern w:val="0"/>
                <w:sz w:val="24"/>
                <w:lang w:eastAsia="zh"/>
              </w:rPr>
              <w:lastRenderedPageBreak/>
              <w:t>管理有限公司；上海兆天投资管理有限公司；上海岳海资产管理有限公司；上海新伯霖私募基金管理有限公司；上海五地私募基金管理有限公司；上海途灵资产管理有限公司；上海申九资产管理有限公司；上海朴易资产管理有限公司；上海磐厚投资管理有限公司；上海盘京投资管理中</w:t>
            </w:r>
            <w:r w:rsidRPr="004751CE">
              <w:rPr>
                <w:rFonts w:ascii="宋体" w:hAnsi="宋体" w:hint="eastAsia"/>
                <w:color w:val="000000"/>
                <w:kern w:val="0"/>
                <w:sz w:val="24"/>
                <w:lang w:eastAsia="zh"/>
              </w:rPr>
              <w:t>心</w:t>
            </w:r>
            <w:r w:rsidR="002B18DA">
              <w:rPr>
                <w:rFonts w:ascii="宋体" w:hAnsi="宋体" w:hint="eastAsia"/>
                <w:color w:val="000000"/>
                <w:kern w:val="0"/>
                <w:sz w:val="24"/>
                <w:lang w:eastAsia="zh"/>
              </w:rPr>
              <w:t>（</w:t>
            </w:r>
            <w:r w:rsidR="002B18DA" w:rsidRPr="002B18DA">
              <w:rPr>
                <w:rFonts w:ascii="宋体" w:hAnsi="宋体" w:hint="eastAsia"/>
                <w:color w:val="000000"/>
                <w:kern w:val="0"/>
                <w:sz w:val="24"/>
                <w:lang w:eastAsia="zh"/>
              </w:rPr>
              <w:t>有限合伙</w:t>
            </w:r>
            <w:r w:rsidR="002B18DA">
              <w:rPr>
                <w:rFonts w:ascii="宋体" w:hAnsi="宋体" w:hint="eastAsia"/>
                <w:color w:val="000000"/>
                <w:kern w:val="0"/>
                <w:sz w:val="24"/>
                <w:lang w:eastAsia="zh"/>
              </w:rPr>
              <w:t>）</w:t>
            </w:r>
            <w:r>
              <w:rPr>
                <w:rFonts w:hint="eastAsia"/>
                <w:color w:val="000000"/>
                <w:kern w:val="0"/>
                <w:sz w:val="24"/>
                <w:lang w:eastAsia="zh"/>
              </w:rPr>
              <w:t>；上海玖歌投资管理有限公司；上海久铭投资管理有限公司；上海景领投资管理有限公司；上海东方证券资产管理有限公司；上海道仁资产管理有限公司；上海道合私募基金管理有限公司；青榕资产管理有限公司；鹏扬基金管理有限公司；南京望岳投资管理有限公司；南华基金管理有限公司；景顺长城基金管理有限公司；金鹰基金管理有限公司；汇安基金管理有限责任公司；华安基金管理有限公司；宏利基金管理有限公司；杭商资产管理（杭州）有限公司；国任财产保险股份有限公司；广东正圆私募基金管理有限公司；光大保德信基金管理有限公司；观富</w:t>
            </w:r>
            <w:r w:rsidR="002B18DA">
              <w:rPr>
                <w:rFonts w:hint="eastAsia"/>
                <w:color w:val="000000"/>
                <w:kern w:val="0"/>
                <w:sz w:val="24"/>
                <w:lang w:eastAsia="zh"/>
              </w:rPr>
              <w:t>（</w:t>
            </w:r>
            <w:r w:rsidR="002B18DA" w:rsidRPr="004751CE">
              <w:rPr>
                <w:rFonts w:asciiTheme="minorEastAsia" w:eastAsiaTheme="minorEastAsia" w:hAnsiTheme="minorEastAsia" w:hint="eastAsia"/>
                <w:color w:val="000000"/>
                <w:kern w:val="0"/>
                <w:sz w:val="24"/>
                <w:lang w:eastAsia="zh"/>
              </w:rPr>
              <w:t>北京</w:t>
            </w:r>
            <w:r w:rsidR="002B18DA">
              <w:rPr>
                <w:rFonts w:hint="eastAsia"/>
                <w:color w:val="000000"/>
                <w:kern w:val="0"/>
                <w:sz w:val="24"/>
                <w:lang w:eastAsia="zh"/>
              </w:rPr>
              <w:t>）</w:t>
            </w:r>
            <w:r w:rsidRPr="004751CE">
              <w:rPr>
                <w:rFonts w:asciiTheme="minorEastAsia" w:eastAsiaTheme="minorEastAsia" w:hAnsiTheme="minorEastAsia" w:hint="eastAsia"/>
                <w:color w:val="000000"/>
                <w:kern w:val="0"/>
                <w:sz w:val="24"/>
                <w:lang w:eastAsia="zh"/>
              </w:rPr>
              <w:t>资</w:t>
            </w:r>
            <w:r>
              <w:rPr>
                <w:rFonts w:hint="eastAsia"/>
                <w:color w:val="000000"/>
                <w:kern w:val="0"/>
                <w:sz w:val="24"/>
                <w:lang w:eastAsia="zh"/>
              </w:rPr>
              <w:t>产管理有限公司；福建豪山资产管理有限公司；淳厚基金管理有限公司；承</w:t>
            </w:r>
            <w:r w:rsidRPr="004751CE">
              <w:rPr>
                <w:rFonts w:ascii="宋体" w:hAnsi="宋体" w:hint="eastAsia"/>
                <w:color w:val="000000"/>
                <w:kern w:val="0"/>
                <w:sz w:val="24"/>
                <w:lang w:eastAsia="zh"/>
              </w:rPr>
              <w:t>珞</w:t>
            </w:r>
            <w:r w:rsidR="002B18DA">
              <w:rPr>
                <w:rFonts w:ascii="宋体" w:hAnsi="宋体" w:hint="eastAsia"/>
                <w:color w:val="000000"/>
                <w:kern w:val="0"/>
                <w:sz w:val="24"/>
                <w:lang w:eastAsia="zh"/>
              </w:rPr>
              <w:t>（</w:t>
            </w:r>
            <w:r w:rsidR="002B18DA" w:rsidRPr="004751CE">
              <w:rPr>
                <w:rFonts w:ascii="宋体" w:hAnsi="宋体" w:hint="eastAsia"/>
                <w:color w:val="000000"/>
                <w:kern w:val="0"/>
                <w:sz w:val="24"/>
                <w:lang w:eastAsia="zh"/>
              </w:rPr>
              <w:t>上海</w:t>
            </w:r>
            <w:r w:rsidR="002B18DA">
              <w:rPr>
                <w:rFonts w:ascii="宋体" w:hAnsi="宋体" w:hint="eastAsia"/>
                <w:color w:val="000000"/>
                <w:kern w:val="0"/>
                <w:sz w:val="24"/>
                <w:lang w:eastAsia="zh"/>
              </w:rPr>
              <w:t>）</w:t>
            </w:r>
            <w:r w:rsidRPr="004751CE">
              <w:rPr>
                <w:rFonts w:ascii="宋体" w:hAnsi="宋体" w:hint="eastAsia"/>
                <w:color w:val="000000"/>
                <w:kern w:val="0"/>
                <w:sz w:val="24"/>
                <w:lang w:eastAsia="zh"/>
              </w:rPr>
              <w:t>投资管理中心</w:t>
            </w:r>
            <w:r w:rsidR="002B18DA">
              <w:rPr>
                <w:rFonts w:ascii="宋体" w:hAnsi="宋体" w:hint="eastAsia"/>
                <w:color w:val="000000"/>
                <w:kern w:val="0"/>
                <w:sz w:val="24"/>
                <w:lang w:eastAsia="zh"/>
              </w:rPr>
              <w:t>（</w:t>
            </w:r>
            <w:r w:rsidR="002B18DA" w:rsidRPr="004751CE">
              <w:rPr>
                <w:rFonts w:ascii="宋体" w:hAnsi="宋体" w:hint="eastAsia"/>
                <w:color w:val="000000"/>
                <w:kern w:val="0"/>
                <w:sz w:val="24"/>
                <w:lang w:eastAsia="zh"/>
              </w:rPr>
              <w:t>有限合伙</w:t>
            </w:r>
            <w:r w:rsidR="002B18DA">
              <w:rPr>
                <w:rFonts w:ascii="宋体" w:hAnsi="宋体" w:hint="eastAsia"/>
                <w:color w:val="000000"/>
                <w:kern w:val="0"/>
                <w:sz w:val="24"/>
                <w:lang w:eastAsia="zh"/>
              </w:rPr>
              <w:t>）</w:t>
            </w:r>
            <w:r>
              <w:rPr>
                <w:rFonts w:hint="eastAsia"/>
                <w:color w:val="000000"/>
                <w:kern w:val="0"/>
                <w:sz w:val="24"/>
                <w:lang w:eastAsia="zh"/>
              </w:rPr>
              <w:t>；北京金百镕投资管理有限公司；必可测</w:t>
            </w:r>
          </w:p>
        </w:tc>
      </w:tr>
      <w:tr w:rsidR="00396B52" w14:paraId="1EC04992" w14:textId="77777777">
        <w:trPr>
          <w:trHeight w:val="698"/>
          <w:jc w:val="center"/>
        </w:trPr>
        <w:tc>
          <w:tcPr>
            <w:tcW w:w="1437" w:type="pct"/>
            <w:vAlign w:val="center"/>
          </w:tcPr>
          <w:p w14:paraId="03146FEE" w14:textId="77777777" w:rsidR="00396B52" w:rsidRDefault="002D5E7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lastRenderedPageBreak/>
              <w:t>时间</w:t>
            </w:r>
          </w:p>
        </w:tc>
        <w:tc>
          <w:tcPr>
            <w:tcW w:w="3563" w:type="pct"/>
            <w:vAlign w:val="center"/>
          </w:tcPr>
          <w:p w14:paraId="2FC54A82" w14:textId="77777777" w:rsidR="00396B52" w:rsidRDefault="002D5E71" w:rsidP="00F17800">
            <w:pPr>
              <w:autoSpaceDE w:val="0"/>
              <w:autoSpaceDN w:val="0"/>
              <w:adjustRightInd w:val="0"/>
              <w:rPr>
                <w:color w:val="000000"/>
                <w:kern w:val="0"/>
                <w:sz w:val="24"/>
              </w:rPr>
            </w:pPr>
            <w:r>
              <w:rPr>
                <w:rFonts w:hint="eastAsia"/>
                <w:kern w:val="0"/>
                <w:sz w:val="24"/>
              </w:rPr>
              <w:t>202</w:t>
            </w:r>
            <w:r>
              <w:rPr>
                <w:kern w:val="0"/>
                <w:sz w:val="24"/>
              </w:rPr>
              <w:t>5</w:t>
            </w:r>
            <w:r>
              <w:rPr>
                <w:rFonts w:hint="eastAsia"/>
                <w:kern w:val="0"/>
                <w:sz w:val="24"/>
              </w:rPr>
              <w:t>年</w:t>
            </w:r>
            <w:r>
              <w:rPr>
                <w:kern w:val="0"/>
                <w:sz w:val="24"/>
              </w:rPr>
              <w:t>3</w:t>
            </w:r>
            <w:r>
              <w:rPr>
                <w:rFonts w:hint="eastAsia"/>
                <w:kern w:val="0"/>
                <w:sz w:val="24"/>
              </w:rPr>
              <w:t>月</w:t>
            </w:r>
            <w:r>
              <w:rPr>
                <w:rFonts w:hint="eastAsia"/>
                <w:kern w:val="0"/>
                <w:sz w:val="24"/>
              </w:rPr>
              <w:t>2</w:t>
            </w:r>
            <w:r>
              <w:rPr>
                <w:kern w:val="0"/>
                <w:sz w:val="24"/>
              </w:rPr>
              <w:t>8</w:t>
            </w:r>
            <w:r>
              <w:rPr>
                <w:rFonts w:hint="eastAsia"/>
                <w:kern w:val="0"/>
                <w:sz w:val="24"/>
              </w:rPr>
              <w:t>日</w:t>
            </w:r>
            <w:r>
              <w:rPr>
                <w:rFonts w:hint="eastAsia"/>
                <w:kern w:val="0"/>
                <w:sz w:val="24"/>
              </w:rPr>
              <w:t xml:space="preserve"> </w:t>
            </w:r>
            <w:r>
              <w:rPr>
                <w:kern w:val="0"/>
                <w:sz w:val="24"/>
              </w:rPr>
              <w:t>9</w:t>
            </w:r>
            <w:r>
              <w:rPr>
                <w:rFonts w:hint="eastAsia"/>
                <w:kern w:val="0"/>
                <w:sz w:val="24"/>
              </w:rPr>
              <w:t>:</w:t>
            </w:r>
            <w:r>
              <w:rPr>
                <w:kern w:val="0"/>
                <w:sz w:val="24"/>
              </w:rPr>
              <w:t>30-10</w:t>
            </w:r>
            <w:r>
              <w:rPr>
                <w:rFonts w:hint="eastAsia"/>
                <w:kern w:val="0"/>
                <w:sz w:val="24"/>
              </w:rPr>
              <w:t>:</w:t>
            </w:r>
            <w:r>
              <w:rPr>
                <w:kern w:val="0"/>
                <w:sz w:val="24"/>
              </w:rPr>
              <w:t>30</w:t>
            </w:r>
          </w:p>
        </w:tc>
      </w:tr>
      <w:tr w:rsidR="00396B52" w14:paraId="7413A6D1" w14:textId="77777777">
        <w:trPr>
          <w:trHeight w:val="694"/>
          <w:jc w:val="center"/>
        </w:trPr>
        <w:tc>
          <w:tcPr>
            <w:tcW w:w="1437" w:type="pct"/>
            <w:vAlign w:val="center"/>
          </w:tcPr>
          <w:p w14:paraId="003E1837" w14:textId="77777777" w:rsidR="00396B52" w:rsidRDefault="002D5E7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563" w:type="pct"/>
            <w:vAlign w:val="center"/>
          </w:tcPr>
          <w:p w14:paraId="4F3FF451" w14:textId="77777777" w:rsidR="00396B52" w:rsidRDefault="002D5E71" w:rsidP="00752AB6">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公司会议室</w:t>
            </w:r>
          </w:p>
        </w:tc>
      </w:tr>
      <w:tr w:rsidR="00396B52" w14:paraId="767F4AA5" w14:textId="77777777">
        <w:trPr>
          <w:trHeight w:val="1701"/>
          <w:jc w:val="center"/>
        </w:trPr>
        <w:tc>
          <w:tcPr>
            <w:tcW w:w="1437" w:type="pct"/>
            <w:vAlign w:val="center"/>
          </w:tcPr>
          <w:p w14:paraId="102079B4" w14:textId="77777777" w:rsidR="00396B52" w:rsidRDefault="002D5E71">
            <w:pPr>
              <w:pStyle w:val="af5"/>
              <w:ind w:firstLineChars="0" w:firstLine="0"/>
              <w:jc w:val="center"/>
              <w:rPr>
                <w:shd w:val="clear" w:color="auto" w:fill="auto"/>
              </w:rPr>
            </w:pPr>
            <w:r>
              <w:rPr>
                <w:rFonts w:hint="eastAsia"/>
                <w:shd w:val="clear" w:color="auto" w:fill="auto"/>
              </w:rPr>
              <w:t>公司接待人员姓名</w:t>
            </w:r>
          </w:p>
        </w:tc>
        <w:tc>
          <w:tcPr>
            <w:tcW w:w="3563" w:type="pct"/>
            <w:vAlign w:val="center"/>
          </w:tcPr>
          <w:p w14:paraId="542C78C6" w14:textId="77777777" w:rsidR="00396B52" w:rsidRDefault="002D5E71">
            <w:pPr>
              <w:pStyle w:val="af5"/>
              <w:ind w:firstLineChars="0" w:firstLine="0"/>
              <w:rPr>
                <w:shd w:val="clear" w:color="auto" w:fill="auto"/>
              </w:rPr>
            </w:pPr>
            <w:r>
              <w:rPr>
                <w:rFonts w:hint="eastAsia"/>
                <w:shd w:val="clear" w:color="auto" w:fill="auto"/>
              </w:rPr>
              <w:t>董事长</w:t>
            </w:r>
            <w:r>
              <w:rPr>
                <w:rFonts w:hint="eastAsia"/>
                <w:shd w:val="clear" w:color="auto" w:fill="auto"/>
                <w:lang w:eastAsia="zh"/>
              </w:rPr>
              <w:t>兼</w:t>
            </w:r>
            <w:r>
              <w:rPr>
                <w:rFonts w:hint="eastAsia"/>
                <w:shd w:val="clear" w:color="auto" w:fill="auto"/>
              </w:rPr>
              <w:t>总经理</w:t>
            </w:r>
            <w:r>
              <w:rPr>
                <w:rFonts w:hint="eastAsia"/>
                <w:shd w:val="clear" w:color="auto" w:fill="auto"/>
              </w:rPr>
              <w:t xml:space="preserve">   </w:t>
            </w:r>
            <w:r>
              <w:rPr>
                <w:rFonts w:hint="eastAsia"/>
                <w:shd w:val="clear" w:color="auto" w:fill="auto"/>
              </w:rPr>
              <w:t>孙黎先生</w:t>
            </w:r>
          </w:p>
          <w:p w14:paraId="63A14BC4" w14:textId="77777777" w:rsidR="00396B52" w:rsidRDefault="002D5E71">
            <w:pPr>
              <w:pStyle w:val="af5"/>
              <w:ind w:firstLineChars="0" w:firstLine="0"/>
              <w:rPr>
                <w:shd w:val="clear" w:color="auto" w:fill="auto"/>
              </w:rPr>
            </w:pPr>
            <w:r>
              <w:rPr>
                <w:rFonts w:hint="eastAsia"/>
                <w:shd w:val="clear" w:color="auto" w:fill="auto"/>
              </w:rPr>
              <w:t>董事长助理</w:t>
            </w:r>
            <w:r>
              <w:rPr>
                <w:rFonts w:hint="eastAsia"/>
                <w:shd w:val="clear" w:color="auto" w:fill="auto"/>
              </w:rPr>
              <w:t xml:space="preserve">   </w:t>
            </w:r>
            <w:r>
              <w:rPr>
                <w:rFonts w:hint="eastAsia"/>
                <w:shd w:val="clear" w:color="auto" w:fill="auto"/>
              </w:rPr>
              <w:t>孙志里先生</w:t>
            </w:r>
          </w:p>
          <w:p w14:paraId="76633F8B" w14:textId="77777777" w:rsidR="00396B52" w:rsidRDefault="002D5E71">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r>
              <w:rPr>
                <w:rFonts w:hint="eastAsia"/>
                <w:shd w:val="clear" w:color="auto" w:fill="auto"/>
              </w:rPr>
              <w:t>杨毅玲女士</w:t>
            </w:r>
          </w:p>
        </w:tc>
      </w:tr>
      <w:tr w:rsidR="00396B52" w14:paraId="3424DAE5" w14:textId="77777777" w:rsidTr="00A72227">
        <w:trPr>
          <w:trHeight w:val="7929"/>
          <w:jc w:val="center"/>
        </w:trPr>
        <w:tc>
          <w:tcPr>
            <w:tcW w:w="1437" w:type="pct"/>
            <w:vAlign w:val="center"/>
          </w:tcPr>
          <w:p w14:paraId="5B0CF14F" w14:textId="77777777" w:rsidR="00396B52" w:rsidRDefault="002D5E7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lastRenderedPageBreak/>
              <w:t>投资者关系活动主要内容介绍</w:t>
            </w:r>
          </w:p>
        </w:tc>
        <w:tc>
          <w:tcPr>
            <w:tcW w:w="3563" w:type="pct"/>
            <w:vAlign w:val="center"/>
          </w:tcPr>
          <w:p w14:paraId="0D30DA0E"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一、公司开展的慢乙肝临床治愈适应症</w:t>
            </w:r>
            <w:proofErr w:type="gramStart"/>
            <w:r w:rsidRPr="00CD6293">
              <w:rPr>
                <w:rFonts w:hint="eastAsia"/>
                <w:b/>
                <w:color w:val="000000" w:themeColor="text1"/>
                <w:szCs w:val="24"/>
                <w:shd w:val="clear" w:color="auto" w:fill="auto"/>
              </w:rPr>
              <w:t>最新获批时间</w:t>
            </w:r>
            <w:proofErr w:type="gramEnd"/>
            <w:r w:rsidRPr="00CD6293">
              <w:rPr>
                <w:rFonts w:hint="eastAsia"/>
                <w:b/>
                <w:color w:val="000000" w:themeColor="text1"/>
                <w:szCs w:val="24"/>
                <w:shd w:val="clear" w:color="auto" w:fill="auto"/>
              </w:rPr>
              <w:t>节点预期？如何看待该适应症获批后对派格宾放量的驱动？</w:t>
            </w:r>
          </w:p>
          <w:p w14:paraId="262A0468" w14:textId="77777777" w:rsidR="00CD6293" w:rsidRPr="00CD6293" w:rsidRDefault="00CD6293" w:rsidP="00CD6293">
            <w:pPr>
              <w:pStyle w:val="af5"/>
              <w:spacing w:beforeLines="50" w:before="156" w:afterLines="50" w:after="156"/>
              <w:ind w:firstLine="480"/>
              <w:rPr>
                <w:color w:val="000000" w:themeColor="text1"/>
                <w:szCs w:val="24"/>
                <w:shd w:val="clear" w:color="auto" w:fill="auto"/>
              </w:rPr>
            </w:pPr>
            <w:r w:rsidRPr="00CD6293">
              <w:rPr>
                <w:rFonts w:hint="eastAsia"/>
                <w:color w:val="000000" w:themeColor="text1"/>
                <w:szCs w:val="24"/>
                <w:shd w:val="clear" w:color="auto" w:fill="auto"/>
              </w:rPr>
              <w:t>答：派格宾联合核苷（酸）类似物适用于临床治愈成人慢性乙型肝炎的增加适应症上市许可申请于</w:t>
            </w:r>
            <w:r w:rsidRPr="00CD6293">
              <w:rPr>
                <w:rFonts w:hint="eastAsia"/>
                <w:color w:val="000000" w:themeColor="text1"/>
                <w:szCs w:val="24"/>
                <w:shd w:val="clear" w:color="auto" w:fill="auto"/>
              </w:rPr>
              <w:t>2024</w:t>
            </w:r>
            <w:r w:rsidRPr="00CD6293">
              <w:rPr>
                <w:rFonts w:hint="eastAsia"/>
                <w:color w:val="000000" w:themeColor="text1"/>
                <w:szCs w:val="24"/>
                <w:shd w:val="clear" w:color="auto" w:fill="auto"/>
              </w:rPr>
              <w:t>年</w:t>
            </w:r>
            <w:r w:rsidRPr="00CD6293">
              <w:rPr>
                <w:rFonts w:hint="eastAsia"/>
                <w:color w:val="000000" w:themeColor="text1"/>
                <w:szCs w:val="24"/>
                <w:shd w:val="clear" w:color="auto" w:fill="auto"/>
              </w:rPr>
              <w:t>3</w:t>
            </w:r>
            <w:r w:rsidRPr="00CD6293">
              <w:rPr>
                <w:rFonts w:hint="eastAsia"/>
                <w:color w:val="000000" w:themeColor="text1"/>
                <w:szCs w:val="24"/>
                <w:shd w:val="clear" w:color="auto" w:fill="auto"/>
              </w:rPr>
              <w:t>月份获得国家药监局受理，目前处于技术审评阶段，项目进展公司将根据有关规定及时履行信息披露义务。</w:t>
            </w:r>
          </w:p>
          <w:p w14:paraId="34F7E1E6" w14:textId="77777777" w:rsidR="00CD6293" w:rsidRPr="00CD6293" w:rsidRDefault="00CD6293" w:rsidP="00CD6293">
            <w:pPr>
              <w:pStyle w:val="af5"/>
              <w:spacing w:beforeLines="50" w:before="156" w:afterLines="50" w:after="156"/>
              <w:ind w:firstLine="480"/>
              <w:rPr>
                <w:color w:val="000000" w:themeColor="text1"/>
                <w:szCs w:val="24"/>
                <w:shd w:val="clear" w:color="auto" w:fill="auto"/>
              </w:rPr>
            </w:pPr>
            <w:r w:rsidRPr="00CD6293">
              <w:rPr>
                <w:rFonts w:hint="eastAsia"/>
                <w:color w:val="000000" w:themeColor="text1"/>
                <w:szCs w:val="24"/>
                <w:shd w:val="clear" w:color="auto" w:fill="auto"/>
              </w:rPr>
              <w:t>随着慢乙肝临床治愈真实世界研究项目科学证据的不断积累、慢乙肝防治指南对乙肝临床治愈推荐意见的逐步完善以及乙肝临床治愈门诊规范化建设与能力提升项目的持续推进，临床专家和患者对乙肝临床治愈的科学认知将进一步加深，推动产品提升在抗病毒治疗领域的渗透率。</w:t>
            </w:r>
          </w:p>
          <w:p w14:paraId="24A1FF69"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二、乙肝临床治愈门诊的最新开设情况汇总？门诊的开设是否对销售产生正面的影响？</w:t>
            </w:r>
          </w:p>
          <w:p w14:paraId="75D0243A" w14:textId="77777777" w:rsidR="00CD6293" w:rsidRPr="00CD6293" w:rsidRDefault="00CD6293" w:rsidP="00CD6293">
            <w:pPr>
              <w:pStyle w:val="af5"/>
              <w:spacing w:beforeLines="50" w:before="156" w:afterLines="50" w:after="156"/>
              <w:ind w:firstLine="480"/>
              <w:rPr>
                <w:color w:val="000000" w:themeColor="text1"/>
                <w:szCs w:val="24"/>
                <w:shd w:val="clear" w:color="auto" w:fill="auto"/>
              </w:rPr>
            </w:pPr>
            <w:r w:rsidRPr="00CD6293">
              <w:rPr>
                <w:rFonts w:hint="eastAsia"/>
                <w:color w:val="000000" w:themeColor="text1"/>
                <w:szCs w:val="24"/>
                <w:shd w:val="clear" w:color="auto" w:fill="auto"/>
              </w:rPr>
              <w:t>答：自</w:t>
            </w:r>
            <w:r w:rsidRPr="00CD6293">
              <w:rPr>
                <w:rFonts w:hint="eastAsia"/>
                <w:color w:val="000000" w:themeColor="text1"/>
                <w:szCs w:val="24"/>
                <w:shd w:val="clear" w:color="auto" w:fill="auto"/>
              </w:rPr>
              <w:t>2023</w:t>
            </w:r>
            <w:r w:rsidRPr="00CD6293">
              <w:rPr>
                <w:rFonts w:hint="eastAsia"/>
                <w:color w:val="000000" w:themeColor="text1"/>
                <w:szCs w:val="24"/>
                <w:shd w:val="clear" w:color="auto" w:fill="auto"/>
              </w:rPr>
              <w:t>年</w:t>
            </w:r>
            <w:r w:rsidRPr="00CD6293">
              <w:rPr>
                <w:rFonts w:hint="eastAsia"/>
                <w:color w:val="000000" w:themeColor="text1"/>
                <w:szCs w:val="24"/>
                <w:shd w:val="clear" w:color="auto" w:fill="auto"/>
              </w:rPr>
              <w:t>11</w:t>
            </w:r>
            <w:r w:rsidRPr="00CD6293">
              <w:rPr>
                <w:rFonts w:hint="eastAsia"/>
                <w:color w:val="000000" w:themeColor="text1"/>
                <w:szCs w:val="24"/>
                <w:shd w:val="clear" w:color="auto" w:fill="auto"/>
              </w:rPr>
              <w:t>月国家卫生健康</w:t>
            </w:r>
            <w:proofErr w:type="gramStart"/>
            <w:r w:rsidRPr="00CD6293">
              <w:rPr>
                <w:rFonts w:hint="eastAsia"/>
                <w:color w:val="000000" w:themeColor="text1"/>
                <w:szCs w:val="24"/>
                <w:shd w:val="clear" w:color="auto" w:fill="auto"/>
              </w:rPr>
              <w:t>委医院</w:t>
            </w:r>
            <w:proofErr w:type="gramEnd"/>
            <w:r w:rsidRPr="00CD6293">
              <w:rPr>
                <w:rFonts w:hint="eastAsia"/>
                <w:color w:val="000000" w:themeColor="text1"/>
                <w:szCs w:val="24"/>
                <w:shd w:val="clear" w:color="auto" w:fill="auto"/>
              </w:rPr>
              <w:t>管理研究所在全国启动“乙肝临床治愈门诊规范化建设与能力提升项目”以来，有不少具备一定临床治愈能力的医疗机构陆续申请开设乙肝临床治愈门诊，最新的开设进展数据可持续关注相关部门的公开信息。项目的开展有助于不断完善乙肝临床治愈相关循证医学证据、优化诊疗措施、提升临床医生技术操作水平，进一步推动慢乙肝患者接受规范化治疗，促进行业对于乙肝临床治愈研究的不断发展。</w:t>
            </w:r>
          </w:p>
          <w:p w14:paraId="4D0AB10B"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三、公司生长激素的上市审批进展如何？</w:t>
            </w:r>
          </w:p>
          <w:p w14:paraId="2E36C319"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w:t>
            </w:r>
            <w:proofErr w:type="gramStart"/>
            <w:r w:rsidRPr="00CD6293">
              <w:rPr>
                <w:rFonts w:hint="eastAsia"/>
                <w:color w:val="000000" w:themeColor="text1"/>
                <w:szCs w:val="24"/>
                <w:shd w:val="clear" w:color="auto" w:fill="auto"/>
              </w:rPr>
              <w:t>怡</w:t>
            </w:r>
            <w:proofErr w:type="gramEnd"/>
            <w:r w:rsidRPr="00CD6293">
              <w:rPr>
                <w:rFonts w:hint="eastAsia"/>
                <w:color w:val="000000" w:themeColor="text1"/>
                <w:szCs w:val="24"/>
                <w:shd w:val="clear" w:color="auto" w:fill="auto"/>
              </w:rPr>
              <w:t>培生长激素注射液药品注册上市许可申请于</w:t>
            </w:r>
            <w:r w:rsidRPr="00CD6293">
              <w:rPr>
                <w:rFonts w:hint="eastAsia"/>
                <w:color w:val="000000" w:themeColor="text1"/>
                <w:szCs w:val="24"/>
                <w:shd w:val="clear" w:color="auto" w:fill="auto"/>
              </w:rPr>
              <w:t>2024</w:t>
            </w:r>
            <w:r w:rsidRPr="00CD6293">
              <w:rPr>
                <w:rFonts w:hint="eastAsia"/>
                <w:color w:val="000000" w:themeColor="text1"/>
                <w:szCs w:val="24"/>
                <w:shd w:val="clear" w:color="auto" w:fill="auto"/>
              </w:rPr>
              <w:t>年</w:t>
            </w:r>
            <w:r w:rsidRPr="00CD6293">
              <w:rPr>
                <w:rFonts w:hint="eastAsia"/>
                <w:color w:val="000000" w:themeColor="text1"/>
                <w:szCs w:val="24"/>
                <w:shd w:val="clear" w:color="auto" w:fill="auto"/>
              </w:rPr>
              <w:t>1</w:t>
            </w:r>
            <w:r w:rsidRPr="00CD6293">
              <w:rPr>
                <w:rFonts w:hint="eastAsia"/>
                <w:color w:val="000000" w:themeColor="text1"/>
                <w:szCs w:val="24"/>
                <w:shd w:val="clear" w:color="auto" w:fill="auto"/>
              </w:rPr>
              <w:t>月获得国家药监局受理，目前处于技术审评阶段。</w:t>
            </w:r>
          </w:p>
          <w:p w14:paraId="05E7503B"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lastRenderedPageBreak/>
              <w:t>四、公司如何预期未来的研发投入及销售人员规模？</w:t>
            </w:r>
          </w:p>
          <w:p w14:paraId="15FD991D"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答：研发费用与研发项目投入需求相关，公司聚焦免疫和代谢领域，未来将继续以解决临床需求为导向开展研发相关工作，随着更多项目进入临床研究阶段，研发投入总体将呈持续上升趋势。</w:t>
            </w:r>
          </w:p>
          <w:p w14:paraId="3CE7B16C"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公司将不断提升人效，同时根据后续产品的推进计划合理配置销售团队，积极开拓新市场，提高产品市场覆盖率和影响力。</w:t>
            </w:r>
          </w:p>
          <w:p w14:paraId="1F8E4571"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五、目前已合作的产品进度？公司</w:t>
            </w:r>
            <w:r w:rsidRPr="00CD6293">
              <w:rPr>
                <w:rFonts w:hint="eastAsia"/>
                <w:b/>
                <w:color w:val="000000" w:themeColor="text1"/>
                <w:szCs w:val="24"/>
                <w:shd w:val="clear" w:color="auto" w:fill="auto"/>
              </w:rPr>
              <w:t>BD</w:t>
            </w:r>
            <w:r w:rsidRPr="00CD6293">
              <w:rPr>
                <w:rFonts w:hint="eastAsia"/>
                <w:b/>
                <w:color w:val="000000" w:themeColor="text1"/>
                <w:szCs w:val="24"/>
                <w:shd w:val="clear" w:color="auto" w:fill="auto"/>
              </w:rPr>
              <w:t>方面的布局思路？还有哪些可能的方向？</w:t>
            </w:r>
          </w:p>
          <w:p w14:paraId="300AC549"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答：公司取得的苏州康宁杰瑞授权产品</w:t>
            </w:r>
            <w:r w:rsidRPr="00CD6293">
              <w:rPr>
                <w:rFonts w:hint="eastAsia"/>
                <w:color w:val="000000" w:themeColor="text1"/>
                <w:szCs w:val="24"/>
                <w:shd w:val="clear" w:color="auto" w:fill="auto"/>
              </w:rPr>
              <w:t>KN069</w:t>
            </w:r>
            <w:r w:rsidRPr="00CD6293">
              <w:rPr>
                <w:rFonts w:hint="eastAsia"/>
                <w:color w:val="000000" w:themeColor="text1"/>
                <w:szCs w:val="24"/>
                <w:shd w:val="clear" w:color="auto" w:fill="auto"/>
              </w:rPr>
              <w:t>相关研究项目（</w:t>
            </w:r>
            <w:r w:rsidRPr="00CD6293">
              <w:rPr>
                <w:rFonts w:hint="eastAsia"/>
                <w:color w:val="000000" w:themeColor="text1"/>
                <w:szCs w:val="24"/>
                <w:shd w:val="clear" w:color="auto" w:fill="auto"/>
              </w:rPr>
              <w:t>ACT300</w:t>
            </w:r>
            <w:r w:rsidRPr="00CD6293">
              <w:rPr>
                <w:rFonts w:hint="eastAsia"/>
                <w:color w:val="000000" w:themeColor="text1"/>
                <w:szCs w:val="24"/>
                <w:shd w:val="clear" w:color="auto" w:fill="auto"/>
              </w:rPr>
              <w:t>）正开展药学和临床前研究；</w:t>
            </w:r>
            <w:proofErr w:type="gramStart"/>
            <w:r w:rsidRPr="00CD6293">
              <w:rPr>
                <w:rFonts w:hint="eastAsia"/>
                <w:color w:val="000000" w:themeColor="text1"/>
                <w:szCs w:val="24"/>
                <w:shd w:val="clear" w:color="auto" w:fill="auto"/>
              </w:rPr>
              <w:t>与藤济医药</w:t>
            </w:r>
            <w:proofErr w:type="gramEnd"/>
            <w:r w:rsidRPr="00CD6293">
              <w:rPr>
                <w:rFonts w:hint="eastAsia"/>
                <w:color w:val="000000" w:themeColor="text1"/>
                <w:szCs w:val="24"/>
                <w:shd w:val="clear" w:color="auto" w:fill="auto"/>
              </w:rPr>
              <w:t>合作的项目（</w:t>
            </w:r>
            <w:r w:rsidRPr="00CD6293">
              <w:rPr>
                <w:rFonts w:hint="eastAsia"/>
                <w:color w:val="000000" w:themeColor="text1"/>
                <w:szCs w:val="24"/>
                <w:shd w:val="clear" w:color="auto" w:fill="auto"/>
              </w:rPr>
              <w:t>ACT500</w:t>
            </w:r>
            <w:r w:rsidRPr="00CD6293">
              <w:rPr>
                <w:rFonts w:hint="eastAsia"/>
                <w:color w:val="000000" w:themeColor="text1"/>
                <w:szCs w:val="24"/>
                <w:shd w:val="clear" w:color="auto" w:fill="auto"/>
              </w:rPr>
              <w:t>）正开展</w:t>
            </w:r>
            <w:r w:rsidRPr="00CD6293">
              <w:rPr>
                <w:rFonts w:hint="eastAsia"/>
                <w:color w:val="000000" w:themeColor="text1"/>
                <w:szCs w:val="24"/>
                <w:shd w:val="clear" w:color="auto" w:fill="auto"/>
              </w:rPr>
              <w:t>I</w:t>
            </w:r>
            <w:r w:rsidRPr="00CD6293">
              <w:rPr>
                <w:rFonts w:hint="eastAsia"/>
                <w:color w:val="000000" w:themeColor="text1"/>
                <w:szCs w:val="24"/>
                <w:shd w:val="clear" w:color="auto" w:fill="auto"/>
              </w:rPr>
              <w:t>期临床研究；与</w:t>
            </w:r>
            <w:proofErr w:type="spellStart"/>
            <w:r w:rsidRPr="00CD6293">
              <w:rPr>
                <w:rFonts w:hint="eastAsia"/>
                <w:color w:val="000000" w:themeColor="text1"/>
                <w:szCs w:val="24"/>
                <w:shd w:val="clear" w:color="auto" w:fill="auto"/>
              </w:rPr>
              <w:t>Aligos</w:t>
            </w:r>
            <w:proofErr w:type="spellEnd"/>
            <w:r w:rsidRPr="00CD6293">
              <w:rPr>
                <w:rFonts w:hint="eastAsia"/>
                <w:color w:val="000000" w:themeColor="text1"/>
                <w:szCs w:val="24"/>
                <w:shd w:val="clear" w:color="auto" w:fill="auto"/>
              </w:rPr>
              <w:t>在小核酸研究领域的合作目前已进入优化候选化合物阶段，同时与</w:t>
            </w:r>
            <w:proofErr w:type="spellStart"/>
            <w:r w:rsidRPr="00CD6293">
              <w:rPr>
                <w:rFonts w:hint="eastAsia"/>
                <w:color w:val="000000" w:themeColor="text1"/>
                <w:szCs w:val="24"/>
                <w:shd w:val="clear" w:color="auto" w:fill="auto"/>
              </w:rPr>
              <w:t>Aligos</w:t>
            </w:r>
            <w:proofErr w:type="spellEnd"/>
            <w:r w:rsidRPr="00CD6293">
              <w:rPr>
                <w:rFonts w:hint="eastAsia"/>
                <w:color w:val="000000" w:themeColor="text1"/>
                <w:szCs w:val="24"/>
                <w:shd w:val="clear" w:color="auto" w:fill="auto"/>
              </w:rPr>
              <w:t>也达成了临床试验合作协议，将在国内发起并开展一项探索性临床研究，评估派格宾联合</w:t>
            </w:r>
            <w:r w:rsidRPr="00CD6293">
              <w:rPr>
                <w:rFonts w:hint="eastAsia"/>
                <w:color w:val="000000" w:themeColor="text1"/>
                <w:szCs w:val="24"/>
                <w:shd w:val="clear" w:color="auto" w:fill="auto"/>
              </w:rPr>
              <w:t>ALG-000184</w:t>
            </w:r>
            <w:r w:rsidRPr="00CD6293">
              <w:rPr>
                <w:rFonts w:hint="eastAsia"/>
                <w:color w:val="000000" w:themeColor="text1"/>
                <w:szCs w:val="24"/>
                <w:shd w:val="clear" w:color="auto" w:fill="auto"/>
              </w:rPr>
              <w:t>治疗慢性乙型肝炎</w:t>
            </w:r>
            <w:r w:rsidRPr="00CD6293">
              <w:rPr>
                <w:rFonts w:hint="eastAsia"/>
                <w:color w:val="000000" w:themeColor="text1"/>
                <w:szCs w:val="24"/>
                <w:shd w:val="clear" w:color="auto" w:fill="auto"/>
              </w:rPr>
              <w:t>(CHB)</w:t>
            </w:r>
            <w:r w:rsidRPr="00CD6293">
              <w:rPr>
                <w:rFonts w:hint="eastAsia"/>
                <w:color w:val="000000" w:themeColor="text1"/>
                <w:szCs w:val="24"/>
                <w:shd w:val="clear" w:color="auto" w:fill="auto"/>
              </w:rPr>
              <w:t>患者的疗效与安全性。总体而言，公司围绕慢乙肝临床治愈以及肝脏相关疾病领域做了较为深入的产品管线布局，也开始进入基因治疗领域。</w:t>
            </w:r>
          </w:p>
          <w:p w14:paraId="283F5511"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公司整体的研究思路是围绕免疫及代谢领域，同时聚焦肝病领域加深、拓展研究。一方面，聚焦疾病本身，在小分子药物、抗体类药物领域，不断丰富和发展产品化技术平台；另一方面，在基因治疗领域，和九天开</w:t>
            </w:r>
            <w:proofErr w:type="gramStart"/>
            <w:r w:rsidRPr="00CD6293">
              <w:rPr>
                <w:rFonts w:hint="eastAsia"/>
                <w:color w:val="000000" w:themeColor="text1"/>
                <w:szCs w:val="24"/>
                <w:shd w:val="clear" w:color="auto" w:fill="auto"/>
              </w:rPr>
              <w:t>曼</w:t>
            </w:r>
            <w:proofErr w:type="gramEnd"/>
            <w:r w:rsidRPr="00CD6293">
              <w:rPr>
                <w:rFonts w:hint="eastAsia"/>
                <w:color w:val="000000" w:themeColor="text1"/>
                <w:szCs w:val="24"/>
                <w:shd w:val="clear" w:color="auto" w:fill="auto"/>
              </w:rPr>
              <w:t>展开深入合作。公司希望从一个以产品和技术为中心的企业转变为一个能运用多平台、多工具、多手段解决疾病问题的企业。</w:t>
            </w:r>
          </w:p>
          <w:p w14:paraId="20AF34F6"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六、公司收购九天生物对于未来布局的</w:t>
            </w:r>
            <w:proofErr w:type="gramStart"/>
            <w:r w:rsidRPr="00CD6293">
              <w:rPr>
                <w:rFonts w:hint="eastAsia"/>
                <w:b/>
                <w:color w:val="000000" w:themeColor="text1"/>
                <w:szCs w:val="24"/>
                <w:shd w:val="clear" w:color="auto" w:fill="auto"/>
              </w:rPr>
              <w:t>考量</w:t>
            </w:r>
            <w:proofErr w:type="gramEnd"/>
            <w:r w:rsidRPr="00CD6293">
              <w:rPr>
                <w:rFonts w:hint="eastAsia"/>
                <w:b/>
                <w:color w:val="000000" w:themeColor="text1"/>
                <w:szCs w:val="24"/>
                <w:shd w:val="clear" w:color="auto" w:fill="auto"/>
              </w:rPr>
              <w:t>？如何看待干扰素</w:t>
            </w:r>
            <w:proofErr w:type="gramStart"/>
            <w:r w:rsidRPr="00CD6293">
              <w:rPr>
                <w:rFonts w:hint="eastAsia"/>
                <w:b/>
                <w:color w:val="000000" w:themeColor="text1"/>
                <w:szCs w:val="24"/>
                <w:shd w:val="clear" w:color="auto" w:fill="auto"/>
              </w:rPr>
              <w:t>和核衣壳</w:t>
            </w:r>
            <w:proofErr w:type="gramEnd"/>
            <w:r w:rsidRPr="00CD6293">
              <w:rPr>
                <w:rFonts w:hint="eastAsia"/>
                <w:b/>
                <w:color w:val="000000" w:themeColor="text1"/>
                <w:szCs w:val="24"/>
                <w:shd w:val="clear" w:color="auto" w:fill="auto"/>
              </w:rPr>
              <w:t>抑制剂的协同及相关作用机</w:t>
            </w:r>
            <w:r w:rsidRPr="00CD6293">
              <w:rPr>
                <w:rFonts w:hint="eastAsia"/>
                <w:b/>
                <w:color w:val="000000" w:themeColor="text1"/>
                <w:szCs w:val="24"/>
                <w:shd w:val="clear" w:color="auto" w:fill="auto"/>
              </w:rPr>
              <w:lastRenderedPageBreak/>
              <w:t>制？</w:t>
            </w:r>
          </w:p>
          <w:p w14:paraId="7C8F754A"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生物医药发展的底层逻辑，是基于对疾病的认识以及对整个疾病发生发展过程中的生物学认识。过去通过基础研究发现相关重要疾病的靶点，随着对生物学认识的不断完善，公司逐步意识到，对免疫和代谢能力的调控也可能是解决疾病问题的一个重要路径。进一步看，从过去对重要靶点的干预，到重要生物学过程的干预，最终可能会发展为对起始生物学的干预，因此基因治疗将会是未来非常重要的疾病治疗手段。尽管当前基因治疗相关技术主要应用于罕见或严重疾病，但随着基因治疗技术的发展，其在更长远的未来将会被运用到更广泛疾病领域。公司对生物调节、免疫调控、代谢调控等方面有深刻理解，而九天生物对疾病亦有深刻理解且具备先进技术水平，未来将会在疾病治疗或干预中发挥相关技术平台的重要作用。</w:t>
            </w:r>
          </w:p>
          <w:p w14:paraId="2693935E" w14:textId="3D8E03FC" w:rsidR="00CD6293" w:rsidRPr="00CD6293" w:rsidRDefault="00CD6293" w:rsidP="00CD6293">
            <w:pPr>
              <w:pStyle w:val="af5"/>
              <w:ind w:firstLine="480"/>
              <w:rPr>
                <w:color w:val="000000" w:themeColor="text1"/>
                <w:szCs w:val="24"/>
                <w:shd w:val="clear" w:color="auto" w:fill="auto"/>
              </w:rPr>
            </w:pPr>
            <w:proofErr w:type="gramStart"/>
            <w:r w:rsidRPr="00CD6293">
              <w:rPr>
                <w:rFonts w:hint="eastAsia"/>
                <w:color w:val="000000" w:themeColor="text1"/>
                <w:szCs w:val="24"/>
                <w:shd w:val="clear" w:color="auto" w:fill="auto"/>
              </w:rPr>
              <w:t>在核衣壳</w:t>
            </w:r>
            <w:proofErr w:type="gramEnd"/>
            <w:r w:rsidRPr="00CD6293">
              <w:rPr>
                <w:rFonts w:hint="eastAsia"/>
                <w:color w:val="000000" w:themeColor="text1"/>
                <w:szCs w:val="24"/>
                <w:shd w:val="clear" w:color="auto" w:fill="auto"/>
              </w:rPr>
              <w:t>抗病毒药物方面，公司希望围绕病毒复制环节进一步探索部分药物和免疫调节剂在联合治疗过程中对增强免疫清除、或更好地预防相关病毒再感染的作用，目前该领域尚处于早期研究阶段，公司相信和</w:t>
            </w:r>
            <w:proofErr w:type="spellStart"/>
            <w:r w:rsidRPr="00CD6293">
              <w:rPr>
                <w:rFonts w:hint="eastAsia"/>
                <w:color w:val="000000" w:themeColor="text1"/>
                <w:szCs w:val="24"/>
                <w:shd w:val="clear" w:color="auto" w:fill="auto"/>
              </w:rPr>
              <w:t>Aligos</w:t>
            </w:r>
            <w:proofErr w:type="spellEnd"/>
            <w:r w:rsidRPr="00CD6293">
              <w:rPr>
                <w:rFonts w:hint="eastAsia"/>
                <w:color w:val="000000" w:themeColor="text1"/>
                <w:szCs w:val="24"/>
                <w:shd w:val="clear" w:color="auto" w:fill="auto"/>
              </w:rPr>
              <w:t>的研究合作会推动对慢乙肝病毒自然感染史，以及围绕派格宾与宿主免疫系统相互关系，拓展对乙肝临床治愈人群的生物学理解。总结而言，</w:t>
            </w:r>
            <w:proofErr w:type="gramStart"/>
            <w:r w:rsidRPr="00CD6293">
              <w:rPr>
                <w:rFonts w:hint="eastAsia"/>
                <w:color w:val="000000" w:themeColor="text1"/>
                <w:szCs w:val="24"/>
                <w:shd w:val="clear" w:color="auto" w:fill="auto"/>
              </w:rPr>
              <w:t>针对核衣壳</w:t>
            </w:r>
            <w:proofErr w:type="gramEnd"/>
            <w:r w:rsidRPr="00CD6293">
              <w:rPr>
                <w:rFonts w:hint="eastAsia"/>
                <w:color w:val="000000" w:themeColor="text1"/>
                <w:szCs w:val="24"/>
                <w:shd w:val="clear" w:color="auto" w:fill="auto"/>
              </w:rPr>
              <w:t>公司的认识主要是两点，第一相比</w:t>
            </w:r>
            <w:r w:rsidRPr="00CD6293">
              <w:rPr>
                <w:rFonts w:hint="eastAsia"/>
                <w:color w:val="000000" w:themeColor="text1"/>
                <w:szCs w:val="24"/>
                <w:shd w:val="clear" w:color="auto" w:fill="auto"/>
              </w:rPr>
              <w:t>NA</w:t>
            </w:r>
            <w:r w:rsidRPr="00CD6293">
              <w:rPr>
                <w:rFonts w:hint="eastAsia"/>
                <w:color w:val="000000" w:themeColor="text1"/>
                <w:szCs w:val="24"/>
                <w:shd w:val="clear" w:color="auto" w:fill="auto"/>
              </w:rPr>
              <w:t>能否有更进一步提升的防止再感染的技术机制，第二能否有更好的协同效应来解决免疫清除。</w:t>
            </w:r>
          </w:p>
          <w:p w14:paraId="06893DD1"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七、目前国内长效干扰素治疗渗透率？国内外乙肝治愈新药推进背景下，长效干扰素未来市场空间如何预期？</w:t>
            </w:r>
          </w:p>
          <w:p w14:paraId="5A152509"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答：目前长效干扰素在慢乙肝治疗领域的渗透率</w:t>
            </w:r>
            <w:r w:rsidRPr="00CD6293">
              <w:rPr>
                <w:rFonts w:hint="eastAsia"/>
                <w:color w:val="000000" w:themeColor="text1"/>
                <w:szCs w:val="24"/>
                <w:shd w:val="clear" w:color="auto" w:fill="auto"/>
              </w:rPr>
              <w:lastRenderedPageBreak/>
              <w:t>仍处于较低水平。</w:t>
            </w:r>
          </w:p>
          <w:p w14:paraId="783AA741"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目前，</w:t>
            </w:r>
            <w:r w:rsidRPr="00CD6293">
              <w:rPr>
                <w:rFonts w:hint="eastAsia"/>
                <w:color w:val="000000" w:themeColor="text1"/>
                <w:szCs w:val="24"/>
                <w:shd w:val="clear" w:color="auto" w:fill="auto"/>
              </w:rPr>
              <w:t>siRNA</w:t>
            </w:r>
            <w:r w:rsidRPr="00CD6293">
              <w:rPr>
                <w:rFonts w:hint="eastAsia"/>
                <w:color w:val="000000" w:themeColor="text1"/>
                <w:szCs w:val="24"/>
                <w:shd w:val="clear" w:color="auto" w:fill="auto"/>
              </w:rPr>
              <w:t>、</w:t>
            </w:r>
            <w:r w:rsidRPr="00CD6293">
              <w:rPr>
                <w:rFonts w:hint="eastAsia"/>
                <w:color w:val="000000" w:themeColor="text1"/>
                <w:szCs w:val="24"/>
                <w:shd w:val="clear" w:color="auto" w:fill="auto"/>
              </w:rPr>
              <w:t>ASO</w:t>
            </w:r>
            <w:r w:rsidRPr="00CD6293">
              <w:rPr>
                <w:rFonts w:hint="eastAsia"/>
                <w:color w:val="000000" w:themeColor="text1"/>
                <w:szCs w:val="24"/>
                <w:shd w:val="clear" w:color="auto" w:fill="auto"/>
              </w:rPr>
              <w:t>等新技术平台和手段取得进展，公司认为这类新疗法具有潜在的联合优化治疗效果。过去</w:t>
            </w:r>
            <w:r w:rsidRPr="00CD6293">
              <w:rPr>
                <w:rFonts w:hint="eastAsia"/>
                <w:color w:val="000000" w:themeColor="text1"/>
                <w:szCs w:val="24"/>
                <w:shd w:val="clear" w:color="auto" w:fill="auto"/>
              </w:rPr>
              <w:t>10</w:t>
            </w:r>
            <w:r w:rsidRPr="00CD6293">
              <w:rPr>
                <w:rFonts w:hint="eastAsia"/>
                <w:color w:val="000000" w:themeColor="text1"/>
                <w:szCs w:val="24"/>
                <w:shd w:val="clear" w:color="auto" w:fill="auto"/>
              </w:rPr>
              <w:t>年，公司以干扰素为基础，围绕临床治愈、以及实现临床治愈后长期随访展开研究，通过长期的随访队列持续观察临床治愈后复发情况。现有数据表明，干扰素与核苷（酸）类似物的药物组合具有临床治愈率较高、复发率较低的特征。</w:t>
            </w:r>
          </w:p>
          <w:p w14:paraId="7D2F5269"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当前研究显示，针对乙型肝炎病毒复制周期及免疫清除的创新疗法需与现有干扰素</w:t>
            </w:r>
            <w:r w:rsidRPr="00CD6293">
              <w:rPr>
                <w:rFonts w:hint="eastAsia"/>
                <w:color w:val="000000" w:themeColor="text1"/>
                <w:szCs w:val="24"/>
                <w:shd w:val="clear" w:color="auto" w:fill="auto"/>
              </w:rPr>
              <w:t>/</w:t>
            </w:r>
            <w:r w:rsidRPr="00CD6293">
              <w:rPr>
                <w:rFonts w:hint="eastAsia"/>
                <w:color w:val="000000" w:themeColor="text1"/>
                <w:szCs w:val="24"/>
                <w:shd w:val="clear" w:color="auto" w:fill="auto"/>
              </w:rPr>
              <w:t>核苷（酸）类似物联用开展。目前，</w:t>
            </w:r>
            <w:r w:rsidRPr="00CD6293">
              <w:rPr>
                <w:rFonts w:hint="eastAsia"/>
                <w:color w:val="000000" w:themeColor="text1"/>
                <w:szCs w:val="24"/>
                <w:shd w:val="clear" w:color="auto" w:fill="auto"/>
              </w:rPr>
              <w:t>siRNA</w:t>
            </w:r>
            <w:r w:rsidRPr="00CD6293">
              <w:rPr>
                <w:rFonts w:hint="eastAsia"/>
                <w:color w:val="000000" w:themeColor="text1"/>
                <w:szCs w:val="24"/>
                <w:shd w:val="clear" w:color="auto" w:fill="auto"/>
              </w:rPr>
              <w:t>药物临床</w:t>
            </w:r>
            <w:r w:rsidRPr="00CD6293">
              <w:rPr>
                <w:rFonts w:hint="eastAsia"/>
                <w:color w:val="000000" w:themeColor="text1"/>
                <w:szCs w:val="24"/>
                <w:shd w:val="clear" w:color="auto" w:fill="auto"/>
              </w:rPr>
              <w:t>II</w:t>
            </w:r>
            <w:r w:rsidRPr="00CD6293">
              <w:rPr>
                <w:rFonts w:hint="eastAsia"/>
                <w:color w:val="000000" w:themeColor="text1"/>
                <w:szCs w:val="24"/>
                <w:shd w:val="clear" w:color="auto" w:fill="auto"/>
              </w:rPr>
              <w:t>期研究普遍采用与聚乙二醇干扰素联合治疗方案；公司认为</w:t>
            </w:r>
            <w:r w:rsidRPr="00CD6293">
              <w:rPr>
                <w:rFonts w:hint="eastAsia"/>
                <w:color w:val="000000" w:themeColor="text1"/>
                <w:szCs w:val="24"/>
                <w:shd w:val="clear" w:color="auto" w:fill="auto"/>
              </w:rPr>
              <w:t>ASO</w:t>
            </w:r>
            <w:r w:rsidRPr="00CD6293">
              <w:rPr>
                <w:rFonts w:hint="eastAsia"/>
                <w:color w:val="000000" w:themeColor="text1"/>
                <w:szCs w:val="24"/>
                <w:shd w:val="clear" w:color="auto" w:fill="auto"/>
              </w:rPr>
              <w:t>类药物研究也可通过联用干扰素等免疫调节</w:t>
            </w:r>
            <w:proofErr w:type="gramStart"/>
            <w:r w:rsidRPr="00CD6293">
              <w:rPr>
                <w:rFonts w:hint="eastAsia"/>
                <w:color w:val="000000" w:themeColor="text1"/>
                <w:szCs w:val="24"/>
                <w:shd w:val="clear" w:color="auto" w:fill="auto"/>
              </w:rPr>
              <w:t>剂增强</w:t>
            </w:r>
            <w:proofErr w:type="gramEnd"/>
            <w:r w:rsidRPr="00CD6293">
              <w:rPr>
                <w:rFonts w:hint="eastAsia"/>
                <w:color w:val="000000" w:themeColor="text1"/>
                <w:szCs w:val="24"/>
                <w:shd w:val="clear" w:color="auto" w:fill="auto"/>
              </w:rPr>
              <w:t>免疫应答，降低停药后复发风险。公司认为，聚乙二醇干扰素和核苷（酸）类似物在较长一段时间内仍是实现乙肝临床治愈的重要基石。</w:t>
            </w:r>
          </w:p>
          <w:p w14:paraId="1B797245"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八、公司</w:t>
            </w:r>
            <w:r w:rsidRPr="00CD6293">
              <w:rPr>
                <w:rFonts w:hint="eastAsia"/>
                <w:b/>
                <w:color w:val="000000" w:themeColor="text1"/>
                <w:szCs w:val="24"/>
                <w:shd w:val="clear" w:color="auto" w:fill="auto"/>
              </w:rPr>
              <w:t>2025</w:t>
            </w:r>
            <w:r w:rsidRPr="00CD6293">
              <w:rPr>
                <w:rFonts w:hint="eastAsia"/>
                <w:b/>
                <w:color w:val="000000" w:themeColor="text1"/>
                <w:szCs w:val="24"/>
                <w:shd w:val="clear" w:color="auto" w:fill="auto"/>
              </w:rPr>
              <w:t>年销售额增长点以及创新管线临床数据节点？脊髓型肌萎缩症目前全球治疗状况以及</w:t>
            </w:r>
            <w:r w:rsidRPr="00CD6293">
              <w:rPr>
                <w:rFonts w:hint="eastAsia"/>
                <w:b/>
                <w:color w:val="000000" w:themeColor="text1"/>
                <w:szCs w:val="24"/>
                <w:shd w:val="clear" w:color="auto" w:fill="auto"/>
              </w:rPr>
              <w:t>SKG0201</w:t>
            </w:r>
            <w:r w:rsidRPr="00CD6293">
              <w:rPr>
                <w:rFonts w:hint="eastAsia"/>
                <w:b/>
                <w:color w:val="000000" w:themeColor="text1"/>
                <w:szCs w:val="24"/>
                <w:shd w:val="clear" w:color="auto" w:fill="auto"/>
              </w:rPr>
              <w:t>在设计的优势以及临床潜力？</w:t>
            </w:r>
          </w:p>
          <w:p w14:paraId="1D2178BE"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过去十年，尽管公司在慢乙肝临床治愈以派格宾为基础联合核苷（酸）类似物取得了一定的进展，但目前干扰素的渗透率仍然较低，技术规范化、相关不良反应管理仍在不断发展中。公司相信随着科学认识的不断完善，以及未来大量乙肝治疗新药的上市和联合治疗策略的创新，接受抗病毒治疗的人群将持续增加，产品渗透率有望进一步提升。另外，现有科学证据也证明，在由乙肝引发的肝癌防控领域，与现有一线抗病毒口服药物相比，干扰素具有显著降低肝癌风险的优势。</w:t>
            </w:r>
          </w:p>
          <w:p w14:paraId="2821C2ED"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SKG0201</w:t>
            </w:r>
            <w:r w:rsidRPr="00CD6293">
              <w:rPr>
                <w:rFonts w:hint="eastAsia"/>
                <w:color w:val="000000" w:themeColor="text1"/>
                <w:szCs w:val="24"/>
                <w:shd w:val="clear" w:color="auto" w:fill="auto"/>
              </w:rPr>
              <w:t>已获得国家药品监督管理局临床批件。在脊髓性肌萎缩症（</w:t>
            </w:r>
            <w:r w:rsidRPr="00CD6293">
              <w:rPr>
                <w:rFonts w:hint="eastAsia"/>
                <w:color w:val="000000" w:themeColor="text1"/>
                <w:szCs w:val="24"/>
                <w:shd w:val="clear" w:color="auto" w:fill="auto"/>
              </w:rPr>
              <w:t>SMA</w:t>
            </w:r>
            <w:r w:rsidRPr="00CD6293">
              <w:rPr>
                <w:rFonts w:hint="eastAsia"/>
                <w:color w:val="000000" w:themeColor="text1"/>
                <w:szCs w:val="24"/>
                <w:shd w:val="clear" w:color="auto" w:fill="auto"/>
              </w:rPr>
              <w:t>）治疗领域，尽管已有反义</w:t>
            </w:r>
            <w:r w:rsidRPr="00CD6293">
              <w:rPr>
                <w:rFonts w:hint="eastAsia"/>
                <w:color w:val="000000" w:themeColor="text1"/>
                <w:szCs w:val="24"/>
                <w:shd w:val="clear" w:color="auto" w:fill="auto"/>
              </w:rPr>
              <w:lastRenderedPageBreak/>
              <w:t>寡核苷酸（</w:t>
            </w:r>
            <w:r w:rsidRPr="00CD6293">
              <w:rPr>
                <w:rFonts w:hint="eastAsia"/>
                <w:color w:val="000000" w:themeColor="text1"/>
                <w:szCs w:val="24"/>
                <w:shd w:val="clear" w:color="auto" w:fill="auto"/>
              </w:rPr>
              <w:t>ASO</w:t>
            </w:r>
            <w:r w:rsidRPr="00CD6293">
              <w:rPr>
                <w:rFonts w:hint="eastAsia"/>
                <w:color w:val="000000" w:themeColor="text1"/>
                <w:szCs w:val="24"/>
                <w:shd w:val="clear" w:color="auto" w:fill="auto"/>
              </w:rPr>
              <w:t>）及基因治疗获批，但现有疗法仍存在一年多次给药、潜在肝毒性风险及靶向递送效率不足等问题，公司相信九天生物的技术平台能够为目前未被满足的临床需求提高更好的治疗新选择。</w:t>
            </w:r>
          </w:p>
          <w:p w14:paraId="323FD6E4"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九、未来</w:t>
            </w:r>
            <w:r w:rsidRPr="00CD6293">
              <w:rPr>
                <w:rFonts w:hint="eastAsia"/>
                <w:b/>
                <w:color w:val="000000" w:themeColor="text1"/>
                <w:szCs w:val="24"/>
                <w:shd w:val="clear" w:color="auto" w:fill="auto"/>
              </w:rPr>
              <w:t>1-3</w:t>
            </w:r>
            <w:r w:rsidRPr="00CD6293">
              <w:rPr>
                <w:rFonts w:hint="eastAsia"/>
                <w:b/>
                <w:color w:val="000000" w:themeColor="text1"/>
                <w:szCs w:val="24"/>
                <w:shd w:val="clear" w:color="auto" w:fill="auto"/>
              </w:rPr>
              <w:t>年有哪些值得关注的慢乙肝真实世界研究项目？</w:t>
            </w:r>
          </w:p>
          <w:p w14:paraId="5623A5AB" w14:textId="0C3BAEFF"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答：基于对核苷经</w:t>
            </w:r>
            <w:proofErr w:type="gramStart"/>
            <w:r w:rsidRPr="00CD6293">
              <w:rPr>
                <w:rFonts w:hint="eastAsia"/>
                <w:color w:val="000000" w:themeColor="text1"/>
                <w:szCs w:val="24"/>
                <w:shd w:val="clear" w:color="auto" w:fill="auto"/>
              </w:rPr>
              <w:t>治患者</w:t>
            </w:r>
            <w:proofErr w:type="gramEnd"/>
            <w:r w:rsidRPr="00CD6293">
              <w:rPr>
                <w:rFonts w:hint="eastAsia"/>
                <w:color w:val="000000" w:themeColor="text1"/>
                <w:szCs w:val="24"/>
                <w:shd w:val="clear" w:color="auto" w:fill="auto"/>
              </w:rPr>
              <w:t>群体生物学特征与疾病转归机制的深入研究，现有证据表明“小三阳”患者群体与核苷经</w:t>
            </w:r>
            <w:proofErr w:type="gramStart"/>
            <w:r w:rsidRPr="00CD6293">
              <w:rPr>
                <w:rFonts w:hint="eastAsia"/>
                <w:color w:val="000000" w:themeColor="text1"/>
                <w:szCs w:val="24"/>
                <w:shd w:val="clear" w:color="auto" w:fill="auto"/>
              </w:rPr>
              <w:t>治优势</w:t>
            </w:r>
            <w:proofErr w:type="gramEnd"/>
            <w:r w:rsidRPr="00CD6293">
              <w:rPr>
                <w:rFonts w:hint="eastAsia"/>
                <w:color w:val="000000" w:themeColor="text1"/>
                <w:szCs w:val="24"/>
                <w:shd w:val="clear" w:color="auto" w:fill="auto"/>
              </w:rPr>
              <w:t>人群一样也是慢乙肝临床治愈的优势人群，公司相信随着这一方面证据的拓展，过去核苷经治的低表面抗原优势人群范围将进一步扩展到免疫控制期，甚至更广泛的低表面抗原人群。</w:t>
            </w:r>
          </w:p>
          <w:p w14:paraId="30977DD8"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此外，公司围绕慢乙肝感染不同人群也开展了多项研究。现有临床数据显示，高表面抗原水平的免疫耐受期患者经过派格宾联合核苷治疗后，相当高比例的患者表面抗原水平可快速降至</w:t>
            </w:r>
            <w:r w:rsidRPr="00CD6293">
              <w:rPr>
                <w:rFonts w:hint="eastAsia"/>
                <w:color w:val="000000" w:themeColor="text1"/>
                <w:szCs w:val="24"/>
                <w:shd w:val="clear" w:color="auto" w:fill="auto"/>
              </w:rPr>
              <w:t>3000</w:t>
            </w:r>
            <w:r w:rsidRPr="00CD6293">
              <w:rPr>
                <w:rFonts w:hint="eastAsia"/>
                <w:color w:val="000000" w:themeColor="text1"/>
                <w:szCs w:val="24"/>
                <w:shd w:val="clear" w:color="auto" w:fill="auto"/>
              </w:rPr>
              <w:t>以下，这部分患者中将有部分患者成为慢乙肝临床治愈的优势人群。</w:t>
            </w:r>
            <w:proofErr w:type="gramStart"/>
            <w:r w:rsidRPr="00CD6293">
              <w:rPr>
                <w:rFonts w:hint="eastAsia"/>
                <w:color w:val="000000" w:themeColor="text1"/>
                <w:szCs w:val="24"/>
                <w:shd w:val="clear" w:color="auto" w:fill="auto"/>
              </w:rPr>
              <w:t>赢领项目</w:t>
            </w:r>
            <w:proofErr w:type="gramEnd"/>
            <w:r w:rsidRPr="00CD6293">
              <w:rPr>
                <w:rFonts w:hint="eastAsia"/>
                <w:color w:val="000000" w:themeColor="text1"/>
                <w:szCs w:val="24"/>
                <w:shd w:val="clear" w:color="auto" w:fill="auto"/>
              </w:rPr>
              <w:t>重点探索干扰素经治患者，通过干扰素单药或联合核苷（酸）类似物治疗，逐渐降低乙肝表面抗原（</w:t>
            </w:r>
            <w:r w:rsidRPr="00CD6293">
              <w:rPr>
                <w:rFonts w:hint="eastAsia"/>
                <w:color w:val="000000" w:themeColor="text1"/>
                <w:szCs w:val="24"/>
                <w:shd w:val="clear" w:color="auto" w:fill="auto"/>
              </w:rPr>
              <w:t>HBsAg</w:t>
            </w:r>
            <w:r w:rsidRPr="00CD6293">
              <w:rPr>
                <w:rFonts w:hint="eastAsia"/>
                <w:color w:val="000000" w:themeColor="text1"/>
                <w:szCs w:val="24"/>
                <w:shd w:val="clear" w:color="auto" w:fill="auto"/>
              </w:rPr>
              <w:t>）水平最终实现临床治愈的疗效和安全性，为进一步提高慢乙肝患者临床治愈机会提供循证依据。初步结果表明，对经干扰素治疗未获得临床治愈但成为低表面抗原优势人群实施再次治疗，临床治愈率仍可超</w:t>
            </w:r>
            <w:r w:rsidRPr="00CD6293">
              <w:rPr>
                <w:rFonts w:hint="eastAsia"/>
                <w:color w:val="000000" w:themeColor="text1"/>
                <w:szCs w:val="24"/>
                <w:shd w:val="clear" w:color="auto" w:fill="auto"/>
              </w:rPr>
              <w:t>40%</w:t>
            </w:r>
            <w:r w:rsidRPr="00CD6293">
              <w:rPr>
                <w:rFonts w:hint="eastAsia"/>
                <w:color w:val="000000" w:themeColor="text1"/>
                <w:szCs w:val="24"/>
                <w:shd w:val="clear" w:color="auto" w:fill="auto"/>
              </w:rPr>
              <w:t>。</w:t>
            </w:r>
          </w:p>
          <w:p w14:paraId="3EC39073"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公司通过多个研究项目持续优化乙肝治疗策略：一方面完善临床治愈优势人群的定义和范围，另一方面深入探索治愈机制。现有研究证据提示，临床治愈本质上是动态过程，可能包含优势人群实现抗原清除、非优势人群转化为优势人群等阶段。这些发现为制定覆盖慢乙肝</w:t>
            </w:r>
            <w:proofErr w:type="gramStart"/>
            <w:r w:rsidRPr="00CD6293">
              <w:rPr>
                <w:rFonts w:hint="eastAsia"/>
                <w:color w:val="000000" w:themeColor="text1"/>
                <w:szCs w:val="24"/>
                <w:shd w:val="clear" w:color="auto" w:fill="auto"/>
              </w:rPr>
              <w:t>感染全</w:t>
            </w:r>
            <w:proofErr w:type="gramEnd"/>
            <w:r w:rsidRPr="00CD6293">
              <w:rPr>
                <w:rFonts w:hint="eastAsia"/>
                <w:color w:val="000000" w:themeColor="text1"/>
                <w:szCs w:val="24"/>
                <w:shd w:val="clear" w:color="auto" w:fill="auto"/>
              </w:rPr>
              <w:t>人群治疗路径提供了科学思路，推动治疗策略从聚焦优势人群向全人群覆盖扩</w:t>
            </w:r>
            <w:r w:rsidRPr="00CD6293">
              <w:rPr>
                <w:rFonts w:hint="eastAsia"/>
                <w:color w:val="000000" w:themeColor="text1"/>
                <w:szCs w:val="24"/>
                <w:shd w:val="clear" w:color="auto" w:fill="auto"/>
              </w:rPr>
              <w:lastRenderedPageBreak/>
              <w:t>展。</w:t>
            </w:r>
          </w:p>
          <w:p w14:paraId="6F896278"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十、长效生长激素商业化的思路？</w:t>
            </w:r>
          </w:p>
          <w:p w14:paraId="04937582" w14:textId="77777777" w:rsidR="00CD6293" w:rsidRPr="00CD6293" w:rsidRDefault="00CD6293" w:rsidP="00CD6293">
            <w:pPr>
              <w:pStyle w:val="af5"/>
              <w:ind w:firstLine="480"/>
              <w:rPr>
                <w:color w:val="000000" w:themeColor="text1"/>
                <w:szCs w:val="24"/>
                <w:shd w:val="clear" w:color="auto" w:fill="auto"/>
              </w:rPr>
            </w:pPr>
            <w:r w:rsidRPr="00CD6293">
              <w:rPr>
                <w:rFonts w:hint="eastAsia"/>
                <w:color w:val="000000" w:themeColor="text1"/>
                <w:szCs w:val="24"/>
                <w:shd w:val="clear" w:color="auto" w:fill="auto"/>
              </w:rPr>
              <w:t>答：目前公司长效生长激素尚未获批，公司内部也在不断讨论和完善商业策略，未来将综合评估各方因素，合理确定商业化策略。</w:t>
            </w:r>
          </w:p>
          <w:p w14:paraId="280F9C86" w14:textId="77777777" w:rsidR="00CD6293" w:rsidRPr="00CD6293" w:rsidRDefault="00CD6293" w:rsidP="00CD6293">
            <w:pPr>
              <w:pStyle w:val="af5"/>
              <w:spacing w:beforeLines="50" w:before="156" w:afterLines="50" w:after="156"/>
              <w:ind w:firstLine="482"/>
              <w:rPr>
                <w:b/>
                <w:color w:val="000000" w:themeColor="text1"/>
                <w:szCs w:val="24"/>
                <w:shd w:val="clear" w:color="auto" w:fill="auto"/>
              </w:rPr>
            </w:pPr>
            <w:r w:rsidRPr="00CD6293">
              <w:rPr>
                <w:rFonts w:hint="eastAsia"/>
                <w:b/>
                <w:color w:val="000000" w:themeColor="text1"/>
                <w:szCs w:val="24"/>
                <w:shd w:val="clear" w:color="auto" w:fill="auto"/>
              </w:rPr>
              <w:t>十一、目前医药行业研发竞争激烈，是否考虑进一步加大研发投入，提升项目数量？</w:t>
            </w:r>
          </w:p>
          <w:p w14:paraId="3636E524" w14:textId="79F47F2B" w:rsidR="00396B52" w:rsidRPr="00CD6293" w:rsidRDefault="00CD6293" w:rsidP="00CD6293">
            <w:pPr>
              <w:pStyle w:val="af5"/>
              <w:ind w:firstLine="480"/>
              <w:rPr>
                <w:szCs w:val="24"/>
                <w:shd w:val="clear" w:color="auto" w:fill="auto"/>
                <w:lang w:eastAsia="zh"/>
              </w:rPr>
            </w:pPr>
            <w:r w:rsidRPr="00CD6293">
              <w:rPr>
                <w:rFonts w:hint="eastAsia"/>
                <w:color w:val="000000" w:themeColor="text1"/>
                <w:szCs w:val="24"/>
                <w:shd w:val="clear" w:color="auto" w:fill="auto"/>
              </w:rPr>
              <w:t>答：公司聚焦于免疫和代谢领域，未来仍将立足综合性的战略</w:t>
            </w:r>
            <w:proofErr w:type="gramStart"/>
            <w:r w:rsidRPr="00CD6293">
              <w:rPr>
                <w:rFonts w:hint="eastAsia"/>
                <w:color w:val="000000" w:themeColor="text1"/>
                <w:szCs w:val="24"/>
                <w:shd w:val="clear" w:color="auto" w:fill="auto"/>
              </w:rPr>
              <w:t>考量</w:t>
            </w:r>
            <w:proofErr w:type="gramEnd"/>
            <w:r w:rsidRPr="00CD6293">
              <w:rPr>
                <w:rFonts w:hint="eastAsia"/>
                <w:color w:val="000000" w:themeColor="text1"/>
                <w:szCs w:val="24"/>
                <w:shd w:val="clear" w:color="auto" w:fill="auto"/>
              </w:rPr>
              <w:t>，不断加大研发投入，围绕核心疾病问题构建产品矩阵布局。公司认为，商业化的成功源于解决疾病问题的质量水平，而非单纯扩大管线规模。因此，公司将重点布局具有突破潜力的技术平台，在管线开发中不仅考虑短期业绩，更着眼长期价值，为股东创造更具增长潜力的长期回报。</w:t>
            </w:r>
          </w:p>
        </w:tc>
      </w:tr>
      <w:tr w:rsidR="00396B52" w14:paraId="7DC1BADF" w14:textId="77777777" w:rsidTr="006C609A">
        <w:trPr>
          <w:trHeight w:val="1644"/>
          <w:jc w:val="center"/>
        </w:trPr>
        <w:tc>
          <w:tcPr>
            <w:tcW w:w="1437" w:type="pct"/>
            <w:vAlign w:val="center"/>
          </w:tcPr>
          <w:p w14:paraId="245F542E" w14:textId="77777777" w:rsidR="00396B52" w:rsidRDefault="002D5E71">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563" w:type="pct"/>
            <w:vAlign w:val="center"/>
          </w:tcPr>
          <w:p w14:paraId="072773D5" w14:textId="77777777" w:rsidR="00396B52" w:rsidRDefault="002D5E71">
            <w:pPr>
              <w:spacing w:line="460" w:lineRule="exact"/>
              <w:rPr>
                <w:rFonts w:ascii="宋体" w:hAnsi="宋体" w:cs="黑体" w:hint="eastAsia"/>
                <w:color w:val="000000"/>
                <w:kern w:val="0"/>
                <w:sz w:val="24"/>
                <w:lang w:eastAsia="zh"/>
              </w:rPr>
            </w:pPr>
            <w:r>
              <w:rPr>
                <w:rFonts w:ascii="宋体" w:hAnsi="宋体" w:cs="黑体" w:hint="eastAsia"/>
                <w:color w:val="000000"/>
                <w:kern w:val="0"/>
                <w:sz w:val="24"/>
                <w:lang w:eastAsia="zh"/>
              </w:rPr>
              <w:t>否</w:t>
            </w:r>
          </w:p>
        </w:tc>
      </w:tr>
      <w:tr w:rsidR="00396B52" w14:paraId="5CEF83CF" w14:textId="77777777">
        <w:trPr>
          <w:trHeight w:val="567"/>
          <w:jc w:val="center"/>
        </w:trPr>
        <w:tc>
          <w:tcPr>
            <w:tcW w:w="1437" w:type="pct"/>
            <w:vAlign w:val="center"/>
          </w:tcPr>
          <w:p w14:paraId="4DB918D0" w14:textId="77777777" w:rsidR="00396B52" w:rsidRDefault="002D5E7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563" w:type="pct"/>
            <w:vAlign w:val="center"/>
          </w:tcPr>
          <w:p w14:paraId="275BD673" w14:textId="77777777" w:rsidR="00396B52" w:rsidRDefault="002D5E71">
            <w:pPr>
              <w:jc w:val="left"/>
              <w:rPr>
                <w:rFonts w:ascii="宋体" w:hAnsi="宋体" w:cs="黑体" w:hint="eastAsia"/>
                <w:color w:val="000000"/>
                <w:kern w:val="0"/>
                <w:sz w:val="24"/>
              </w:rPr>
            </w:pPr>
            <w:r>
              <w:rPr>
                <w:rFonts w:ascii="宋体" w:hAnsi="宋体" w:cs="黑体" w:hint="eastAsia"/>
                <w:color w:val="000000"/>
                <w:kern w:val="0"/>
                <w:sz w:val="24"/>
              </w:rPr>
              <w:t>无</w:t>
            </w:r>
          </w:p>
        </w:tc>
      </w:tr>
      <w:tr w:rsidR="00396B52" w14:paraId="15475037" w14:textId="77777777">
        <w:trPr>
          <w:trHeight w:val="567"/>
          <w:jc w:val="center"/>
        </w:trPr>
        <w:tc>
          <w:tcPr>
            <w:tcW w:w="1437" w:type="pct"/>
            <w:vAlign w:val="center"/>
          </w:tcPr>
          <w:p w14:paraId="03B31BEC" w14:textId="77777777" w:rsidR="00396B52" w:rsidRDefault="002D5E71">
            <w:pPr>
              <w:autoSpaceDE w:val="0"/>
              <w:autoSpaceDN w:val="0"/>
              <w:adjustRightInd w:val="0"/>
              <w:jc w:val="center"/>
              <w:rPr>
                <w:color w:val="000000"/>
                <w:kern w:val="0"/>
                <w:sz w:val="24"/>
              </w:rPr>
            </w:pPr>
            <w:r>
              <w:rPr>
                <w:rFonts w:hint="eastAsia"/>
                <w:color w:val="000000"/>
                <w:kern w:val="0"/>
                <w:sz w:val="24"/>
              </w:rPr>
              <w:t>日期</w:t>
            </w:r>
          </w:p>
        </w:tc>
        <w:tc>
          <w:tcPr>
            <w:tcW w:w="3563" w:type="pct"/>
            <w:vAlign w:val="center"/>
          </w:tcPr>
          <w:p w14:paraId="46CEC20C" w14:textId="77777777" w:rsidR="00396B52" w:rsidRDefault="002D5E71">
            <w:pPr>
              <w:autoSpaceDE w:val="0"/>
              <w:autoSpaceDN w:val="0"/>
              <w:adjustRightInd w:val="0"/>
              <w:rPr>
                <w:color w:val="000000"/>
                <w:kern w:val="0"/>
                <w:sz w:val="24"/>
              </w:rPr>
            </w:pPr>
            <w:r>
              <w:rPr>
                <w:rFonts w:hint="eastAsia"/>
                <w:kern w:val="0"/>
                <w:sz w:val="24"/>
              </w:rPr>
              <w:t>202</w:t>
            </w:r>
            <w:r>
              <w:rPr>
                <w:kern w:val="0"/>
                <w:sz w:val="24"/>
              </w:rPr>
              <w:t>5</w:t>
            </w:r>
            <w:r>
              <w:rPr>
                <w:rFonts w:hint="eastAsia"/>
                <w:kern w:val="0"/>
                <w:sz w:val="24"/>
              </w:rPr>
              <w:t>年</w:t>
            </w:r>
            <w:r>
              <w:rPr>
                <w:kern w:val="0"/>
                <w:sz w:val="24"/>
              </w:rPr>
              <w:t>3</w:t>
            </w:r>
            <w:r>
              <w:rPr>
                <w:rFonts w:hint="eastAsia"/>
                <w:kern w:val="0"/>
                <w:sz w:val="24"/>
              </w:rPr>
              <w:t>月</w:t>
            </w:r>
            <w:r>
              <w:rPr>
                <w:kern w:val="0"/>
                <w:sz w:val="24"/>
              </w:rPr>
              <w:t>28</w:t>
            </w:r>
            <w:r>
              <w:rPr>
                <w:rFonts w:hint="eastAsia"/>
                <w:kern w:val="0"/>
                <w:sz w:val="24"/>
              </w:rPr>
              <w:t>日</w:t>
            </w:r>
          </w:p>
        </w:tc>
      </w:tr>
    </w:tbl>
    <w:p w14:paraId="60EE3A0C" w14:textId="77777777" w:rsidR="00396B52" w:rsidRDefault="00396B52" w:rsidP="006C609A">
      <w:pPr>
        <w:spacing w:line="20" w:lineRule="exact"/>
        <w:rPr>
          <w:rFonts w:ascii="黑体" w:eastAsia="黑体" w:cs="黑体"/>
          <w:color w:val="000000"/>
          <w:kern w:val="0"/>
          <w:sz w:val="28"/>
          <w:szCs w:val="28"/>
        </w:rPr>
      </w:pPr>
    </w:p>
    <w:sectPr w:rsidR="00396B52">
      <w:footerReference w:type="default" r:id="rId8"/>
      <w:headerReference w:type="first" r:id="rId9"/>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87B0F" w14:textId="77777777" w:rsidR="002D3CFD" w:rsidRDefault="002D3CFD">
      <w:r>
        <w:separator/>
      </w:r>
    </w:p>
  </w:endnote>
  <w:endnote w:type="continuationSeparator" w:id="0">
    <w:p w14:paraId="0979A964" w14:textId="77777777" w:rsidR="002D3CFD" w:rsidRDefault="002D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249CC8D3" w14:textId="77777777" w:rsidR="00396B52" w:rsidRDefault="002D5E71">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60E01" w14:textId="77777777" w:rsidR="002D3CFD" w:rsidRDefault="002D3CFD">
      <w:r>
        <w:separator/>
      </w:r>
    </w:p>
  </w:footnote>
  <w:footnote w:type="continuationSeparator" w:id="0">
    <w:p w14:paraId="2F617620" w14:textId="77777777" w:rsidR="002D3CFD" w:rsidRDefault="002D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DB364" w14:textId="77777777" w:rsidR="00396B52" w:rsidRDefault="00396B52">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37B4805"/>
    <w:rsid w:val="8B3F174F"/>
    <w:rsid w:val="8BA7DDA5"/>
    <w:rsid w:val="8D36E612"/>
    <w:rsid w:val="905F28EE"/>
    <w:rsid w:val="9F7F186C"/>
    <w:rsid w:val="9FEA241B"/>
    <w:rsid w:val="A3AF95FA"/>
    <w:rsid w:val="ADDF710A"/>
    <w:rsid w:val="AF7D7FE9"/>
    <w:rsid w:val="B0D9031B"/>
    <w:rsid w:val="B1DB3B6B"/>
    <w:rsid w:val="B3CD8E4B"/>
    <w:rsid w:val="B6F2EBC4"/>
    <w:rsid w:val="B6F85E0A"/>
    <w:rsid w:val="B77F2B79"/>
    <w:rsid w:val="B7D150EE"/>
    <w:rsid w:val="B7EF12BB"/>
    <w:rsid w:val="B7FF8FE0"/>
    <w:rsid w:val="B99B4FAD"/>
    <w:rsid w:val="BAED280B"/>
    <w:rsid w:val="BB1E1580"/>
    <w:rsid w:val="BB2704A7"/>
    <w:rsid w:val="BB3E3256"/>
    <w:rsid w:val="BBAB8964"/>
    <w:rsid w:val="BD390328"/>
    <w:rsid w:val="BEAFC38C"/>
    <w:rsid w:val="BF472B8A"/>
    <w:rsid w:val="BFB7EF0B"/>
    <w:rsid w:val="BFDFBA2D"/>
    <w:rsid w:val="C57701B0"/>
    <w:rsid w:val="CABF8DF3"/>
    <w:rsid w:val="CE9DEBD9"/>
    <w:rsid w:val="CF1FE8E4"/>
    <w:rsid w:val="CF779652"/>
    <w:rsid w:val="CFEFA4DD"/>
    <w:rsid w:val="D3FC8821"/>
    <w:rsid w:val="D6BF662F"/>
    <w:rsid w:val="D6FF7D71"/>
    <w:rsid w:val="D77BC5C8"/>
    <w:rsid w:val="D89FD2F3"/>
    <w:rsid w:val="D8B70FA5"/>
    <w:rsid w:val="D9FF3D75"/>
    <w:rsid w:val="DB5EBABE"/>
    <w:rsid w:val="DB99AB62"/>
    <w:rsid w:val="DBFAA308"/>
    <w:rsid w:val="DCEF754D"/>
    <w:rsid w:val="DD5C73FA"/>
    <w:rsid w:val="DD7B1757"/>
    <w:rsid w:val="DD7C7A71"/>
    <w:rsid w:val="DEB964B8"/>
    <w:rsid w:val="DED738FC"/>
    <w:rsid w:val="DF7EB660"/>
    <w:rsid w:val="DFBF96CD"/>
    <w:rsid w:val="DFCB2A3B"/>
    <w:rsid w:val="DFEB6E0E"/>
    <w:rsid w:val="DFF5C950"/>
    <w:rsid w:val="DFF6B3C3"/>
    <w:rsid w:val="DFFF8152"/>
    <w:rsid w:val="E3FE5784"/>
    <w:rsid w:val="E5FBA1F2"/>
    <w:rsid w:val="E5FD3D08"/>
    <w:rsid w:val="E5FF5A75"/>
    <w:rsid w:val="E7D77793"/>
    <w:rsid w:val="E7EE2585"/>
    <w:rsid w:val="EAFEDC80"/>
    <w:rsid w:val="EBEEF840"/>
    <w:rsid w:val="EDE7D2DD"/>
    <w:rsid w:val="EDFEFAB5"/>
    <w:rsid w:val="EDFF1134"/>
    <w:rsid w:val="EE7FA752"/>
    <w:rsid w:val="EE9FA2AB"/>
    <w:rsid w:val="EEFBECB8"/>
    <w:rsid w:val="EEFFAABD"/>
    <w:rsid w:val="EF3E9C69"/>
    <w:rsid w:val="EF575F5E"/>
    <w:rsid w:val="EF7BB02E"/>
    <w:rsid w:val="EFBEEB41"/>
    <w:rsid w:val="EFDDDF64"/>
    <w:rsid w:val="EFF656D3"/>
    <w:rsid w:val="F1DF838D"/>
    <w:rsid w:val="F29F6930"/>
    <w:rsid w:val="F37FFE23"/>
    <w:rsid w:val="F457789A"/>
    <w:rsid w:val="F4FC7B10"/>
    <w:rsid w:val="F55E6C6C"/>
    <w:rsid w:val="F5BC0729"/>
    <w:rsid w:val="F6BF757F"/>
    <w:rsid w:val="F77631D6"/>
    <w:rsid w:val="F77F68EC"/>
    <w:rsid w:val="F7B4C45F"/>
    <w:rsid w:val="F7EF6E55"/>
    <w:rsid w:val="F7FBD64D"/>
    <w:rsid w:val="F7FFFB9C"/>
    <w:rsid w:val="F85FAE22"/>
    <w:rsid w:val="FABF53E8"/>
    <w:rsid w:val="FADF2EE2"/>
    <w:rsid w:val="FAFD3C72"/>
    <w:rsid w:val="FB1F4E16"/>
    <w:rsid w:val="FBD94AD9"/>
    <w:rsid w:val="FBEB984B"/>
    <w:rsid w:val="FBF3C5AC"/>
    <w:rsid w:val="FC17A5FC"/>
    <w:rsid w:val="FC7F6852"/>
    <w:rsid w:val="FCAFE797"/>
    <w:rsid w:val="FCCF2A19"/>
    <w:rsid w:val="FDBCFF26"/>
    <w:rsid w:val="FDFC99B3"/>
    <w:rsid w:val="FE57A2D7"/>
    <w:rsid w:val="FE8D19F8"/>
    <w:rsid w:val="FEB74C22"/>
    <w:rsid w:val="FEEE2B41"/>
    <w:rsid w:val="FEEEF1D8"/>
    <w:rsid w:val="FEFFA1D3"/>
    <w:rsid w:val="FF656605"/>
    <w:rsid w:val="FF73755B"/>
    <w:rsid w:val="FF73C86C"/>
    <w:rsid w:val="FF7AA848"/>
    <w:rsid w:val="FF7BD010"/>
    <w:rsid w:val="FF7FE625"/>
    <w:rsid w:val="FFB94665"/>
    <w:rsid w:val="FFBE0746"/>
    <w:rsid w:val="FFC77282"/>
    <w:rsid w:val="FFD73A58"/>
    <w:rsid w:val="FFEEA024"/>
    <w:rsid w:val="FFEF114F"/>
    <w:rsid w:val="FFF7C515"/>
    <w:rsid w:val="FFFE4454"/>
    <w:rsid w:val="FFFF5007"/>
    <w:rsid w:val="00000B99"/>
    <w:rsid w:val="00000C3F"/>
    <w:rsid w:val="00001E48"/>
    <w:rsid w:val="0000227C"/>
    <w:rsid w:val="00002DB6"/>
    <w:rsid w:val="000065CA"/>
    <w:rsid w:val="0000707E"/>
    <w:rsid w:val="000125BA"/>
    <w:rsid w:val="000127EB"/>
    <w:rsid w:val="0001294D"/>
    <w:rsid w:val="000129B7"/>
    <w:rsid w:val="00013170"/>
    <w:rsid w:val="00014319"/>
    <w:rsid w:val="00014F74"/>
    <w:rsid w:val="00017945"/>
    <w:rsid w:val="00017B4C"/>
    <w:rsid w:val="00020913"/>
    <w:rsid w:val="00026FD9"/>
    <w:rsid w:val="000275E4"/>
    <w:rsid w:val="00031559"/>
    <w:rsid w:val="000325E1"/>
    <w:rsid w:val="00033EB1"/>
    <w:rsid w:val="0004604E"/>
    <w:rsid w:val="00046AD4"/>
    <w:rsid w:val="000502E7"/>
    <w:rsid w:val="00055922"/>
    <w:rsid w:val="00057E8D"/>
    <w:rsid w:val="00062C74"/>
    <w:rsid w:val="0006362C"/>
    <w:rsid w:val="00063A49"/>
    <w:rsid w:val="000658D0"/>
    <w:rsid w:val="00066671"/>
    <w:rsid w:val="00066A51"/>
    <w:rsid w:val="00070AFC"/>
    <w:rsid w:val="00070B49"/>
    <w:rsid w:val="00070C9B"/>
    <w:rsid w:val="00072AED"/>
    <w:rsid w:val="000737BD"/>
    <w:rsid w:val="000770BC"/>
    <w:rsid w:val="0008251C"/>
    <w:rsid w:val="00083E24"/>
    <w:rsid w:val="00085506"/>
    <w:rsid w:val="00090199"/>
    <w:rsid w:val="00093E67"/>
    <w:rsid w:val="00096874"/>
    <w:rsid w:val="000A0063"/>
    <w:rsid w:val="000A16EE"/>
    <w:rsid w:val="000A4DEB"/>
    <w:rsid w:val="000A6FB9"/>
    <w:rsid w:val="000B2347"/>
    <w:rsid w:val="000B4BA6"/>
    <w:rsid w:val="000C128B"/>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42F0F"/>
    <w:rsid w:val="00143A1C"/>
    <w:rsid w:val="00143DAA"/>
    <w:rsid w:val="00144672"/>
    <w:rsid w:val="00145369"/>
    <w:rsid w:val="0014798A"/>
    <w:rsid w:val="00147C8B"/>
    <w:rsid w:val="00153070"/>
    <w:rsid w:val="00157453"/>
    <w:rsid w:val="0016348F"/>
    <w:rsid w:val="001740D4"/>
    <w:rsid w:val="00176017"/>
    <w:rsid w:val="00181046"/>
    <w:rsid w:val="0018270C"/>
    <w:rsid w:val="0018642C"/>
    <w:rsid w:val="00187E2D"/>
    <w:rsid w:val="00193544"/>
    <w:rsid w:val="0019387D"/>
    <w:rsid w:val="00193F35"/>
    <w:rsid w:val="00194F1B"/>
    <w:rsid w:val="001957FC"/>
    <w:rsid w:val="00195EA6"/>
    <w:rsid w:val="0019719E"/>
    <w:rsid w:val="001A13BD"/>
    <w:rsid w:val="001A2B51"/>
    <w:rsid w:val="001A45CF"/>
    <w:rsid w:val="001A5A3A"/>
    <w:rsid w:val="001B106B"/>
    <w:rsid w:val="001B1A85"/>
    <w:rsid w:val="001B6563"/>
    <w:rsid w:val="001B7C46"/>
    <w:rsid w:val="001D22FC"/>
    <w:rsid w:val="001D5417"/>
    <w:rsid w:val="001D6E7A"/>
    <w:rsid w:val="001E353D"/>
    <w:rsid w:val="001E6D9B"/>
    <w:rsid w:val="001E7754"/>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5CFB"/>
    <w:rsid w:val="00217358"/>
    <w:rsid w:val="00217450"/>
    <w:rsid w:val="00220430"/>
    <w:rsid w:val="002234D7"/>
    <w:rsid w:val="00223A87"/>
    <w:rsid w:val="0022450C"/>
    <w:rsid w:val="00227138"/>
    <w:rsid w:val="002339A8"/>
    <w:rsid w:val="00234FC8"/>
    <w:rsid w:val="00235084"/>
    <w:rsid w:val="00237F33"/>
    <w:rsid w:val="00244884"/>
    <w:rsid w:val="00250812"/>
    <w:rsid w:val="00251625"/>
    <w:rsid w:val="00254F2F"/>
    <w:rsid w:val="002550D4"/>
    <w:rsid w:val="00261E76"/>
    <w:rsid w:val="00263F6C"/>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18DA"/>
    <w:rsid w:val="002B5888"/>
    <w:rsid w:val="002C10C4"/>
    <w:rsid w:val="002C1512"/>
    <w:rsid w:val="002C1DD6"/>
    <w:rsid w:val="002C265C"/>
    <w:rsid w:val="002C5488"/>
    <w:rsid w:val="002C6D92"/>
    <w:rsid w:val="002D0847"/>
    <w:rsid w:val="002D122F"/>
    <w:rsid w:val="002D399D"/>
    <w:rsid w:val="002D3CFD"/>
    <w:rsid w:val="002D5E71"/>
    <w:rsid w:val="002D6C43"/>
    <w:rsid w:val="002D7B46"/>
    <w:rsid w:val="002E47B8"/>
    <w:rsid w:val="002E4A08"/>
    <w:rsid w:val="002E4F25"/>
    <w:rsid w:val="002E58C9"/>
    <w:rsid w:val="002E698F"/>
    <w:rsid w:val="002F0148"/>
    <w:rsid w:val="002F0621"/>
    <w:rsid w:val="002F0980"/>
    <w:rsid w:val="002F1152"/>
    <w:rsid w:val="002F1AEF"/>
    <w:rsid w:val="002F1BCB"/>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96B52"/>
    <w:rsid w:val="003A2057"/>
    <w:rsid w:val="003A2322"/>
    <w:rsid w:val="003C420F"/>
    <w:rsid w:val="003C5B56"/>
    <w:rsid w:val="003D089D"/>
    <w:rsid w:val="003D0A0D"/>
    <w:rsid w:val="003D1771"/>
    <w:rsid w:val="003D5D16"/>
    <w:rsid w:val="003D6191"/>
    <w:rsid w:val="003D67F2"/>
    <w:rsid w:val="003D7BBB"/>
    <w:rsid w:val="003E5DEA"/>
    <w:rsid w:val="003E7443"/>
    <w:rsid w:val="003F35EE"/>
    <w:rsid w:val="003F6281"/>
    <w:rsid w:val="003F651B"/>
    <w:rsid w:val="00405028"/>
    <w:rsid w:val="004169A2"/>
    <w:rsid w:val="00416AA1"/>
    <w:rsid w:val="0041710A"/>
    <w:rsid w:val="004233CD"/>
    <w:rsid w:val="00430DD0"/>
    <w:rsid w:val="00433274"/>
    <w:rsid w:val="00434A39"/>
    <w:rsid w:val="00434E51"/>
    <w:rsid w:val="00441212"/>
    <w:rsid w:val="00441CC4"/>
    <w:rsid w:val="00442C6B"/>
    <w:rsid w:val="004437D2"/>
    <w:rsid w:val="00445B7B"/>
    <w:rsid w:val="00450F6F"/>
    <w:rsid w:val="00456023"/>
    <w:rsid w:val="00460FE1"/>
    <w:rsid w:val="0046300F"/>
    <w:rsid w:val="00466DB7"/>
    <w:rsid w:val="00467D0F"/>
    <w:rsid w:val="00471C62"/>
    <w:rsid w:val="004725BF"/>
    <w:rsid w:val="004751CE"/>
    <w:rsid w:val="0047771C"/>
    <w:rsid w:val="0048081E"/>
    <w:rsid w:val="004825D1"/>
    <w:rsid w:val="00487103"/>
    <w:rsid w:val="00487BE4"/>
    <w:rsid w:val="00495FA1"/>
    <w:rsid w:val="00496FAA"/>
    <w:rsid w:val="0049713B"/>
    <w:rsid w:val="004A4039"/>
    <w:rsid w:val="004A54F9"/>
    <w:rsid w:val="004B1618"/>
    <w:rsid w:val="004B1EFB"/>
    <w:rsid w:val="004B3754"/>
    <w:rsid w:val="004B56DD"/>
    <w:rsid w:val="004B5789"/>
    <w:rsid w:val="004B6536"/>
    <w:rsid w:val="004B7507"/>
    <w:rsid w:val="004C7620"/>
    <w:rsid w:val="004D0B61"/>
    <w:rsid w:val="004D1B89"/>
    <w:rsid w:val="004E36D1"/>
    <w:rsid w:val="004E39D6"/>
    <w:rsid w:val="004E7C73"/>
    <w:rsid w:val="004E7D0F"/>
    <w:rsid w:val="004F6F7B"/>
    <w:rsid w:val="004F746B"/>
    <w:rsid w:val="00500C73"/>
    <w:rsid w:val="00501352"/>
    <w:rsid w:val="005022E1"/>
    <w:rsid w:val="005026BE"/>
    <w:rsid w:val="0050598E"/>
    <w:rsid w:val="005100C2"/>
    <w:rsid w:val="00511D69"/>
    <w:rsid w:val="00511DAC"/>
    <w:rsid w:val="0051623C"/>
    <w:rsid w:val="0052053E"/>
    <w:rsid w:val="00523D66"/>
    <w:rsid w:val="00523FCE"/>
    <w:rsid w:val="00524345"/>
    <w:rsid w:val="005245A8"/>
    <w:rsid w:val="00524F23"/>
    <w:rsid w:val="00533765"/>
    <w:rsid w:val="005427CD"/>
    <w:rsid w:val="005518C5"/>
    <w:rsid w:val="00554239"/>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2CD3"/>
    <w:rsid w:val="005C3888"/>
    <w:rsid w:val="005C740E"/>
    <w:rsid w:val="005C7C13"/>
    <w:rsid w:val="005D36A7"/>
    <w:rsid w:val="005D6D21"/>
    <w:rsid w:val="005E4BE4"/>
    <w:rsid w:val="005E78B7"/>
    <w:rsid w:val="005F0AA7"/>
    <w:rsid w:val="005F35E0"/>
    <w:rsid w:val="005F3D34"/>
    <w:rsid w:val="005F500A"/>
    <w:rsid w:val="005F5B65"/>
    <w:rsid w:val="00600B43"/>
    <w:rsid w:val="00600D7F"/>
    <w:rsid w:val="006010B6"/>
    <w:rsid w:val="006028F5"/>
    <w:rsid w:val="00604E74"/>
    <w:rsid w:val="00605514"/>
    <w:rsid w:val="006060BF"/>
    <w:rsid w:val="00606753"/>
    <w:rsid w:val="00606C0E"/>
    <w:rsid w:val="00613784"/>
    <w:rsid w:val="006206DF"/>
    <w:rsid w:val="006218D4"/>
    <w:rsid w:val="00621C1A"/>
    <w:rsid w:val="00622E68"/>
    <w:rsid w:val="00624174"/>
    <w:rsid w:val="00624F16"/>
    <w:rsid w:val="00626705"/>
    <w:rsid w:val="00626D6F"/>
    <w:rsid w:val="006276EF"/>
    <w:rsid w:val="00632B02"/>
    <w:rsid w:val="006349DA"/>
    <w:rsid w:val="00634A0E"/>
    <w:rsid w:val="00637F0F"/>
    <w:rsid w:val="00640690"/>
    <w:rsid w:val="0064084A"/>
    <w:rsid w:val="006427F7"/>
    <w:rsid w:val="006473AC"/>
    <w:rsid w:val="00647405"/>
    <w:rsid w:val="00654611"/>
    <w:rsid w:val="00656531"/>
    <w:rsid w:val="00657A82"/>
    <w:rsid w:val="006623CA"/>
    <w:rsid w:val="006628B5"/>
    <w:rsid w:val="0066408C"/>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96692"/>
    <w:rsid w:val="006A6ADD"/>
    <w:rsid w:val="006A7E87"/>
    <w:rsid w:val="006B0B15"/>
    <w:rsid w:val="006B3051"/>
    <w:rsid w:val="006C0103"/>
    <w:rsid w:val="006C17FF"/>
    <w:rsid w:val="006C39CB"/>
    <w:rsid w:val="006C4DD9"/>
    <w:rsid w:val="006C609A"/>
    <w:rsid w:val="006D1871"/>
    <w:rsid w:val="006D2F0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64CB"/>
    <w:rsid w:val="00730D84"/>
    <w:rsid w:val="00731507"/>
    <w:rsid w:val="00737C74"/>
    <w:rsid w:val="00737EFF"/>
    <w:rsid w:val="00742C75"/>
    <w:rsid w:val="00745302"/>
    <w:rsid w:val="007466D0"/>
    <w:rsid w:val="00746751"/>
    <w:rsid w:val="007523A6"/>
    <w:rsid w:val="00752AB6"/>
    <w:rsid w:val="00753B77"/>
    <w:rsid w:val="00757953"/>
    <w:rsid w:val="007579D2"/>
    <w:rsid w:val="00757E25"/>
    <w:rsid w:val="00761692"/>
    <w:rsid w:val="00764742"/>
    <w:rsid w:val="00764C22"/>
    <w:rsid w:val="007667BE"/>
    <w:rsid w:val="00772C51"/>
    <w:rsid w:val="00775837"/>
    <w:rsid w:val="00776728"/>
    <w:rsid w:val="00781DBF"/>
    <w:rsid w:val="00783979"/>
    <w:rsid w:val="00793087"/>
    <w:rsid w:val="007A3157"/>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222"/>
    <w:rsid w:val="007D7676"/>
    <w:rsid w:val="007E0AFE"/>
    <w:rsid w:val="007E3BA6"/>
    <w:rsid w:val="007E4520"/>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032A"/>
    <w:rsid w:val="008816DA"/>
    <w:rsid w:val="008867C4"/>
    <w:rsid w:val="008A2D60"/>
    <w:rsid w:val="008B0029"/>
    <w:rsid w:val="008B2F90"/>
    <w:rsid w:val="008B6605"/>
    <w:rsid w:val="008C325B"/>
    <w:rsid w:val="008C72F6"/>
    <w:rsid w:val="008D6D8E"/>
    <w:rsid w:val="008E0897"/>
    <w:rsid w:val="008E4667"/>
    <w:rsid w:val="008E6C29"/>
    <w:rsid w:val="008E7D2F"/>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18E2"/>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559F"/>
    <w:rsid w:val="009D6B6A"/>
    <w:rsid w:val="009D7620"/>
    <w:rsid w:val="009E2897"/>
    <w:rsid w:val="009E3A69"/>
    <w:rsid w:val="009E72F7"/>
    <w:rsid w:val="009F0322"/>
    <w:rsid w:val="00A01BF8"/>
    <w:rsid w:val="00A05E52"/>
    <w:rsid w:val="00A118A1"/>
    <w:rsid w:val="00A12CFB"/>
    <w:rsid w:val="00A134ED"/>
    <w:rsid w:val="00A1615C"/>
    <w:rsid w:val="00A17C9B"/>
    <w:rsid w:val="00A23DF7"/>
    <w:rsid w:val="00A25527"/>
    <w:rsid w:val="00A27732"/>
    <w:rsid w:val="00A2776B"/>
    <w:rsid w:val="00A3064F"/>
    <w:rsid w:val="00A36D3C"/>
    <w:rsid w:val="00A437EA"/>
    <w:rsid w:val="00A50627"/>
    <w:rsid w:val="00A532FB"/>
    <w:rsid w:val="00A551D2"/>
    <w:rsid w:val="00A552F3"/>
    <w:rsid w:val="00A55528"/>
    <w:rsid w:val="00A62D25"/>
    <w:rsid w:val="00A630D3"/>
    <w:rsid w:val="00A63E52"/>
    <w:rsid w:val="00A66B48"/>
    <w:rsid w:val="00A6764D"/>
    <w:rsid w:val="00A67EAD"/>
    <w:rsid w:val="00A72227"/>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2B05"/>
    <w:rsid w:val="00AB3231"/>
    <w:rsid w:val="00AB7CEE"/>
    <w:rsid w:val="00AC00A3"/>
    <w:rsid w:val="00AC2882"/>
    <w:rsid w:val="00AC42C3"/>
    <w:rsid w:val="00AD294C"/>
    <w:rsid w:val="00AD2B70"/>
    <w:rsid w:val="00AE038D"/>
    <w:rsid w:val="00AE2C8E"/>
    <w:rsid w:val="00AE35EF"/>
    <w:rsid w:val="00AE699F"/>
    <w:rsid w:val="00AF0792"/>
    <w:rsid w:val="00AF2564"/>
    <w:rsid w:val="00AF395D"/>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491C"/>
    <w:rsid w:val="00B865C9"/>
    <w:rsid w:val="00B974B4"/>
    <w:rsid w:val="00BA0477"/>
    <w:rsid w:val="00BA05E6"/>
    <w:rsid w:val="00BA1575"/>
    <w:rsid w:val="00BA30C8"/>
    <w:rsid w:val="00BA6711"/>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359D"/>
    <w:rsid w:val="00BE5647"/>
    <w:rsid w:val="00BF45E1"/>
    <w:rsid w:val="00C01ECA"/>
    <w:rsid w:val="00C02D77"/>
    <w:rsid w:val="00C02FD2"/>
    <w:rsid w:val="00C064C9"/>
    <w:rsid w:val="00C065B7"/>
    <w:rsid w:val="00C15786"/>
    <w:rsid w:val="00C17A94"/>
    <w:rsid w:val="00C17D61"/>
    <w:rsid w:val="00C25035"/>
    <w:rsid w:val="00C33121"/>
    <w:rsid w:val="00C352F7"/>
    <w:rsid w:val="00C362CC"/>
    <w:rsid w:val="00C40ADD"/>
    <w:rsid w:val="00C43BC5"/>
    <w:rsid w:val="00C45C87"/>
    <w:rsid w:val="00C45CD2"/>
    <w:rsid w:val="00C525FE"/>
    <w:rsid w:val="00C54C20"/>
    <w:rsid w:val="00C612C6"/>
    <w:rsid w:val="00C664D6"/>
    <w:rsid w:val="00C7019F"/>
    <w:rsid w:val="00C7371C"/>
    <w:rsid w:val="00C83BF2"/>
    <w:rsid w:val="00C90D7D"/>
    <w:rsid w:val="00C91D41"/>
    <w:rsid w:val="00C9310D"/>
    <w:rsid w:val="00C93BF8"/>
    <w:rsid w:val="00C955AD"/>
    <w:rsid w:val="00C96FFD"/>
    <w:rsid w:val="00CA08F5"/>
    <w:rsid w:val="00CA1A9B"/>
    <w:rsid w:val="00CB027D"/>
    <w:rsid w:val="00CB0B28"/>
    <w:rsid w:val="00CB318E"/>
    <w:rsid w:val="00CB3F99"/>
    <w:rsid w:val="00CB7579"/>
    <w:rsid w:val="00CC08E3"/>
    <w:rsid w:val="00CC5AE7"/>
    <w:rsid w:val="00CD1AF6"/>
    <w:rsid w:val="00CD3967"/>
    <w:rsid w:val="00CD6293"/>
    <w:rsid w:val="00CF173A"/>
    <w:rsid w:val="00CF365D"/>
    <w:rsid w:val="00CF4BE4"/>
    <w:rsid w:val="00CF616E"/>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2665"/>
    <w:rsid w:val="00D3137C"/>
    <w:rsid w:val="00D31394"/>
    <w:rsid w:val="00D42404"/>
    <w:rsid w:val="00D441B8"/>
    <w:rsid w:val="00D450C1"/>
    <w:rsid w:val="00D45D67"/>
    <w:rsid w:val="00D5108C"/>
    <w:rsid w:val="00D5178A"/>
    <w:rsid w:val="00D52574"/>
    <w:rsid w:val="00D528A5"/>
    <w:rsid w:val="00D52EE3"/>
    <w:rsid w:val="00D563F9"/>
    <w:rsid w:val="00D658F8"/>
    <w:rsid w:val="00D70F20"/>
    <w:rsid w:val="00D71AC5"/>
    <w:rsid w:val="00D76683"/>
    <w:rsid w:val="00D77AB6"/>
    <w:rsid w:val="00D808C9"/>
    <w:rsid w:val="00D82CD3"/>
    <w:rsid w:val="00D83BAE"/>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F5AA9"/>
    <w:rsid w:val="00DF77A0"/>
    <w:rsid w:val="00E022BD"/>
    <w:rsid w:val="00E02EC1"/>
    <w:rsid w:val="00E03494"/>
    <w:rsid w:val="00E04FD8"/>
    <w:rsid w:val="00E055E3"/>
    <w:rsid w:val="00E05BDB"/>
    <w:rsid w:val="00E10267"/>
    <w:rsid w:val="00E12F79"/>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3D9B"/>
    <w:rsid w:val="00EA58E6"/>
    <w:rsid w:val="00EA7F37"/>
    <w:rsid w:val="00EA7FF3"/>
    <w:rsid w:val="00EB14DA"/>
    <w:rsid w:val="00EB410A"/>
    <w:rsid w:val="00EB413C"/>
    <w:rsid w:val="00EB726D"/>
    <w:rsid w:val="00EC4071"/>
    <w:rsid w:val="00EC5341"/>
    <w:rsid w:val="00EC764A"/>
    <w:rsid w:val="00ED1BC8"/>
    <w:rsid w:val="00ED28F2"/>
    <w:rsid w:val="00ED3400"/>
    <w:rsid w:val="00ED6511"/>
    <w:rsid w:val="00EE3986"/>
    <w:rsid w:val="00EE3CC6"/>
    <w:rsid w:val="00EE6500"/>
    <w:rsid w:val="00EF0317"/>
    <w:rsid w:val="00EF2BD1"/>
    <w:rsid w:val="00EF36B7"/>
    <w:rsid w:val="00EF3FDB"/>
    <w:rsid w:val="00EF6B3D"/>
    <w:rsid w:val="00EF6C6E"/>
    <w:rsid w:val="00F00607"/>
    <w:rsid w:val="00F04C6C"/>
    <w:rsid w:val="00F130CE"/>
    <w:rsid w:val="00F17800"/>
    <w:rsid w:val="00F23109"/>
    <w:rsid w:val="00F262C7"/>
    <w:rsid w:val="00F30253"/>
    <w:rsid w:val="00F338EC"/>
    <w:rsid w:val="00F40B8C"/>
    <w:rsid w:val="00F417F4"/>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B0278"/>
    <w:rsid w:val="00FB39D0"/>
    <w:rsid w:val="00FB4966"/>
    <w:rsid w:val="00FB4CB6"/>
    <w:rsid w:val="00FB4DE0"/>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E433D8F"/>
    <w:rsid w:val="15EB89ED"/>
    <w:rsid w:val="1C5D665B"/>
    <w:rsid w:val="1CBD53FA"/>
    <w:rsid w:val="1FDE283D"/>
    <w:rsid w:val="1FFA34B9"/>
    <w:rsid w:val="23C8760C"/>
    <w:rsid w:val="2BEB97DE"/>
    <w:rsid w:val="2DFFACD4"/>
    <w:rsid w:val="2E6B73DF"/>
    <w:rsid w:val="2E7FA8EA"/>
    <w:rsid w:val="2F3C0145"/>
    <w:rsid w:val="2F7E7E69"/>
    <w:rsid w:val="2FE5083E"/>
    <w:rsid w:val="39B22528"/>
    <w:rsid w:val="3BE752E3"/>
    <w:rsid w:val="3CEF1C8A"/>
    <w:rsid w:val="3D9787ED"/>
    <w:rsid w:val="3DD5964B"/>
    <w:rsid w:val="3EA30D63"/>
    <w:rsid w:val="3EDFEDC6"/>
    <w:rsid w:val="3EFE5DB0"/>
    <w:rsid w:val="3FF49A49"/>
    <w:rsid w:val="3FF77CA5"/>
    <w:rsid w:val="3FFB46EC"/>
    <w:rsid w:val="3FFF8DDB"/>
    <w:rsid w:val="3FFFA9F3"/>
    <w:rsid w:val="438B1486"/>
    <w:rsid w:val="44FECC3D"/>
    <w:rsid w:val="451C1DA9"/>
    <w:rsid w:val="45BE19FE"/>
    <w:rsid w:val="48FFD267"/>
    <w:rsid w:val="4AAF17C9"/>
    <w:rsid w:val="4CB55BC5"/>
    <w:rsid w:val="4D75CE6C"/>
    <w:rsid w:val="4EF3754A"/>
    <w:rsid w:val="4EF7B269"/>
    <w:rsid w:val="4F7A8BDA"/>
    <w:rsid w:val="4F7FAB3D"/>
    <w:rsid w:val="4FE5FAE4"/>
    <w:rsid w:val="509FF2A7"/>
    <w:rsid w:val="53FDF3AF"/>
    <w:rsid w:val="57FA7859"/>
    <w:rsid w:val="57FFD977"/>
    <w:rsid w:val="5B9F4F84"/>
    <w:rsid w:val="5BBF714D"/>
    <w:rsid w:val="5BCD1546"/>
    <w:rsid w:val="5CF6C8F9"/>
    <w:rsid w:val="5F9FED35"/>
    <w:rsid w:val="5FB321A3"/>
    <w:rsid w:val="5FBBEADD"/>
    <w:rsid w:val="5FDDE917"/>
    <w:rsid w:val="5FF78169"/>
    <w:rsid w:val="5FFE798A"/>
    <w:rsid w:val="5FFF86C5"/>
    <w:rsid w:val="63DF74EE"/>
    <w:rsid w:val="6582F447"/>
    <w:rsid w:val="65BB5456"/>
    <w:rsid w:val="65EFADDD"/>
    <w:rsid w:val="66F7BF53"/>
    <w:rsid w:val="67FC6099"/>
    <w:rsid w:val="6A324FF0"/>
    <w:rsid w:val="6B7592EF"/>
    <w:rsid w:val="6BBC3E61"/>
    <w:rsid w:val="6BBECB59"/>
    <w:rsid w:val="6BE7C33C"/>
    <w:rsid w:val="6BFBDD11"/>
    <w:rsid w:val="6CFFB76F"/>
    <w:rsid w:val="6D77FC8E"/>
    <w:rsid w:val="6D7F559A"/>
    <w:rsid w:val="6DF190A3"/>
    <w:rsid w:val="6DF3A5AB"/>
    <w:rsid w:val="6E5B909B"/>
    <w:rsid w:val="6F7D2B3A"/>
    <w:rsid w:val="6F9F0844"/>
    <w:rsid w:val="6FB3B9C5"/>
    <w:rsid w:val="6FCE6246"/>
    <w:rsid w:val="6FDE62AD"/>
    <w:rsid w:val="70F7CFA0"/>
    <w:rsid w:val="72DDD1AC"/>
    <w:rsid w:val="737DF8F0"/>
    <w:rsid w:val="73BE50CA"/>
    <w:rsid w:val="73E7A1BC"/>
    <w:rsid w:val="73FB1765"/>
    <w:rsid w:val="74F3C6EC"/>
    <w:rsid w:val="75CA6057"/>
    <w:rsid w:val="76FF1CFC"/>
    <w:rsid w:val="776CECA7"/>
    <w:rsid w:val="776E85EF"/>
    <w:rsid w:val="77F78356"/>
    <w:rsid w:val="77FB9D72"/>
    <w:rsid w:val="77FDECAF"/>
    <w:rsid w:val="79AA503D"/>
    <w:rsid w:val="79DA103D"/>
    <w:rsid w:val="7AFFEE7B"/>
    <w:rsid w:val="7B7DBC4E"/>
    <w:rsid w:val="7BF367AC"/>
    <w:rsid w:val="7BFAA841"/>
    <w:rsid w:val="7BFFBCFD"/>
    <w:rsid w:val="7D6B05AB"/>
    <w:rsid w:val="7DBDE62A"/>
    <w:rsid w:val="7DD78487"/>
    <w:rsid w:val="7DE5728F"/>
    <w:rsid w:val="7DF416C5"/>
    <w:rsid w:val="7E7F829A"/>
    <w:rsid w:val="7E8D167B"/>
    <w:rsid w:val="7EBDE828"/>
    <w:rsid w:val="7ED55D03"/>
    <w:rsid w:val="7EEF6B19"/>
    <w:rsid w:val="7EF9AFA0"/>
    <w:rsid w:val="7EFD5268"/>
    <w:rsid w:val="7EFDCDEA"/>
    <w:rsid w:val="7F1FB747"/>
    <w:rsid w:val="7F497E04"/>
    <w:rsid w:val="7F5F5E97"/>
    <w:rsid w:val="7F7D5F07"/>
    <w:rsid w:val="7F7F621A"/>
    <w:rsid w:val="7F921403"/>
    <w:rsid w:val="7FC36EBE"/>
    <w:rsid w:val="7FC3BE5D"/>
    <w:rsid w:val="7FCC3BC4"/>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0FC3A"/>
  <w15:docId w15:val="{65B11654-07DD-45E6-9EC8-33639FBB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83795">
      <w:bodyDiv w:val="1"/>
      <w:marLeft w:val="0"/>
      <w:marRight w:val="0"/>
      <w:marTop w:val="0"/>
      <w:marBottom w:val="0"/>
      <w:divBdr>
        <w:top w:val="none" w:sz="0" w:space="0" w:color="auto"/>
        <w:left w:val="none" w:sz="0" w:space="0" w:color="auto"/>
        <w:bottom w:val="none" w:sz="0" w:space="0" w:color="auto"/>
        <w:right w:val="none" w:sz="0" w:space="0" w:color="auto"/>
      </w:divBdr>
      <w:divsChild>
        <w:div w:id="79835308">
          <w:marLeft w:val="0"/>
          <w:marRight w:val="0"/>
          <w:marTop w:val="0"/>
          <w:marBottom w:val="0"/>
          <w:divBdr>
            <w:top w:val="none" w:sz="0" w:space="0" w:color="auto"/>
            <w:left w:val="none" w:sz="0" w:space="0" w:color="auto"/>
            <w:bottom w:val="none" w:sz="0" w:space="0" w:color="auto"/>
            <w:right w:val="none" w:sz="0" w:space="0" w:color="auto"/>
          </w:divBdr>
        </w:div>
      </w:divsChild>
    </w:div>
    <w:div w:id="1161459831">
      <w:bodyDiv w:val="1"/>
      <w:marLeft w:val="0"/>
      <w:marRight w:val="0"/>
      <w:marTop w:val="0"/>
      <w:marBottom w:val="0"/>
      <w:divBdr>
        <w:top w:val="none" w:sz="0" w:space="0" w:color="auto"/>
        <w:left w:val="none" w:sz="0" w:space="0" w:color="auto"/>
        <w:bottom w:val="none" w:sz="0" w:space="0" w:color="auto"/>
        <w:right w:val="none" w:sz="0" w:space="0" w:color="auto"/>
      </w:divBdr>
      <w:divsChild>
        <w:div w:id="15156086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186E80C6-55AA-4EF9-BB77-70D59B6F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719</Words>
  <Characters>4103</Characters>
  <Application>Microsoft Office Word</Application>
  <DocSecurity>0</DocSecurity>
  <Lines>34</Lines>
  <Paragraphs>9</Paragraphs>
  <ScaleCrop>false</ScaleCrop>
  <Company>微软中国</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Administrator</cp:lastModifiedBy>
  <cp:revision>22</cp:revision>
  <dcterms:created xsi:type="dcterms:W3CDTF">2025-03-31T09:28:00Z</dcterms:created>
  <dcterms:modified xsi:type="dcterms:W3CDTF">2025-03-31T10:58:00Z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EF44B05F6A0C01D85338EA676D1C88C6_43</vt:lpwstr>
  </property>
</Properties>
</file>