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EE" w:rsidRDefault="00B23929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5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95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 xml:space="preserve">                        证券简称：</w:t>
      </w:r>
      <w:proofErr w:type="gramStart"/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芯海科技</w:t>
      </w:r>
      <w:proofErr w:type="gramEnd"/>
    </w:p>
    <w:p w:rsidR="00B23929" w:rsidRDefault="00B23929" w:rsidP="00B23929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 w:rsidRPr="00AA6DBE">
        <w:rPr>
          <w:rFonts w:ascii="宋体" w:eastAsia="宋体" w:hAnsi="宋体" w:cs="Times New Roman"/>
          <w:bCs/>
          <w:iCs/>
          <w:color w:val="000000"/>
          <w:sz w:val="28"/>
        </w:rPr>
        <w:t xml:space="preserve">债券代码：118015         </w:t>
      </w:r>
      <w:r>
        <w:rPr>
          <w:rFonts w:ascii="宋体" w:eastAsia="宋体" w:hAnsi="宋体" w:cs="Times New Roman"/>
          <w:bCs/>
          <w:iCs/>
          <w:color w:val="000000"/>
          <w:sz w:val="28"/>
        </w:rPr>
        <w:t xml:space="preserve">               </w:t>
      </w:r>
      <w:r w:rsidRPr="00AA6DBE">
        <w:rPr>
          <w:rFonts w:ascii="宋体" w:eastAsia="宋体" w:hAnsi="宋体" w:cs="Times New Roman"/>
          <w:bCs/>
          <w:iCs/>
          <w:color w:val="000000"/>
          <w:sz w:val="28"/>
        </w:rPr>
        <w:t>债券简称：</w:t>
      </w:r>
      <w:proofErr w:type="gramStart"/>
      <w:r w:rsidRPr="00AA6DBE">
        <w:rPr>
          <w:rFonts w:ascii="宋体" w:eastAsia="宋体" w:hAnsi="宋体" w:cs="Times New Roman"/>
          <w:bCs/>
          <w:iCs/>
          <w:color w:val="000000"/>
          <w:sz w:val="28"/>
        </w:rPr>
        <w:t>芯海转</w:t>
      </w:r>
      <w:proofErr w:type="gramEnd"/>
      <w:r w:rsidRPr="00AA6DBE">
        <w:rPr>
          <w:rFonts w:ascii="宋体" w:eastAsia="宋体" w:hAnsi="宋体" w:cs="Times New Roman"/>
          <w:bCs/>
          <w:iCs/>
          <w:color w:val="000000"/>
          <w:sz w:val="28"/>
        </w:rPr>
        <w:t>债</w:t>
      </w:r>
    </w:p>
    <w:p w:rsidR="007C49EE" w:rsidRDefault="007C49EE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</w:p>
    <w:p w:rsidR="007C49EE" w:rsidRDefault="00B23929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芯海科技</w:t>
      </w:r>
      <w:proofErr w:type="gramEnd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（深圳）股份有限公司</w:t>
      </w:r>
    </w:p>
    <w:p w:rsidR="007C49EE" w:rsidRDefault="00B23929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7C49EE" w:rsidRDefault="00B23929">
      <w:pPr>
        <w:spacing w:line="400" w:lineRule="exact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编号：2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025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002</w:t>
      </w: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4045"/>
        <w:gridCol w:w="2346"/>
        <w:gridCol w:w="2902"/>
      </w:tblGrid>
      <w:tr w:rsidR="007C49EE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EE" w:rsidRDefault="00B23929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EE" w:rsidRDefault="00B23929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7C49EE" w:rsidRDefault="00B23929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7C49EE" w:rsidRDefault="00B23929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□新闻发布会          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:rsidR="007C49EE" w:rsidRDefault="00B23929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■电话会议</w:t>
            </w:r>
          </w:p>
          <w:p w:rsidR="007C49EE" w:rsidRDefault="00B23929">
            <w:pPr>
              <w:tabs>
                <w:tab w:val="left" w:pos="2808"/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□其他 </w:t>
            </w:r>
          </w:p>
        </w:tc>
      </w:tr>
      <w:tr w:rsidR="007C49EE">
        <w:trPr>
          <w:trHeight w:val="606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EE" w:rsidRDefault="00B23929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日期/时间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EE" w:rsidRDefault="00B23929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2025年4月9日1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5:00-16:30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EE" w:rsidRDefault="00B23929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EE" w:rsidRDefault="00B23929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:rsidR="007C49EE">
        <w:trPr>
          <w:trHeight w:val="4448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EE" w:rsidRDefault="00B23929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EE" w:rsidRDefault="00B23929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公司在AI落地方面有什么新的战略布局吗？</w:t>
            </w:r>
          </w:p>
          <w:p w:rsidR="007C49EE" w:rsidRDefault="00B23929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公司回答：在云端，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芯海科技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和子公司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康柚健康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希望与合作伙伴一起，以芯片与算法为核心优势，借助AI大模型进行数据分析，预测和评估千万用户的健康状况，为用户推送健康信息前瞻提示，助力运动与饮食干预，推动健康生活方式养成。</w:t>
            </w:r>
          </w:p>
          <w:p w:rsidR="007C49EE" w:rsidRDefault="00B23929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在边缘端，智能边缘设备与AI技术逐步融合。边缘AI离客户更近，出于数据隐私与资产保护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考量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，众多企业用户不愿将数据传至云端，倾向私有化部署数据中心，边缘AI正好契合这一需求。能实现定制化、个性化，以低时延、高响应特性，更好匹配场景要求。</w:t>
            </w:r>
          </w:p>
          <w:p w:rsidR="007C49EE" w:rsidRDefault="00B23929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在应用终端，AI技术赋予了各种终端设备更智能化的特性，作为重要的生产力工具，AI应用的落地需要硬件的承载，与各行各业结合，赋能千行百业。在智能汽车、人形机器人、工业物联网、医疗健康等领域，行业应用爆发，从“万物互联”迈向“万物智联”。各类新型智能终端的快速发展，催生了万亿级芯片增量市场，芯片功能从“通用化”转向“场景定制化”。</w:t>
            </w:r>
          </w:p>
          <w:p w:rsidR="007C49EE" w:rsidRDefault="00B23929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公司将加大AI技术方面投入，结合ADC、MCU双平台优势，围绕通信与计算机、机器人、工业高精度测量和汽车等方向布局。公司积极配合AI技术落地不断创新，围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lastRenderedPageBreak/>
              <w:t>绕“云边端”协同和落地，与下游生态深度绑定，为垂直场景提供“芯片+算法+数据”全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栈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方案，力求在市场中占据领先地位，实现企业的快速发展。</w:t>
            </w:r>
          </w:p>
          <w:p w:rsidR="007C49EE" w:rsidRDefault="00B23929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有关人形机器人的内容可以具体展开讲讲吗？公司在研发人形机器人或电子皮肤相关产品中具有什么竞争优势呢？</w:t>
            </w:r>
          </w:p>
          <w:p w:rsidR="007C49EE" w:rsidRDefault="00B23929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人形机器人对半导体的集成度、智能化和感知水平提出了更高要求。在机器人领域，围绕电子皮肤、六维力传感器等关键应用，公司已与相关客户展开探索与合作。例如，ADC是电子皮肤的底层技术之一，高精度ADC能将微小压力变化精准数字化，避免信号模糊。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具有高精度、高线性度、低温漂等特性，且布局广泛、应用场景众多。机器人的感知、决策、执行等动作需要电子皮肤、六维力传感器、空心杯电机等设备作为基础桥梁，而这些设备的精确运转离不开对应的高精度ADC、MCU、触觉反馈芯片、传感器调理芯片、压力触控芯片等硬件的支持。</w:t>
            </w:r>
          </w:p>
          <w:p w:rsidR="007C49EE" w:rsidRDefault="00B23929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公司在PC业务的布局规划？产品的核心竞争力来自于哪里？</w:t>
            </w:r>
          </w:p>
          <w:p w:rsidR="007C49EE" w:rsidRDefault="00B23929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公司回答：AI带来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算力需求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迅猛增长，带来了满足海量数据计算的高性能处理器芯片需求，公司基于自身深厚的技术积累，已实现了以EC为核心，覆盖PD、</w:t>
            </w:r>
            <w:proofErr w:type="spell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HapticPad</w:t>
            </w:r>
            <w:proofErr w:type="spell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、USB 3.0 HUB、BMS的横向产品布局；同时，也完成了从AI PC、笔记本电脑到台式机、工控机、边缘计算及服务器的EC、SIO、edge BMC的纵向产品布局。公司EC是大陆首个通过Intel国际认证的EC产品，同时也通过了计算机全球龙头企业验证，打破了海外产品对于此市场的垄断，能够满足各种品类计算机的需求，目前已经完成和国内外各大主流笔记本厂家的适配工作。荣耀首款AI PC </w:t>
            </w:r>
            <w:proofErr w:type="spell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MagicBook</w:t>
            </w:r>
            <w:proofErr w:type="spell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Pro 16已于报告期内发布，该产品搭载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了芯海科技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高性能EC芯片；USB 3.0 HUB产品已在客户端实现量产；应用于台式计算机的第一代Super IO产品已经导入客户端。截至2024年年末，EC累计出货量近1，000万颗。</w:t>
            </w:r>
          </w:p>
          <w:p w:rsidR="007C49EE" w:rsidRDefault="00B23929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随着AI大模型的衍生应用不断推出，许多终端开始升级智能化体验，从而产生了海量的终端数据分析处理需求。企业的业务部署场景和数据产生正在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向端侧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、边缘侧“迁移”。公司针对边缘计算及服务器市场的轻量级edge BMC管理芯片，已经上市并开始导入客户端。</w:t>
            </w:r>
          </w:p>
          <w:p w:rsidR="007C49EE" w:rsidRDefault="00B23929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公司凭借20余年高精度ADC技术积累及高可靠性MCU技术壁垒，构建了覆盖从计算机到服务器领域的全系列产品，并进入荣耀、Intel等头部客户供应链。通过“感知+计算+连接+算法”全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栈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技术整合和生态协同，形成深度客户黏性。未来，公司仍将坚持以“驱动计算、服务计算”为方向，助力PC从“生产力工具”进化为“智能伙伴”，与行业伙伴共同开启AI 时代PC的无限可能。</w:t>
            </w:r>
          </w:p>
          <w:p w:rsidR="007C49EE" w:rsidRDefault="00B23929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  <w:t>请问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  <w:t>的鸿蒙生态布局规划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:rsidR="007C49EE" w:rsidRDefault="00B23929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</w:t>
            </w:r>
            <w:r w:rsidR="001F49E3"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是</w:t>
            </w:r>
            <w:proofErr w:type="gramEnd"/>
            <w:r w:rsidR="001F49E3"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鸿蒙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的生态合作伙伴。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芯海注重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技术创新和研发投入，在能力、产品、商业布局上的突出亮点包括强大的模拟芯片和MCU设计能力，以及针对物联网市场的全面解决方案，基于此，公司持续向轻量级设备领域厂商提供具有市场竞争力的创新产品。此外，作为轻量级设备领域与鸿蒙生态互联互通的桥梁，公司不仅提供产品，还提供使能服务，帮助中小企业更好地融入鸿蒙生态。通过软硬服务一体化与鸿蒙合作，在开源鸿蒙中参与标准建设及共创，例如智能仪表产品的出货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量稳定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上升。随着鸿蒙连接数和品类的不断增长和扩展，我们看到鸿蒙生态系统正在不断壮大和完善。</w:t>
            </w:r>
          </w:p>
          <w:p w:rsidR="007C49EE" w:rsidRDefault="00B23929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截至2024年末，公司已成功导入300余个鸿蒙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智联项目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商机，完成115个SKU的产品接入，终端产品累计出货量近4,000万台。在电力细分市场，公司通过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了电鸿模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组认证。2025年，公司成功进入“鸿蒙智联推荐模组”名单。</w:t>
            </w:r>
          </w:p>
          <w:p w:rsidR="007C49EE" w:rsidRDefault="00B23929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  <w:t>面对半导体行业的外部压力和技术封锁以及近期一系列黑天鹅事件，公司供应链稳定性如何保障？</w:t>
            </w:r>
          </w:p>
          <w:p w:rsidR="007C49EE" w:rsidRDefault="00B23929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公司坚持走自主创新之路，核心产品基本实现全国产化供应链，相关风险较低。目前公司在手机、笔记本电脑、无人机等领域，突破了长期被海外企业垄断的市场，已有多款芯片成功实现了国产替代，如高精度ADC芯片，EC系列芯片，PD芯片，BMS芯片，传感器调理芯片等。</w:t>
            </w:r>
          </w:p>
          <w:p w:rsidR="007C49EE" w:rsidRDefault="00B23929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一直以来，公司高度重视供应</w:t>
            </w:r>
            <w:proofErr w:type="gramStart"/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链能力</w:t>
            </w:r>
            <w:proofErr w:type="gramEnd"/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建设，在供应商选择上与产业链领先的厂商合作，并与上游晶圆制造商、封装测试厂商建立高效的联运机制与长期稳定的合作关系。公司积极建立产品多</w:t>
            </w:r>
            <w:proofErr w:type="gramStart"/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源供应</w:t>
            </w:r>
            <w:proofErr w:type="gramEnd"/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的供应链体系，有利于公司供应链安全，且能有效的保障公司产能供给，降低产能波动对公司产品交付及时性的影响。面对近期一系列黑天鹅事件，公司将持续紧抓“国产替代”的发展机遇，积极做好各项工作，基于对细分市场及应用场景的深刻理解，以更创新的产品及优质服务来满足用户需求，在战略主航道内逐步实现国产替代。</w:t>
            </w:r>
          </w:p>
          <w:p w:rsidR="007C49EE" w:rsidRDefault="00B23929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公司2024年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营收创历史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新高，但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归母净利润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仍亏损，主要原因是什么？</w:t>
            </w:r>
          </w:p>
          <w:p w:rsidR="007C49EE" w:rsidRDefault="00B23929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2019年，根据国内外形势的变化，公司战略进行了重大调整，从传统的中低端消费电子向汽车电子、计算机与通信、手机、BMS、工业控制等高端领域转型。其中核心的产品都是性能较高的SOC类产品，应用场景复杂，技术难度大，可靠性要求高，研发周期长，因此研发投入有较大幅度增长。经过几年的战略投入，2022年底开始，公司相关产品开始陆续推出，并在手机、PC、无人机等领域的头部客户取得突破，新产品的销售量和销售额都持续上升，因此2024年，得益于前期战略投入的成果逐步显现，叠加公司通过深化品牌价值与核心客户的战略合作，同时依托上游产业链的充足产能保障。2024年公司实现营业收入7.02亿元，同比上年增长62.22%，实现归属于上市公司股东的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归母净利润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-17,287.36万元，剔除股份支付的影响后，较上年同期亏损缩窄9,169.48万元。亏损主要由于股份支付费用较高（研发费用剔除股份支付后同比增长8.01%）。</w:t>
            </w:r>
          </w:p>
          <w:p w:rsidR="007C49EE" w:rsidRDefault="00B23929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  <w:t>2024年毛利率提升至34.18%，主要驱动因素是什么？这一趋势能否持续？</w:t>
            </w:r>
          </w:p>
          <w:p w:rsidR="007C49EE" w:rsidRDefault="00B23929" w:rsidP="005F555C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随着前几年的战略布局，2024年，随着业绩持续增长，产品结构发生了变化，毛利率提升源于新品占比提升。2025年，将随着前期战略投入的产出继续显现，持续优化产品结构，有望对毛利率带来积极贡献。</w:t>
            </w:r>
          </w:p>
        </w:tc>
      </w:tr>
      <w:tr w:rsidR="007C49EE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EE" w:rsidRDefault="00B23929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:rsidR="007C49EE" w:rsidRDefault="00B23929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EE" w:rsidRDefault="00B23929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</w:p>
        </w:tc>
      </w:tr>
      <w:tr w:rsidR="007C49EE">
        <w:trPr>
          <w:jc w:val="center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EE" w:rsidRDefault="00B23929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以下为本次活动参与人员签字页</w:t>
            </w:r>
          </w:p>
        </w:tc>
      </w:tr>
      <w:tr w:rsidR="007C49EE">
        <w:trPr>
          <w:trHeight w:hRule="exact" w:val="2028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EE" w:rsidRDefault="00B23929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EE" w:rsidRDefault="00B23929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线上参与公司2024年年度</w:t>
            </w:r>
            <w:bookmarkStart w:id="0" w:name="_GoBack"/>
            <w:bookmarkEnd w:id="0"/>
            <w:r w:rsidR="00E36CC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报告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投资者交流说明会的投资者</w:t>
            </w:r>
          </w:p>
        </w:tc>
      </w:tr>
      <w:tr w:rsidR="007C49EE">
        <w:trPr>
          <w:trHeight w:hRule="exact" w:val="1792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EE" w:rsidRDefault="00B23929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EE" w:rsidRDefault="00B23929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董事、副总经理 万 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巍</w:t>
            </w:r>
            <w:proofErr w:type="gramEnd"/>
          </w:p>
          <w:p w:rsidR="007C49EE" w:rsidRDefault="00B23929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董事、财务总监 谭兰兰</w:t>
            </w:r>
          </w:p>
          <w:p w:rsidR="007C49EE" w:rsidRDefault="00B23929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 张娟苓</w:t>
            </w:r>
          </w:p>
        </w:tc>
      </w:tr>
    </w:tbl>
    <w:p w:rsidR="007C49EE" w:rsidRDefault="007C49EE"/>
    <w:p w:rsidR="007C49EE" w:rsidRDefault="007C49EE"/>
    <w:p w:rsidR="007C49EE" w:rsidRDefault="007C49EE"/>
    <w:p w:rsidR="007C49EE" w:rsidRDefault="007C49EE"/>
    <w:sectPr w:rsidR="007C4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42B47"/>
    <w:multiLevelType w:val="multilevel"/>
    <w:tmpl w:val="59F42B47"/>
    <w:lvl w:ilvl="0">
      <w:start w:val="1"/>
      <w:numFmt w:val="decimal"/>
      <w:lvlText w:val="%1、"/>
      <w:lvlJc w:val="left"/>
      <w:pPr>
        <w:ind w:left="9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1" w:hanging="420"/>
      </w:pPr>
    </w:lvl>
    <w:lvl w:ilvl="2">
      <w:start w:val="1"/>
      <w:numFmt w:val="lowerRoman"/>
      <w:lvlText w:val="%3."/>
      <w:lvlJc w:val="right"/>
      <w:pPr>
        <w:ind w:left="1501" w:hanging="420"/>
      </w:pPr>
    </w:lvl>
    <w:lvl w:ilvl="3">
      <w:start w:val="1"/>
      <w:numFmt w:val="decimal"/>
      <w:lvlText w:val="%4."/>
      <w:lvlJc w:val="left"/>
      <w:pPr>
        <w:ind w:left="1921" w:hanging="420"/>
      </w:pPr>
    </w:lvl>
    <w:lvl w:ilvl="4">
      <w:start w:val="1"/>
      <w:numFmt w:val="lowerLetter"/>
      <w:lvlText w:val="%5)"/>
      <w:lvlJc w:val="left"/>
      <w:pPr>
        <w:ind w:left="2341" w:hanging="420"/>
      </w:pPr>
    </w:lvl>
    <w:lvl w:ilvl="5">
      <w:start w:val="1"/>
      <w:numFmt w:val="lowerRoman"/>
      <w:lvlText w:val="%6."/>
      <w:lvlJc w:val="right"/>
      <w:pPr>
        <w:ind w:left="2761" w:hanging="420"/>
      </w:pPr>
    </w:lvl>
    <w:lvl w:ilvl="6">
      <w:start w:val="1"/>
      <w:numFmt w:val="decimal"/>
      <w:lvlText w:val="%7."/>
      <w:lvlJc w:val="left"/>
      <w:pPr>
        <w:ind w:left="3181" w:hanging="420"/>
      </w:pPr>
    </w:lvl>
    <w:lvl w:ilvl="7">
      <w:start w:val="1"/>
      <w:numFmt w:val="lowerLetter"/>
      <w:lvlText w:val="%8)"/>
      <w:lvlJc w:val="left"/>
      <w:pPr>
        <w:ind w:left="3601" w:hanging="420"/>
      </w:pPr>
    </w:lvl>
    <w:lvl w:ilvl="8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872BF"/>
    <w:rsid w:val="001F49E3"/>
    <w:rsid w:val="005F555C"/>
    <w:rsid w:val="007C49EE"/>
    <w:rsid w:val="00B23929"/>
    <w:rsid w:val="00E36CCF"/>
    <w:rsid w:val="01CB4D22"/>
    <w:rsid w:val="02D01988"/>
    <w:rsid w:val="03BC2B91"/>
    <w:rsid w:val="04DE4B12"/>
    <w:rsid w:val="04E34DC8"/>
    <w:rsid w:val="066602B0"/>
    <w:rsid w:val="0B4F0759"/>
    <w:rsid w:val="0BCD51F8"/>
    <w:rsid w:val="0E640E73"/>
    <w:rsid w:val="0E97168B"/>
    <w:rsid w:val="13F9184E"/>
    <w:rsid w:val="142C44D2"/>
    <w:rsid w:val="160D5DEB"/>
    <w:rsid w:val="18972E24"/>
    <w:rsid w:val="1B2E094C"/>
    <w:rsid w:val="1B5A6223"/>
    <w:rsid w:val="1E533EAD"/>
    <w:rsid w:val="21473D75"/>
    <w:rsid w:val="21A803FA"/>
    <w:rsid w:val="25B74971"/>
    <w:rsid w:val="29617926"/>
    <w:rsid w:val="2B5C0BE8"/>
    <w:rsid w:val="2C50584E"/>
    <w:rsid w:val="2C80321E"/>
    <w:rsid w:val="2D3B2FA2"/>
    <w:rsid w:val="33AA18C5"/>
    <w:rsid w:val="348B3080"/>
    <w:rsid w:val="35BF1F81"/>
    <w:rsid w:val="367630D9"/>
    <w:rsid w:val="38462D56"/>
    <w:rsid w:val="38762E80"/>
    <w:rsid w:val="39133BA7"/>
    <w:rsid w:val="3BD44332"/>
    <w:rsid w:val="3ED74F9B"/>
    <w:rsid w:val="3F9C6863"/>
    <w:rsid w:val="413A353A"/>
    <w:rsid w:val="417C2021"/>
    <w:rsid w:val="432A4F26"/>
    <w:rsid w:val="43ED1E24"/>
    <w:rsid w:val="44026277"/>
    <w:rsid w:val="449C0461"/>
    <w:rsid w:val="44B95A35"/>
    <w:rsid w:val="45515741"/>
    <w:rsid w:val="48195BEB"/>
    <w:rsid w:val="492D2BAA"/>
    <w:rsid w:val="4AF15204"/>
    <w:rsid w:val="4E5300A7"/>
    <w:rsid w:val="4F005079"/>
    <w:rsid w:val="4F81082D"/>
    <w:rsid w:val="4F8C2664"/>
    <w:rsid w:val="504B66F6"/>
    <w:rsid w:val="505E0AEC"/>
    <w:rsid w:val="517D5722"/>
    <w:rsid w:val="51852684"/>
    <w:rsid w:val="52D535AB"/>
    <w:rsid w:val="56230B49"/>
    <w:rsid w:val="57B305DF"/>
    <w:rsid w:val="59692302"/>
    <w:rsid w:val="5A5F540D"/>
    <w:rsid w:val="5AD31534"/>
    <w:rsid w:val="5C6C631E"/>
    <w:rsid w:val="614743B7"/>
    <w:rsid w:val="6200526F"/>
    <w:rsid w:val="665D27CA"/>
    <w:rsid w:val="670E0286"/>
    <w:rsid w:val="67DF78C7"/>
    <w:rsid w:val="6C0E0771"/>
    <w:rsid w:val="6C5F0D02"/>
    <w:rsid w:val="6C6815CE"/>
    <w:rsid w:val="6FA872BF"/>
    <w:rsid w:val="70985C36"/>
    <w:rsid w:val="71A269BD"/>
    <w:rsid w:val="73A66CA6"/>
    <w:rsid w:val="74387A6F"/>
    <w:rsid w:val="753405C8"/>
    <w:rsid w:val="77106333"/>
    <w:rsid w:val="777A671F"/>
    <w:rsid w:val="77CF6BFC"/>
    <w:rsid w:val="792B3D86"/>
    <w:rsid w:val="7A117749"/>
    <w:rsid w:val="7B4502EF"/>
    <w:rsid w:val="7D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ED525D-76FE-445B-B8B5-C3C7A0DF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a5"/>
    <w:rsid w:val="00B23929"/>
    <w:rPr>
      <w:sz w:val="18"/>
      <w:szCs w:val="18"/>
    </w:rPr>
  </w:style>
  <w:style w:type="character" w:customStyle="1" w:styleId="a5">
    <w:name w:val="批注框文本 字符"/>
    <w:basedOn w:val="a0"/>
    <w:link w:val="a4"/>
    <w:rsid w:val="00B239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zhoujy</dc:creator>
  <cp:lastModifiedBy>吴元</cp:lastModifiedBy>
  <cp:revision>5</cp:revision>
  <dcterms:created xsi:type="dcterms:W3CDTF">2023-09-21T08:04:00Z</dcterms:created>
  <dcterms:modified xsi:type="dcterms:W3CDTF">2025-04-10T08:46:00Z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195F7E2973FC4C798E398449E02F4798</vt:lpwstr>
  </property>
</Properties>
</file>