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580B7">
      <w:pPr>
        <w:pStyle w:val="2"/>
        <w:spacing w:before="40"/>
        <w:ind w:left="0" w:leftChars="0" w:firstLine="240" w:firstLineChars="100"/>
        <w:jc w:val="left"/>
        <w:rPr>
          <w:rFonts w:hint="default" w:eastAsia="宋体"/>
          <w:lang w:val="en-US" w:eastAsia="zh-CN"/>
        </w:rPr>
      </w:pPr>
      <w:r>
        <w:t>证券代码：</w:t>
      </w:r>
      <w:r>
        <w:rPr>
          <w:rFonts w:hint="eastAsia"/>
          <w:lang w:val="en-US" w:eastAsia="zh-CN"/>
        </w:rPr>
        <w:t>688380</w:t>
      </w:r>
      <w:r>
        <w:t xml:space="preserve"> </w:t>
      </w:r>
      <w:r>
        <w:rPr>
          <w:rFonts w:hint="eastAsia"/>
          <w:lang w:val="en-US" w:eastAsia="zh-CN"/>
        </w:rPr>
        <w:t xml:space="preserve">                                           </w:t>
      </w:r>
      <w:r>
        <w:t>证券简称：</w:t>
      </w:r>
      <w:r>
        <w:rPr>
          <w:rFonts w:hint="eastAsia"/>
          <w:lang w:val="en-US" w:eastAsia="zh-CN"/>
        </w:rPr>
        <w:t>中微半导</w:t>
      </w:r>
    </w:p>
    <w:p w14:paraId="1F057622">
      <w:pPr>
        <w:pStyle w:val="2"/>
        <w:rPr>
          <w:sz w:val="29"/>
        </w:rPr>
      </w:pPr>
    </w:p>
    <w:p w14:paraId="33664230">
      <w:pPr>
        <w:spacing w:before="54"/>
        <w:ind w:left="1943" w:right="1782" w:firstLine="0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中微半导体（深圳）</w:t>
      </w:r>
      <w:r>
        <w:rPr>
          <w:b/>
          <w:sz w:val="32"/>
        </w:rPr>
        <w:t>股份有限公司</w:t>
      </w:r>
    </w:p>
    <w:p w14:paraId="1973570D">
      <w:pPr>
        <w:spacing w:before="54"/>
        <w:ind w:left="1943" w:right="1782" w:firstLine="0"/>
        <w:jc w:val="center"/>
        <w:rPr>
          <w:rFonts w:hint="default"/>
          <w:b/>
          <w:sz w:val="32"/>
          <w:lang w:val="en-US"/>
        </w:rPr>
      </w:pPr>
      <w:r>
        <w:rPr>
          <w:b/>
          <w:sz w:val="32"/>
        </w:rPr>
        <w:t>投资者关系活动记录表</w:t>
      </w:r>
      <w:r>
        <w:rPr>
          <w:b/>
          <w:w w:val="98"/>
          <w:sz w:val="32"/>
        </w:rPr>
        <w:t xml:space="preserve"> </w:t>
      </w:r>
    </w:p>
    <w:p w14:paraId="04D08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after="21"/>
        <w:ind w:left="0" w:right="0" w:firstLine="0"/>
        <w:jc w:val="center"/>
        <w:textAlignment w:val="auto"/>
        <w:rPr>
          <w:rFonts w:hint="default"/>
          <w:sz w:val="24"/>
          <w:szCs w:val="28"/>
          <w:highlight w:val="none"/>
          <w:lang w:val="en-US"/>
        </w:rPr>
      </w:pPr>
      <w:r>
        <w:rPr>
          <w:rFonts w:hint="eastAsia"/>
          <w:sz w:val="24"/>
          <w:szCs w:val="28"/>
          <w:highlight w:val="none"/>
          <w:lang w:val="en-US" w:eastAsia="zh-CN"/>
        </w:rPr>
        <w:t xml:space="preserve">                                                                 </w:t>
      </w:r>
      <w:r>
        <w:rPr>
          <w:sz w:val="24"/>
          <w:szCs w:val="28"/>
          <w:highlight w:val="none"/>
        </w:rPr>
        <w:t>编号</w:t>
      </w:r>
      <w:r>
        <w:rPr>
          <w:rFonts w:hint="eastAsia"/>
          <w:sz w:val="24"/>
          <w:szCs w:val="28"/>
          <w:highlight w:val="none"/>
          <w:lang w:eastAsia="zh-CN"/>
        </w:rPr>
        <w:t>：</w:t>
      </w:r>
      <w:r>
        <w:rPr>
          <w:sz w:val="24"/>
          <w:szCs w:val="28"/>
          <w:highlight w:val="none"/>
        </w:rPr>
        <w:t>202</w:t>
      </w:r>
      <w:r>
        <w:rPr>
          <w:rFonts w:hint="eastAsia"/>
          <w:sz w:val="24"/>
          <w:szCs w:val="28"/>
          <w:highlight w:val="none"/>
          <w:lang w:val="en-US" w:eastAsia="zh-CN"/>
        </w:rPr>
        <w:t>5</w:t>
      </w:r>
      <w:r>
        <w:rPr>
          <w:sz w:val="24"/>
          <w:szCs w:val="28"/>
          <w:highlight w:val="none"/>
        </w:rPr>
        <w:t>-</w:t>
      </w:r>
      <w:r>
        <w:rPr>
          <w:rFonts w:hint="eastAsia"/>
          <w:sz w:val="24"/>
          <w:szCs w:val="28"/>
          <w:highlight w:val="none"/>
          <w:lang w:val="en-US" w:eastAsia="zh-CN"/>
        </w:rPr>
        <w:t>0</w:t>
      </w:r>
      <w:r>
        <w:rPr>
          <w:rFonts w:hint="default"/>
          <w:sz w:val="24"/>
          <w:szCs w:val="28"/>
          <w:highlight w:val="none"/>
          <w:lang w:val="en-US" w:eastAsia="zh-CN"/>
        </w:rPr>
        <w:t>0</w:t>
      </w:r>
      <w:r>
        <w:rPr>
          <w:rFonts w:hint="eastAsia"/>
          <w:sz w:val="24"/>
          <w:szCs w:val="28"/>
          <w:highlight w:val="none"/>
          <w:lang w:val="en-US" w:eastAsia="zh-CN"/>
        </w:rPr>
        <w:t>4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8220"/>
      </w:tblGrid>
      <w:tr w14:paraId="51DE1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30FA51">
            <w:pPr>
              <w:pStyle w:val="8"/>
              <w:spacing w:line="242" w:lineRule="auto"/>
              <w:ind w:left="0" w:leftChars="0" w:right="72" w:firstLine="0" w:firstLineChars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投资者来访类别</w:t>
            </w:r>
          </w:p>
        </w:tc>
        <w:tc>
          <w:tcPr>
            <w:tcW w:w="8220" w:type="dxa"/>
            <w:vAlign w:val="center"/>
          </w:tcPr>
          <w:p w14:paraId="786097AF">
            <w:pPr>
              <w:pStyle w:val="8"/>
              <w:numPr>
                <w:ilvl w:val="0"/>
                <w:numId w:val="0"/>
              </w:numPr>
              <w:tabs>
                <w:tab w:val="left" w:pos="390"/>
              </w:tabs>
              <w:spacing w:before="132" w:after="0" w:line="240" w:lineRule="auto"/>
              <w:ind w:right="0" w:rightChars="0" w:firstLine="236" w:firstLineChars="10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spacing w:val="-2"/>
                <w:sz w:val="24"/>
                <w:szCs w:val="24"/>
              </w:rPr>
              <w:t xml:space="preserve"> 特定对象调研 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spacing w:val="-2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分析师会议</w:t>
            </w:r>
          </w:p>
          <w:p w14:paraId="6CDE1B41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732BB210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媒体采访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spacing w:val="-2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业绩说明会</w:t>
            </w:r>
          </w:p>
          <w:p w14:paraId="1B424389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2EDC7824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新闻发布会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路演活动</w:t>
            </w:r>
          </w:p>
          <w:p w14:paraId="10160FA8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691182BC">
            <w:pPr>
              <w:pStyle w:val="8"/>
              <w:ind w:left="0" w:leftChars="0" w:firstLine="236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现场参观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其他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线上调研）</w:t>
            </w:r>
          </w:p>
        </w:tc>
      </w:tr>
      <w:tr w14:paraId="7220F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FE3DEB">
            <w:pPr>
              <w:pStyle w:val="8"/>
              <w:spacing w:before="156" w:line="242" w:lineRule="auto"/>
              <w:ind w:left="107" w:right="7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参与单位名称</w:t>
            </w:r>
          </w:p>
        </w:tc>
        <w:tc>
          <w:tcPr>
            <w:tcW w:w="8220" w:type="dxa"/>
            <w:vAlign w:val="center"/>
          </w:tcPr>
          <w:p w14:paraId="1D525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both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zh-CN"/>
              </w:rPr>
              <w:t xml:space="preserve"> </w:t>
            </w:r>
            <w:r>
              <w:rPr>
                <w:rFonts w:hint="eastAsia" w:cs="宋体"/>
                <w:sz w:val="24"/>
                <w:szCs w:val="22"/>
                <w:lang w:val="en-US" w:eastAsia="zh-CN" w:bidi="zh-CN"/>
              </w:rPr>
              <w:t>中信证券、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zh-CN"/>
              </w:rPr>
              <w:t xml:space="preserve">天弘基金、浙商自营固收、广发基金、兴业银行、中信保诚基金、汇丰晋信基金、信达澳亚基金、中邮创业基金、浦银安盛基金、中金公司、光大自营、博时基金、华夏基金、嘉实基金、混沌投资、银叶投资、尚诚资产、原点资产、汇丰资管(HK)、中信建投、中信信托、阳光资产、上银基金、上海磐厚、国寿安保基金、九泰基金、兆天投资、禾永投资、华夏财富创新、红石榴、中航基金、百年资产、粤信资产、中庚基金、东方睿石、Pleiad </w:t>
            </w:r>
            <w:r>
              <w:rPr>
                <w:rFonts w:hint="eastAsia" w:cs="宋体"/>
                <w:sz w:val="24"/>
                <w:szCs w:val="22"/>
                <w:lang w:val="en-US" w:eastAsia="zh-CN"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zh-CN"/>
              </w:rPr>
              <w:t>Investment Advisors、中信固收、鹏圆资产、Rheos Capital、杭银理财、青鼎资产、正圆投资、APAM、喜世润投资、盛曦投资、汇升投资、昊青、百川投资、Eurizon、复通投资、睿胜投资、恒邦兆丰资管、狐尾松资产、冠达菁华私募、闻天投资、羊角私募、瀑布资产、君牛基金、中原证券、大横琴香港、华夏东方、浙商自营、瑞兆资本、东吴基金、</w:t>
            </w:r>
            <w:r>
              <w:rPr>
                <w:rFonts w:hint="eastAsia"/>
                <w:sz w:val="24"/>
                <w:lang w:val="en-US" w:eastAsia="zh-CN"/>
              </w:rPr>
              <w:t>中邮电子、中邮基金</w:t>
            </w:r>
          </w:p>
        </w:tc>
      </w:tr>
      <w:tr w14:paraId="139FA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BBEB87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8220" w:type="dxa"/>
            <w:vAlign w:val="center"/>
          </w:tcPr>
          <w:p w14:paraId="075846D8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default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日</w:t>
            </w:r>
          </w:p>
        </w:tc>
      </w:tr>
      <w:tr w14:paraId="77F45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EB5C8F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地点</w:t>
            </w:r>
          </w:p>
        </w:tc>
        <w:tc>
          <w:tcPr>
            <w:tcW w:w="8220" w:type="dxa"/>
            <w:vAlign w:val="center"/>
          </w:tcPr>
          <w:p w14:paraId="53186284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深圳</w:t>
            </w:r>
          </w:p>
        </w:tc>
      </w:tr>
      <w:tr w14:paraId="2CDED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421AAF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上市公司接待人员姓名</w:t>
            </w:r>
          </w:p>
        </w:tc>
        <w:tc>
          <w:tcPr>
            <w:tcW w:w="8220" w:type="dxa"/>
            <w:vAlign w:val="center"/>
          </w:tcPr>
          <w:p w14:paraId="0EB18801">
            <w:pPr>
              <w:pStyle w:val="8"/>
              <w:spacing w:before="17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董事会秘书、财务总监：吴新元</w:t>
            </w:r>
          </w:p>
        </w:tc>
      </w:tr>
      <w:tr w14:paraId="421F5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AA6BEC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8220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EF71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一、2024年业绩情况汇报</w:t>
            </w:r>
          </w:p>
          <w:p w14:paraId="32C0B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2024年公司各类产品出货量持续增加，全年出货量超过24亿颗，出货量创出历史新高，同比增长约30%，其中8位机出货量约19.1亿颗，市场份额稳居国内厂商龙头；32位机出货量约2.1亿颗，同比增长约 64%，市场份额持续扩大；实现营业收入9.12亿元，同比增长27.76%；综合毛利率为29.86%，较2023年增长12.41个百分点；研发费用投入 1.28亿元，同比增长近6%，研发投入占营业收入的比例为13.99%；实现净利润1.37亿元，同比扭亏为盈；经营活动产生的现金流量净额为3.13亿元，较上年度大幅增加；公司建议向全体股东每10股派发现金红利2.50元（含税），合计拟派发现金红利约1亿元。</w:t>
            </w:r>
          </w:p>
          <w:p w14:paraId="0001DE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二、交流问答</w:t>
            </w:r>
          </w:p>
          <w:p w14:paraId="58865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1.2024年毛利率出现大幅提升的主要原因？</w:t>
            </w:r>
          </w:p>
          <w:p w14:paraId="3107F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毛利率大幅提升的主要因素有：一是23年公司为快速去库存，存在主动降价牺牲毛利率的情况；二是24年采购的晶圆成本较23年销售产品成本有大幅下降；三是公司新产品迭代、高端应用领域的拓展，提高了产品毛利率。</w:t>
            </w:r>
          </w:p>
          <w:p w14:paraId="6DA65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请拆分一下收入结构？</w:t>
            </w:r>
          </w:p>
          <w:p w14:paraId="4E48C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我们按产品的应用领域按进行拆分，公司在消费电子领域实现营收约3.6亿元，占比约39%；在小家电领域实现营收3.3亿元，占比约37%；在工业控制（含无刷电机控制）领域实现营收1.9亿元，占比约21%；在汽车电子领域实现营收近0.3亿元，占比约3%。</w:t>
            </w:r>
          </w:p>
          <w:p w14:paraId="4DC83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请介绍一下公司产品在各领域毛利情况？</w:t>
            </w:r>
          </w:p>
          <w:p w14:paraId="57CA2E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答：2024年来看，公司消费电子领域综合毛利率约为18%，小家电领域综合毛利率约为36%，大家电和工业控制领域综合毛利率约为39%，汽车电子领域毛利率约为52%。</w:t>
            </w:r>
          </w:p>
          <w:p w14:paraId="512A6E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拆分一下公司MCU产品8位机和32位机的比例？</w:t>
            </w:r>
          </w:p>
          <w:p w14:paraId="358C4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答：公司MCU包括8位机和32位机，从出货量来看，两者呈10:1的关系；从销售金额来看，两者呈2:1的关系。</w:t>
            </w:r>
          </w:p>
          <w:p w14:paraId="1EDC9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2024年晶圆采购情况和占比？</w:t>
            </w:r>
          </w:p>
          <w:p w14:paraId="7C082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答：公司2024年晶圆采购超过10万片，6-7成从华虹集团采购，2-3成从新加坡GF采购，其他还有在中芯国际、武汉新芯、粤芯等采购。</w:t>
            </w:r>
          </w:p>
          <w:p w14:paraId="73C9B8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预测一下晶圆采购价格趋势？</w:t>
            </w:r>
          </w:p>
          <w:p w14:paraId="751C6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答：目前，成熟制程产能比较充沛，MCU产品均在成熟制程制造，公司晶圆采购的价格应该比较趋于稳定。</w:t>
            </w:r>
          </w:p>
          <w:p w14:paraId="571F2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对于2025年公司营收展望？</w:t>
            </w:r>
          </w:p>
          <w:p w14:paraId="3C791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答：公司管理层希望2025年的营收增长保持甚至超过2024年增长速度。</w:t>
            </w:r>
          </w:p>
          <w:p w14:paraId="509C3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你对公司哪一块领域增长最有期待？</w:t>
            </w:r>
          </w:p>
          <w:p w14:paraId="73CF4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汽车电子领域是公司重点布局，我对车规级芯片的研发和成长最为期待。2024年的统计中，我们汽车电机收入仅仅计算了车规级MCU产品，全年出货量约700万颗；2025年，第一代车规级产品已经起量，第二代产品已经产出，我们相信会有更大数量、更多的应用场景的突破，车规产品的营收会有比较明显的增长。</w:t>
            </w:r>
          </w:p>
          <w:p w14:paraId="01198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中美对等关税对公司的影响如何看待？</w:t>
            </w:r>
          </w:p>
          <w:p w14:paraId="118D6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核心产品是8位和32位MCU，广泛应用于消费电子、小家用、大家和工业控制、汽车电子领域。前两个领域属于低端应用市场，后两个领域属于中高端应用市场。对于MCU的竞争格局来说，国内MCU占据国内低端市场的主要份额；国内中高端应用市场还是由国际大厂把控，特别是汽车电子，国内MCU在中国市场的占比仅仅是个位数。对等关税会影响我们电子产品、家电产品的出口，这一块业务可能会影响我们中低端市场的应用；但对于中高端应用市场，对等关税增加了进口芯片的价格，降低了其竞争力，给国产芯片以机会，可能会加速国产替代的进程。所以，对等关税政策对公司产品进入中高端应用市场是难得的提速机会。</w:t>
            </w:r>
          </w:p>
          <w:p w14:paraId="6A483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10.谈谈国内MCU的竞争格局？</w:t>
            </w:r>
          </w:p>
          <w:p w14:paraId="1CEA2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国内MCU厂商的竞争仍将激烈，特别是在低端应用市场的竞争尤为惨烈，这种态势可能会延续到国内只剩下几家公司活下来为止；中高端应用的竞争没有那么激烈，但如果在低端应用市场没有获得产品品质验证、经验积累的厂商，更难在中高端市场获得造血和商业机会，因此对于中高端应用市场，也只有品牌、性能、品质占有优势的大的设计公司才有更好的机会。公司的策略是永不放弃低端市场，稳步走入中高端市场。</w:t>
            </w:r>
          </w:p>
          <w:p w14:paraId="5F2FA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11.谈谈公司的人才规划？</w:t>
            </w:r>
          </w:p>
          <w:p w14:paraId="57A8D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栽好梧桐树，引来金凤凰。公司在成都的研发中心已经建成投入使用，研发硬件环境得到很大改善；而且上市后，公司的品牌得到提升，人才培养与激励机制得到完善，有机会吸引和找到优秀人才。特别是在芯片设计人才供需矛盾有所缓和的当前，公司加大了优秀人才的引进和内部人员的优化力度，研发人员能力素质会有效提升，研发人员规模会逐步扩大。</w:t>
            </w:r>
          </w:p>
          <w:p w14:paraId="5A7A16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12.公司经营性现金流大幅改善的原因？</w:t>
            </w:r>
          </w:p>
          <w:p w14:paraId="39D3D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答：2024年公司经营性现金流为3亿多元，相比上年度有大幅改善，主要原因有：一是营收收增长，销售收入回款增加；二是晶圆采购支出的金额减少；三是公司加大应收账款风险控制力度，促进销售回款加速。</w:t>
            </w:r>
          </w:p>
          <w:p w14:paraId="19BACBC5">
            <w:pPr>
              <w:pStyle w:val="8"/>
              <w:numPr>
                <w:ilvl w:val="0"/>
                <w:numId w:val="0"/>
              </w:numPr>
              <w:spacing w:before="170" w:line="360" w:lineRule="auto"/>
              <w:ind w:right="0" w:rightChars="0" w:firstLine="480" w:firstLineChars="200"/>
              <w:jc w:val="both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13.公司在国内MCU厂商中的竞争优势？</w:t>
            </w:r>
          </w:p>
          <w:p w14:paraId="7B66E852">
            <w:pPr>
              <w:pStyle w:val="8"/>
              <w:numPr>
                <w:ilvl w:val="0"/>
                <w:numId w:val="0"/>
              </w:numPr>
              <w:spacing w:before="170" w:line="360" w:lineRule="auto"/>
              <w:ind w:right="0" w:rightChars="0" w:firstLine="480" w:firstLineChars="200"/>
              <w:jc w:val="both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作为国内最老的MCU设计公司，我们的竞争优势就是在MCU设计领域专注的久、积累的深、理解的透，我们积累了很多自己独有的IP能确保我们产品的性能和品质。MCU设计的门槛不高，但要设计出高性能、高品质的MCU也不容易，这需要的理论指导，还需要反复试验、设计经验和工匠精神。我们与国家大厂相比，我们欠缺10年、20年甚至几十年的积累，所以同样资源的产品，国际大厂的性能、品质就可以放心应用到高端市场领域，我们却还在努力国产替代的路上。</w:t>
            </w:r>
          </w:p>
          <w:p w14:paraId="1667D2B6">
            <w:pPr>
              <w:pStyle w:val="8"/>
              <w:numPr>
                <w:ilvl w:val="0"/>
                <w:numId w:val="0"/>
              </w:numPr>
              <w:spacing w:before="170" w:line="360" w:lineRule="auto"/>
              <w:ind w:leftChars="200" w:right="0" w:rightChars="0"/>
              <w:jc w:val="both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</w:tc>
      </w:tr>
    </w:tbl>
    <w:p w14:paraId="4E79A505">
      <w:pPr>
        <w:spacing w:before="23"/>
        <w:ind w:right="0"/>
        <w:jc w:val="left"/>
        <w:rPr>
          <w:sz w:val="21"/>
        </w:rPr>
      </w:pPr>
    </w:p>
    <w:sectPr>
      <w:pgSz w:w="11910" w:h="16840"/>
      <w:pgMar w:top="1417" w:right="1134" w:bottom="1417" w:left="1134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193B56"/>
    <w:multiLevelType w:val="singleLevel"/>
    <w:tmpl w:val="4C193B5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72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MDY5ZWU5ZTU1NWY2ODBmOTlkNmNjYWI5MGJjNTAifQ=="/>
  </w:docVars>
  <w:rsids>
    <w:rsidRoot w:val="00000000"/>
    <w:rsid w:val="00360E24"/>
    <w:rsid w:val="00FD233D"/>
    <w:rsid w:val="049B5140"/>
    <w:rsid w:val="062260D2"/>
    <w:rsid w:val="06B7310D"/>
    <w:rsid w:val="09063A89"/>
    <w:rsid w:val="0A2F0DBE"/>
    <w:rsid w:val="0BCE5827"/>
    <w:rsid w:val="0DDA5BAA"/>
    <w:rsid w:val="0E561013"/>
    <w:rsid w:val="0E842633"/>
    <w:rsid w:val="103109BE"/>
    <w:rsid w:val="10CC52F7"/>
    <w:rsid w:val="10D80401"/>
    <w:rsid w:val="115B2DE0"/>
    <w:rsid w:val="140D0007"/>
    <w:rsid w:val="144018FC"/>
    <w:rsid w:val="199E386A"/>
    <w:rsid w:val="1B3C333B"/>
    <w:rsid w:val="1BA42A8E"/>
    <w:rsid w:val="1C730FDE"/>
    <w:rsid w:val="1CE27D10"/>
    <w:rsid w:val="1E491273"/>
    <w:rsid w:val="1E6B5B60"/>
    <w:rsid w:val="204505AD"/>
    <w:rsid w:val="20E85DAE"/>
    <w:rsid w:val="23EE6D8C"/>
    <w:rsid w:val="24E24D18"/>
    <w:rsid w:val="24EC5A02"/>
    <w:rsid w:val="25FC3E6E"/>
    <w:rsid w:val="26CB631A"/>
    <w:rsid w:val="275135B6"/>
    <w:rsid w:val="27786E27"/>
    <w:rsid w:val="296C29CE"/>
    <w:rsid w:val="2D600F4C"/>
    <w:rsid w:val="2E567099"/>
    <w:rsid w:val="2ED94800"/>
    <w:rsid w:val="302C44F1"/>
    <w:rsid w:val="32954240"/>
    <w:rsid w:val="33185FE3"/>
    <w:rsid w:val="337066A2"/>
    <w:rsid w:val="33CF2630"/>
    <w:rsid w:val="34A35D81"/>
    <w:rsid w:val="36CF10AF"/>
    <w:rsid w:val="37B625EF"/>
    <w:rsid w:val="380A05F1"/>
    <w:rsid w:val="39F5707E"/>
    <w:rsid w:val="3A0A3E69"/>
    <w:rsid w:val="3B073DC4"/>
    <w:rsid w:val="3CC11A84"/>
    <w:rsid w:val="3E444130"/>
    <w:rsid w:val="402D334F"/>
    <w:rsid w:val="417A669A"/>
    <w:rsid w:val="42417305"/>
    <w:rsid w:val="437368FD"/>
    <w:rsid w:val="44817E8C"/>
    <w:rsid w:val="44E37ACA"/>
    <w:rsid w:val="46DB063D"/>
    <w:rsid w:val="4C003D8D"/>
    <w:rsid w:val="4DDB67D8"/>
    <w:rsid w:val="4F3A3B86"/>
    <w:rsid w:val="51CD61A5"/>
    <w:rsid w:val="560C5F51"/>
    <w:rsid w:val="58902B1E"/>
    <w:rsid w:val="58AC2BA6"/>
    <w:rsid w:val="58B36C53"/>
    <w:rsid w:val="58B91A1A"/>
    <w:rsid w:val="5E056C86"/>
    <w:rsid w:val="608E7761"/>
    <w:rsid w:val="645218B2"/>
    <w:rsid w:val="64E10284"/>
    <w:rsid w:val="65864EAB"/>
    <w:rsid w:val="65AC0BA1"/>
    <w:rsid w:val="684E7F52"/>
    <w:rsid w:val="6860573C"/>
    <w:rsid w:val="69007D35"/>
    <w:rsid w:val="6A8F2D01"/>
    <w:rsid w:val="6AA221E0"/>
    <w:rsid w:val="6AFE35FB"/>
    <w:rsid w:val="6BF33738"/>
    <w:rsid w:val="6C060AF4"/>
    <w:rsid w:val="6E5114E1"/>
    <w:rsid w:val="6F441EB0"/>
    <w:rsid w:val="6F8659FF"/>
    <w:rsid w:val="70852816"/>
    <w:rsid w:val="73187DD2"/>
    <w:rsid w:val="73B250BD"/>
    <w:rsid w:val="7677439C"/>
    <w:rsid w:val="78471C35"/>
    <w:rsid w:val="79213DD0"/>
    <w:rsid w:val="7A117945"/>
    <w:rsid w:val="7BC17493"/>
    <w:rsid w:val="7D2045FF"/>
    <w:rsid w:val="7E652935"/>
    <w:rsid w:val="7F0A2251"/>
    <w:rsid w:val="7FC95C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6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pPr>
      <w:ind w:left="108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lang w:val="en-US" w:eastAsia="zh-CN" w:bidi="ar-SA"/>
    </w:rPr>
  </w:style>
  <w:style w:type="paragraph" w:customStyle="1" w:styleId="10">
    <w:name w:val="正文5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2470</Words>
  <Characters>2700</Characters>
  <TotalTime>16</TotalTime>
  <ScaleCrop>false</ScaleCrop>
  <LinksUpToDate>false</LinksUpToDate>
  <CharactersWithSpaces>2922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2022-08-11T01:07:00Z</dcterms:created>
  <dc:creator>XIONG</dc:creator>
  <cp:lastModifiedBy>Zhaoyj</cp:lastModifiedBy>
  <cp:lastPrinted>2022-09-29T09:35:00Z</cp:lastPrinted>
  <dcterms:modified xsi:type="dcterms:W3CDTF">2025-04-11T09:18:41Z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2022-08-11T00:00:00Z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12C2FDBFA40840769CBE43E86FD8683D_13</vt:lpwstr>
  </property>
  <property fmtid="{D5CDD505-2E9C-101B-9397-08002B2CF9AE}" pid="7" name="KSOTemplateDocerSaveRecord">
    <vt:lpwstr>eyJoZGlkIjoiZTQ4ODQwNThiYTg4YTBlNDhkZDRmNGNiNWM5NWE1YzAiLCJ1c2VySWQiOiIyNDk3MTA2NDYifQ==</vt:lpwstr>
  </property>
</Properties>
</file>