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C313C" w14:textId="77777777" w:rsidR="00A02FDD" w:rsidRDefault="000C2AC0">
      <w:pPr>
        <w:adjustRightInd w:val="0"/>
        <w:snapToGrid w:val="0"/>
        <w:spacing w:line="600" w:lineRule="exact"/>
        <w:jc w:val="center"/>
        <w:rPr>
          <w:rFonts w:ascii="宋体" w:eastAsia="宋体" w:hAnsi="宋体" w:cs="Arial"/>
          <w:bCs/>
          <w:sz w:val="28"/>
          <w:szCs w:val="28"/>
        </w:rPr>
      </w:pPr>
      <w:bookmarkStart w:id="0" w:name="_Hlk61459020"/>
      <w:r>
        <w:rPr>
          <w:rFonts w:ascii="宋体" w:eastAsia="宋体" w:hAnsi="宋体" w:cs="Arial"/>
          <w:bCs/>
          <w:sz w:val="28"/>
          <w:szCs w:val="28"/>
        </w:rPr>
        <w:t>证券</w:t>
      </w:r>
      <w:r>
        <w:rPr>
          <w:rFonts w:ascii="宋体" w:eastAsia="宋体" w:hAnsi="宋体" w:cs="Arial" w:hint="eastAsia"/>
          <w:bCs/>
          <w:sz w:val="28"/>
          <w:szCs w:val="28"/>
        </w:rPr>
        <w:t>代码</w:t>
      </w:r>
      <w:r>
        <w:rPr>
          <w:rFonts w:ascii="宋体" w:eastAsia="宋体" w:hAnsi="宋体" w:cs="Courier New"/>
          <w:bCs/>
          <w:sz w:val="28"/>
          <w:szCs w:val="28"/>
        </w:rPr>
        <w:t>:</w:t>
      </w:r>
      <w:r>
        <w:rPr>
          <w:rFonts w:ascii="宋体" w:eastAsia="宋体" w:hAnsi="宋体" w:cs="Arial"/>
          <w:bCs/>
          <w:sz w:val="28"/>
          <w:szCs w:val="28"/>
        </w:rPr>
        <w:t xml:space="preserve"> </w:t>
      </w:r>
      <w:r>
        <w:rPr>
          <w:rFonts w:ascii="宋体" w:eastAsia="宋体" w:hAnsi="宋体" w:cs="Arial" w:hint="eastAsia"/>
          <w:bCs/>
          <w:sz w:val="28"/>
          <w:szCs w:val="28"/>
        </w:rPr>
        <w:t xml:space="preserve">688136 </w:t>
      </w:r>
      <w:r>
        <w:rPr>
          <w:rFonts w:ascii="宋体" w:eastAsia="宋体" w:hAnsi="宋体" w:cs="Arial"/>
          <w:bCs/>
          <w:sz w:val="28"/>
          <w:szCs w:val="28"/>
        </w:rPr>
        <w:t xml:space="preserve">                        证券</w:t>
      </w:r>
      <w:r>
        <w:rPr>
          <w:rFonts w:ascii="宋体" w:eastAsia="宋体" w:hAnsi="宋体" w:cs="Arial" w:hint="eastAsia"/>
          <w:bCs/>
          <w:sz w:val="28"/>
          <w:szCs w:val="28"/>
        </w:rPr>
        <w:t>简称</w:t>
      </w:r>
      <w:r>
        <w:rPr>
          <w:rFonts w:ascii="宋体" w:eastAsia="宋体" w:hAnsi="宋体" w:cs="Arial"/>
          <w:bCs/>
          <w:sz w:val="28"/>
          <w:szCs w:val="28"/>
        </w:rPr>
        <w:t>：</w:t>
      </w:r>
      <w:r>
        <w:rPr>
          <w:rFonts w:ascii="宋体" w:eastAsia="宋体" w:hAnsi="宋体" w:cs="Arial" w:hint="eastAsia"/>
          <w:bCs/>
          <w:sz w:val="28"/>
          <w:szCs w:val="28"/>
        </w:rPr>
        <w:t>科兴制药</w:t>
      </w:r>
      <w:r>
        <w:rPr>
          <w:rFonts w:ascii="宋体" w:eastAsia="宋体" w:hAnsi="宋体" w:cs="Arial"/>
          <w:bCs/>
          <w:sz w:val="28"/>
          <w:szCs w:val="28"/>
        </w:rPr>
        <w:t xml:space="preserve">   </w:t>
      </w:r>
    </w:p>
    <w:p w14:paraId="167DDB9F" w14:textId="77777777" w:rsidR="00A02FDD" w:rsidRDefault="000C2AC0">
      <w:pPr>
        <w:adjustRightInd w:val="0"/>
        <w:snapToGrid w:val="0"/>
        <w:spacing w:line="600" w:lineRule="exact"/>
        <w:jc w:val="center"/>
        <w:rPr>
          <w:rFonts w:ascii="宋体" w:eastAsia="宋体" w:hAnsi="宋体" w:cs="Arial"/>
          <w:b/>
          <w:bCs/>
          <w:sz w:val="28"/>
          <w:szCs w:val="28"/>
        </w:rPr>
      </w:pPr>
      <w:r>
        <w:rPr>
          <w:rFonts w:ascii="宋体" w:eastAsia="宋体" w:hAnsi="宋体" w:cs="Arial" w:hint="eastAsia"/>
          <w:b/>
          <w:bCs/>
          <w:sz w:val="28"/>
          <w:szCs w:val="28"/>
        </w:rPr>
        <w:t>科兴生物制药股份有限公司投资者关系活动记录表</w:t>
      </w:r>
    </w:p>
    <w:p w14:paraId="32DD5987" w14:textId="77777777" w:rsidR="00A02FDD" w:rsidRDefault="000C2AC0">
      <w:pPr>
        <w:adjustRightInd w:val="0"/>
        <w:snapToGrid w:val="0"/>
        <w:spacing w:line="600" w:lineRule="exact"/>
        <w:jc w:val="right"/>
        <w:rPr>
          <w:rFonts w:ascii="宋体" w:eastAsia="宋体" w:hAnsi="宋体" w:cs="Arial"/>
          <w:b/>
          <w:bCs/>
          <w:sz w:val="28"/>
          <w:szCs w:val="28"/>
        </w:rPr>
      </w:pPr>
      <w:r>
        <w:rPr>
          <w:rFonts w:ascii="宋体" w:eastAsia="宋体" w:hAnsi="宋体" w:cs="Arial" w:hint="eastAsia"/>
          <w:bCs/>
          <w:sz w:val="28"/>
          <w:szCs w:val="28"/>
        </w:rPr>
        <w:t>编号：2025-002</w:t>
      </w:r>
    </w:p>
    <w:tbl>
      <w:tblPr>
        <w:tblStyle w:val="af"/>
        <w:tblpPr w:leftFromText="180" w:rightFromText="180" w:vertAnchor="page" w:horzAnchor="margin" w:tblpY="3507"/>
        <w:tblW w:w="8296" w:type="dxa"/>
        <w:tblLayout w:type="fixed"/>
        <w:tblLook w:val="04A0" w:firstRow="1" w:lastRow="0" w:firstColumn="1" w:lastColumn="0" w:noHBand="0" w:noVBand="1"/>
      </w:tblPr>
      <w:tblGrid>
        <w:gridCol w:w="2830"/>
        <w:gridCol w:w="5466"/>
      </w:tblGrid>
      <w:tr w:rsidR="00A02FDD" w14:paraId="25944178" w14:textId="77777777">
        <w:tc>
          <w:tcPr>
            <w:tcW w:w="2830" w:type="dxa"/>
            <w:vAlign w:val="center"/>
          </w:tcPr>
          <w:p w14:paraId="4327570C" w14:textId="77777777" w:rsidR="00A02FDD" w:rsidRDefault="000C2AC0">
            <w:pPr>
              <w:widowControl/>
              <w:rPr>
                <w:rFonts w:ascii="宋体" w:eastAsia="宋体" w:hAnsi="宋体"/>
                <w:sz w:val="24"/>
                <w:szCs w:val="28"/>
              </w:rPr>
            </w:pPr>
            <w:r>
              <w:rPr>
                <w:rFonts w:ascii="宋体" w:eastAsia="宋体" w:hAnsi="宋体"/>
                <w:sz w:val="24"/>
                <w:szCs w:val="28"/>
              </w:rPr>
              <w:t>投资者关系活动类别</w:t>
            </w:r>
          </w:p>
        </w:tc>
        <w:tc>
          <w:tcPr>
            <w:tcW w:w="5466" w:type="dxa"/>
          </w:tcPr>
          <w:p w14:paraId="12E3E6D2" w14:textId="77777777" w:rsidR="00A02FDD" w:rsidRDefault="000C2AC0">
            <w:pPr>
              <w:rPr>
                <w:rFonts w:ascii="宋体" w:eastAsia="宋体" w:hAnsi="宋体"/>
                <w:sz w:val="24"/>
                <w:szCs w:val="28"/>
              </w:rPr>
            </w:pPr>
            <w:r>
              <w:rPr>
                <w:rFonts w:ascii="宋体" w:eastAsia="宋体" w:hAnsi="宋体"/>
                <w:sz w:val="24"/>
                <w:szCs w:val="28"/>
              </w:rPr>
              <w:sym w:font="Wingdings 2" w:char="00A3"/>
            </w:r>
            <w:r>
              <w:rPr>
                <w:rFonts w:ascii="宋体" w:eastAsia="宋体" w:hAnsi="宋体" w:hint="eastAsia"/>
                <w:sz w:val="24"/>
                <w:szCs w:val="28"/>
              </w:rPr>
              <w:t>特定对象调研</w:t>
            </w:r>
            <w:r>
              <w:rPr>
                <w:rFonts w:ascii="宋体" w:eastAsia="宋体" w:hAnsi="宋体"/>
                <w:sz w:val="24"/>
                <w:szCs w:val="28"/>
              </w:rPr>
              <w:t xml:space="preserve"> </w:t>
            </w:r>
            <w:r>
              <w:rPr>
                <w:rFonts w:ascii="宋体" w:eastAsia="宋体" w:hAnsi="宋体"/>
                <w:sz w:val="24"/>
                <w:szCs w:val="28"/>
              </w:rPr>
              <w:sym w:font="Wingdings 2" w:char="00A3"/>
            </w:r>
            <w:r>
              <w:rPr>
                <w:rFonts w:ascii="宋体" w:eastAsia="宋体" w:hAnsi="宋体"/>
                <w:sz w:val="24"/>
                <w:szCs w:val="28"/>
              </w:rPr>
              <w:t>分析师会议</w:t>
            </w:r>
            <w:r>
              <w:rPr>
                <w:rFonts w:ascii="宋体" w:eastAsia="宋体" w:hAnsi="宋体" w:hint="eastAsia"/>
                <w:sz w:val="24"/>
                <w:szCs w:val="28"/>
              </w:rPr>
              <w:t xml:space="preserve"> </w:t>
            </w:r>
            <w:r>
              <w:rPr>
                <w:rFonts w:ascii="宋体" w:eastAsia="宋体" w:hAnsi="宋体"/>
                <w:sz w:val="24"/>
                <w:szCs w:val="28"/>
              </w:rPr>
              <w:t xml:space="preserve">□媒体采访 </w:t>
            </w:r>
            <w:r>
              <w:rPr>
                <w:rFonts w:ascii="宋体" w:eastAsia="宋体" w:hAnsi="宋体"/>
                <w:sz w:val="24"/>
                <w:szCs w:val="28"/>
              </w:rPr>
              <w:sym w:font="Wingdings 2" w:char="0052"/>
            </w:r>
            <w:r>
              <w:rPr>
                <w:rFonts w:ascii="宋体" w:eastAsia="宋体" w:hAnsi="宋体"/>
                <w:sz w:val="24"/>
                <w:szCs w:val="28"/>
              </w:rPr>
              <w:t>业绩说明会</w:t>
            </w:r>
            <w:r>
              <w:rPr>
                <w:rFonts w:ascii="宋体" w:eastAsia="宋体" w:hAnsi="宋体" w:hint="eastAsia"/>
                <w:sz w:val="24"/>
                <w:szCs w:val="28"/>
              </w:rPr>
              <w:t xml:space="preserve"> </w:t>
            </w:r>
            <w:r>
              <w:rPr>
                <w:rFonts w:ascii="宋体" w:eastAsia="宋体" w:hAnsi="宋体"/>
                <w:sz w:val="24"/>
                <w:szCs w:val="28"/>
              </w:rPr>
              <w:t>□新闻发布会 □路演活动</w:t>
            </w:r>
            <w:r>
              <w:rPr>
                <w:rFonts w:ascii="宋体" w:eastAsia="宋体" w:hAnsi="宋体" w:hint="eastAsia"/>
                <w:sz w:val="24"/>
                <w:szCs w:val="28"/>
              </w:rPr>
              <w:t xml:space="preserve"> </w:t>
            </w:r>
            <w:r>
              <w:rPr>
                <w:rFonts w:ascii="宋体" w:eastAsia="宋体" w:hAnsi="宋体"/>
                <w:sz w:val="24"/>
                <w:szCs w:val="28"/>
              </w:rPr>
              <w:sym w:font="Wingdings 2" w:char="00A3"/>
            </w:r>
            <w:r>
              <w:rPr>
                <w:rFonts w:ascii="宋体" w:eastAsia="宋体" w:hAnsi="宋体"/>
                <w:sz w:val="24"/>
                <w:szCs w:val="28"/>
              </w:rPr>
              <w:t>现场参观□其他（请文字说明其他活动内容）</w:t>
            </w:r>
          </w:p>
        </w:tc>
      </w:tr>
      <w:tr w:rsidR="00A02FDD" w14:paraId="57052474" w14:textId="77777777">
        <w:trPr>
          <w:trHeight w:val="739"/>
        </w:trPr>
        <w:tc>
          <w:tcPr>
            <w:tcW w:w="2830" w:type="dxa"/>
            <w:vAlign w:val="center"/>
          </w:tcPr>
          <w:p w14:paraId="6ED833FF" w14:textId="77777777" w:rsidR="00A02FDD" w:rsidRDefault="000C2AC0">
            <w:pPr>
              <w:rPr>
                <w:rFonts w:ascii="宋体" w:eastAsia="宋体" w:hAnsi="宋体"/>
                <w:sz w:val="24"/>
                <w:szCs w:val="28"/>
              </w:rPr>
            </w:pPr>
            <w:r>
              <w:rPr>
                <w:rFonts w:ascii="宋体" w:eastAsia="宋体" w:hAnsi="宋体"/>
                <w:sz w:val="24"/>
                <w:szCs w:val="28"/>
              </w:rPr>
              <w:t>参与单位名称及人员姓名</w:t>
            </w:r>
          </w:p>
        </w:tc>
        <w:tc>
          <w:tcPr>
            <w:tcW w:w="5466" w:type="dxa"/>
            <w:vAlign w:val="center"/>
          </w:tcPr>
          <w:p w14:paraId="6B166616" w14:textId="77777777" w:rsidR="00A02FDD" w:rsidRDefault="000C2AC0">
            <w:pPr>
              <w:rPr>
                <w:rFonts w:ascii="宋体" w:eastAsia="宋体" w:hAnsi="宋体"/>
                <w:sz w:val="24"/>
                <w:szCs w:val="28"/>
              </w:rPr>
            </w:pPr>
            <w:r>
              <w:rPr>
                <w:rFonts w:ascii="宋体" w:eastAsia="宋体" w:hAnsi="宋体"/>
                <w:sz w:val="24"/>
                <w:szCs w:val="28"/>
              </w:rPr>
              <w:t>博时基金、华夏基金、招商基金、国寿安保基金、杭贵投资、天治基金、长江资管、上海国际信托、富敦投资、汉享投资、循远资产、广东正圆私募、太平洋资管、进门财经、财通证券、德邦证券、中信证券、中信资管、兴业证券、中信建投、东方医药、华源医药、长城证券、开源证券、方正医药、上海肇万资产、鸿运私募、益和源投资、深圳正德泰投资、金科投资、中信保诚基金、深圳中天汇富、中融汇信投资、财通资管、浙商基金、西部研发、信达澳亚基金、深圳尚诚资产、中邮证券、北京证券资管、恒生前海基金、中航基金、上海证券、观合资产、深圳民森投资、广东民营投资、华西中加基金、华安证券、天风证券、招商证券、申万宏源、西部利得、中泰证券、北京神农投资、西部证券、首创证券、华源证券、光大保德信基金、甬兴证券、国盛证券、国元方物基金、上海玖鹏资产、优益增投资、真脉投资、华夏创新、中信建投基金、上海天猊投资、华西医药、青骊投资、苏州龙远投资、国泰基金、阳光资产、信达证券、东方证券、珠海尚石投资、北京橡果资产、爱建证券自营、中信证券股份、国泰海通、国投瑞银基金、海富通基金、上海尚雅投资、华福证券、东吴人寿、中国外贸信托、上海途灵资产、海南鸿盛私募、野村东方国际北京、上海呈瑞投资、太朴持信私募、誉辉资本、北京涵德投资、湘禾投资、西部证券股份、东吴证券、平安证券、富安达基金、全天候私募珠海、淳厚基金、上银基金、汇丰晋信基金、深圳量度资本、华创证券</w:t>
            </w:r>
            <w:r>
              <w:rPr>
                <w:rFonts w:ascii="宋体" w:eastAsia="宋体" w:hAnsi="宋体" w:hint="eastAsia"/>
                <w:sz w:val="24"/>
                <w:szCs w:val="28"/>
              </w:rPr>
              <w:t>等103家机构</w:t>
            </w:r>
          </w:p>
        </w:tc>
      </w:tr>
      <w:tr w:rsidR="00A02FDD" w14:paraId="292D45CB" w14:textId="77777777">
        <w:trPr>
          <w:trHeight w:val="497"/>
        </w:trPr>
        <w:tc>
          <w:tcPr>
            <w:tcW w:w="2830" w:type="dxa"/>
            <w:vAlign w:val="center"/>
          </w:tcPr>
          <w:p w14:paraId="36F1938F" w14:textId="77777777" w:rsidR="00A02FDD" w:rsidRDefault="000C2AC0">
            <w:pPr>
              <w:rPr>
                <w:rFonts w:ascii="宋体" w:eastAsia="宋体" w:hAnsi="宋体"/>
                <w:sz w:val="24"/>
                <w:szCs w:val="28"/>
              </w:rPr>
            </w:pPr>
            <w:r>
              <w:rPr>
                <w:rFonts w:ascii="宋体" w:eastAsia="宋体" w:hAnsi="宋体" w:hint="eastAsia"/>
                <w:sz w:val="24"/>
                <w:szCs w:val="28"/>
              </w:rPr>
              <w:t>时间</w:t>
            </w:r>
          </w:p>
        </w:tc>
        <w:tc>
          <w:tcPr>
            <w:tcW w:w="5466" w:type="dxa"/>
            <w:vAlign w:val="center"/>
          </w:tcPr>
          <w:p w14:paraId="6D925387" w14:textId="2883D9D3" w:rsidR="00A02FDD" w:rsidRDefault="000C2AC0">
            <w:pPr>
              <w:rPr>
                <w:rFonts w:ascii="宋体" w:eastAsia="宋体" w:hAnsi="宋体"/>
                <w:sz w:val="24"/>
                <w:szCs w:val="28"/>
              </w:rPr>
            </w:pPr>
            <w:r>
              <w:rPr>
                <w:rFonts w:ascii="宋体" w:eastAsia="宋体" w:hAnsi="宋体" w:hint="eastAsia"/>
                <w:sz w:val="24"/>
                <w:szCs w:val="28"/>
              </w:rPr>
              <w:t>2025年4月11日</w:t>
            </w:r>
          </w:p>
        </w:tc>
      </w:tr>
      <w:tr w:rsidR="00A02FDD" w14:paraId="4613A1BA" w14:textId="77777777">
        <w:trPr>
          <w:trHeight w:val="532"/>
        </w:trPr>
        <w:tc>
          <w:tcPr>
            <w:tcW w:w="2830" w:type="dxa"/>
            <w:vAlign w:val="center"/>
          </w:tcPr>
          <w:p w14:paraId="55E0590E" w14:textId="77777777" w:rsidR="00A02FDD" w:rsidRDefault="000C2AC0">
            <w:pPr>
              <w:rPr>
                <w:rFonts w:ascii="宋体" w:eastAsia="宋体" w:hAnsi="宋体"/>
                <w:sz w:val="24"/>
                <w:szCs w:val="28"/>
              </w:rPr>
            </w:pPr>
            <w:r>
              <w:rPr>
                <w:rFonts w:ascii="宋体" w:eastAsia="宋体" w:hAnsi="宋体" w:hint="eastAsia"/>
                <w:sz w:val="24"/>
                <w:szCs w:val="28"/>
              </w:rPr>
              <w:t>地点</w:t>
            </w:r>
          </w:p>
        </w:tc>
        <w:tc>
          <w:tcPr>
            <w:tcW w:w="5466" w:type="dxa"/>
            <w:vAlign w:val="center"/>
          </w:tcPr>
          <w:p w14:paraId="495F1224" w14:textId="77777777" w:rsidR="00A02FDD" w:rsidRDefault="000C2AC0">
            <w:pPr>
              <w:rPr>
                <w:rFonts w:ascii="宋体" w:eastAsia="宋体" w:hAnsi="宋体"/>
                <w:sz w:val="24"/>
                <w:szCs w:val="28"/>
              </w:rPr>
            </w:pPr>
            <w:r>
              <w:rPr>
                <w:rFonts w:ascii="宋体" w:eastAsia="宋体" w:hAnsi="宋体" w:hint="eastAsia"/>
                <w:sz w:val="24"/>
                <w:szCs w:val="28"/>
              </w:rPr>
              <w:t>进门财经</w:t>
            </w:r>
          </w:p>
        </w:tc>
      </w:tr>
      <w:tr w:rsidR="00A02FDD" w14:paraId="2CC205CC" w14:textId="77777777">
        <w:tc>
          <w:tcPr>
            <w:tcW w:w="2830" w:type="dxa"/>
            <w:vAlign w:val="center"/>
          </w:tcPr>
          <w:p w14:paraId="5AF6C136" w14:textId="77777777" w:rsidR="00A02FDD" w:rsidRDefault="000C2AC0">
            <w:pPr>
              <w:rPr>
                <w:rFonts w:ascii="宋体" w:eastAsia="宋体" w:hAnsi="宋体"/>
                <w:sz w:val="24"/>
                <w:szCs w:val="28"/>
              </w:rPr>
            </w:pPr>
            <w:r>
              <w:rPr>
                <w:rFonts w:ascii="宋体" w:eastAsia="宋体" w:hAnsi="宋体" w:hint="eastAsia"/>
                <w:sz w:val="24"/>
                <w:szCs w:val="28"/>
              </w:rPr>
              <w:t>上市公司接待人员姓名</w:t>
            </w:r>
          </w:p>
        </w:tc>
        <w:tc>
          <w:tcPr>
            <w:tcW w:w="5466" w:type="dxa"/>
          </w:tcPr>
          <w:p w14:paraId="5E887E85" w14:textId="77777777" w:rsidR="00A02FDD" w:rsidRDefault="000C2AC0">
            <w:pPr>
              <w:rPr>
                <w:rFonts w:ascii="宋体" w:eastAsia="宋体" w:hAnsi="宋体"/>
                <w:sz w:val="24"/>
                <w:szCs w:val="28"/>
              </w:rPr>
            </w:pPr>
            <w:r>
              <w:rPr>
                <w:rFonts w:ascii="宋体" w:eastAsia="宋体" w:hAnsi="宋体" w:hint="eastAsia"/>
                <w:sz w:val="24"/>
                <w:szCs w:val="28"/>
              </w:rPr>
              <w:t>1、董事、总经理           赵彦轻先生</w:t>
            </w:r>
          </w:p>
          <w:p w14:paraId="1071858E" w14:textId="77777777" w:rsidR="00A02FDD" w:rsidRDefault="000C2AC0">
            <w:pPr>
              <w:rPr>
                <w:rFonts w:ascii="宋体" w:eastAsia="宋体" w:hAnsi="宋体"/>
                <w:sz w:val="24"/>
                <w:szCs w:val="28"/>
              </w:rPr>
            </w:pPr>
            <w:r>
              <w:rPr>
                <w:rFonts w:ascii="宋体" w:eastAsia="宋体" w:hAnsi="宋体" w:hint="eastAsia"/>
                <w:sz w:val="24"/>
                <w:szCs w:val="28"/>
              </w:rPr>
              <w:t>2、副总经理，研究院院长   秦锁富先生</w:t>
            </w:r>
          </w:p>
          <w:p w14:paraId="7A4AF327" w14:textId="77777777" w:rsidR="00A02FDD" w:rsidRDefault="000C2AC0">
            <w:pPr>
              <w:rPr>
                <w:rFonts w:ascii="宋体" w:eastAsia="宋体" w:hAnsi="宋体"/>
                <w:sz w:val="24"/>
                <w:szCs w:val="28"/>
              </w:rPr>
            </w:pPr>
            <w:r>
              <w:rPr>
                <w:rFonts w:ascii="宋体" w:eastAsia="宋体" w:hAnsi="宋体" w:hint="eastAsia"/>
                <w:sz w:val="24"/>
                <w:szCs w:val="28"/>
              </w:rPr>
              <w:t>3、董事、财务总监、董秘   王小琴女士</w:t>
            </w:r>
          </w:p>
          <w:p w14:paraId="209D2F18" w14:textId="77777777" w:rsidR="00A02FDD" w:rsidRDefault="000C2AC0">
            <w:pPr>
              <w:rPr>
                <w:rFonts w:ascii="宋体" w:eastAsia="宋体" w:hAnsi="宋体"/>
                <w:sz w:val="24"/>
                <w:szCs w:val="28"/>
              </w:rPr>
            </w:pPr>
            <w:r>
              <w:rPr>
                <w:rFonts w:ascii="宋体" w:eastAsia="宋体" w:hAnsi="宋体" w:hint="eastAsia"/>
                <w:sz w:val="24"/>
                <w:szCs w:val="28"/>
              </w:rPr>
              <w:lastRenderedPageBreak/>
              <w:t>4、IRD                    段小霞女士</w:t>
            </w:r>
          </w:p>
        </w:tc>
      </w:tr>
      <w:tr w:rsidR="00A02FDD" w14:paraId="03C8E647" w14:textId="77777777">
        <w:tc>
          <w:tcPr>
            <w:tcW w:w="8296" w:type="dxa"/>
            <w:gridSpan w:val="2"/>
          </w:tcPr>
          <w:p w14:paraId="5AA74795" w14:textId="77777777" w:rsidR="00A02FDD" w:rsidRDefault="00A02FDD">
            <w:pPr>
              <w:rPr>
                <w:rFonts w:ascii="宋体" w:eastAsia="宋体" w:hAnsi="宋体"/>
                <w:b/>
                <w:bCs/>
                <w:sz w:val="24"/>
                <w:szCs w:val="28"/>
              </w:rPr>
            </w:pPr>
          </w:p>
          <w:p w14:paraId="4717ACE6" w14:textId="77777777" w:rsidR="00A02FDD" w:rsidRDefault="000C2AC0">
            <w:pPr>
              <w:rPr>
                <w:rFonts w:ascii="宋体" w:eastAsia="宋体" w:hAnsi="宋体"/>
                <w:b/>
                <w:bCs/>
                <w:sz w:val="24"/>
                <w:szCs w:val="28"/>
              </w:rPr>
            </w:pPr>
            <w:r>
              <w:rPr>
                <w:rFonts w:ascii="宋体" w:eastAsia="宋体" w:hAnsi="宋体" w:hint="eastAsia"/>
                <w:b/>
                <w:bCs/>
                <w:sz w:val="24"/>
                <w:szCs w:val="28"/>
              </w:rPr>
              <w:t>投资者关系活动主要内容介绍：</w:t>
            </w:r>
          </w:p>
          <w:p w14:paraId="2BE46868" w14:textId="77777777" w:rsidR="00A02FDD" w:rsidRDefault="000C2AC0">
            <w:pPr>
              <w:widowControl/>
              <w:spacing w:line="360" w:lineRule="auto"/>
              <w:ind w:firstLineChars="200" w:firstLine="482"/>
              <w:rPr>
                <w:rFonts w:ascii="宋体" w:eastAsia="宋体" w:hAnsi="宋体" w:cs="宋体"/>
                <w:b/>
                <w:bCs/>
                <w:color w:val="000000"/>
                <w:sz w:val="24"/>
                <w:szCs w:val="24"/>
              </w:rPr>
            </w:pPr>
            <w:r>
              <w:rPr>
                <w:rFonts w:ascii="宋体" w:eastAsia="宋体" w:hAnsi="宋体" w:cs="宋体" w:hint="eastAsia"/>
                <w:b/>
                <w:bCs/>
                <w:color w:val="000000"/>
                <w:sz w:val="24"/>
                <w:szCs w:val="24"/>
              </w:rPr>
              <w:t>一、公司2024年经营情况</w:t>
            </w:r>
          </w:p>
          <w:p w14:paraId="5F6C20CB" w14:textId="77777777" w:rsidR="00A02FDD" w:rsidRDefault="000C2AC0">
            <w:pPr>
              <w:spacing w:line="360" w:lineRule="auto"/>
              <w:ind w:firstLineChars="200" w:firstLine="480"/>
              <w:rPr>
                <w:rFonts w:ascii="宋体" w:eastAsia="宋体" w:hAnsi="宋体" w:cs="宋体"/>
                <w:sz w:val="24"/>
                <w:szCs w:val="24"/>
                <w:lang w:bidi="ar"/>
              </w:rPr>
            </w:pPr>
            <w:r>
              <w:rPr>
                <w:rFonts w:ascii="宋体" w:eastAsia="宋体" w:hAnsi="宋体" w:cs="宋体" w:hint="eastAsia"/>
                <w:sz w:val="24"/>
                <w:szCs w:val="24"/>
                <w:lang w:bidi="ar"/>
              </w:rPr>
              <w:t>2024年，公司整体经营质量显著提高，主营业务持续稳健向好，国际化战略实现欧盟市场突破，海外营收大幅增长；国内市场稳健增长，市场份额保持领先；高效推进研发管线，多条创新药管线数据优异；资源精准配置、全链条降本增效成果明显。</w:t>
            </w:r>
          </w:p>
          <w:p w14:paraId="0DC315C3" w14:textId="77777777" w:rsidR="00A02FDD" w:rsidRDefault="000C2AC0">
            <w:pPr>
              <w:spacing w:line="360" w:lineRule="auto"/>
              <w:ind w:firstLineChars="200" w:firstLine="482"/>
              <w:rPr>
                <w:rFonts w:ascii="宋体" w:eastAsia="宋体" w:hAnsi="宋体" w:cs="宋体"/>
                <w:sz w:val="24"/>
                <w:szCs w:val="24"/>
                <w:lang w:bidi="ar"/>
              </w:rPr>
            </w:pPr>
            <w:r>
              <w:rPr>
                <w:rFonts w:ascii="宋体" w:eastAsia="宋体" w:hAnsi="宋体" w:cs="宋体" w:hint="eastAsia"/>
                <w:b/>
                <w:bCs/>
                <w:sz w:val="24"/>
                <w:szCs w:val="24"/>
                <w:lang w:bidi="ar"/>
              </w:rPr>
              <w:t>营业收入：</w:t>
            </w:r>
            <w:r>
              <w:rPr>
                <w:rFonts w:ascii="宋体" w:eastAsia="宋体" w:hAnsi="宋体" w:cs="宋体" w:hint="eastAsia"/>
                <w:sz w:val="24"/>
                <w:szCs w:val="24"/>
                <w:lang w:bidi="ar"/>
              </w:rPr>
              <w:t>公司实现营业收入14.07亿元，同比增长11.75%。</w:t>
            </w:r>
          </w:p>
          <w:p w14:paraId="6CF30ED5" w14:textId="77777777" w:rsidR="00A02FDD" w:rsidRDefault="000C2AC0">
            <w:pPr>
              <w:spacing w:line="360" w:lineRule="auto"/>
              <w:ind w:firstLineChars="200" w:firstLine="482"/>
              <w:rPr>
                <w:rFonts w:ascii="宋体" w:eastAsia="宋体" w:hAnsi="宋体" w:cs="宋体"/>
                <w:sz w:val="24"/>
                <w:szCs w:val="24"/>
                <w:lang w:bidi="ar"/>
              </w:rPr>
            </w:pPr>
            <w:r>
              <w:rPr>
                <w:rFonts w:ascii="宋体" w:eastAsia="宋体" w:hAnsi="宋体" w:cs="宋体" w:hint="eastAsia"/>
                <w:b/>
                <w:bCs/>
                <w:sz w:val="24"/>
                <w:szCs w:val="24"/>
                <w:lang w:bidi="ar"/>
              </w:rPr>
              <w:t>海外销售收入</w:t>
            </w:r>
            <w:r>
              <w:rPr>
                <w:rFonts w:ascii="宋体" w:eastAsia="宋体" w:hAnsi="宋体" w:cs="宋体" w:hint="eastAsia"/>
                <w:sz w:val="24"/>
                <w:szCs w:val="24"/>
                <w:lang w:bidi="ar"/>
              </w:rPr>
              <w:t>：海外销售收入达到2.24亿元，同比增长62%。</w:t>
            </w:r>
          </w:p>
          <w:p w14:paraId="2B979C54" w14:textId="72A1D9BC" w:rsidR="00A02FDD" w:rsidRDefault="000C2AC0">
            <w:pPr>
              <w:spacing w:line="360" w:lineRule="auto"/>
              <w:ind w:firstLineChars="200" w:firstLine="482"/>
              <w:rPr>
                <w:rFonts w:ascii="宋体" w:eastAsia="宋体" w:hAnsi="宋体" w:cs="宋体"/>
                <w:sz w:val="24"/>
                <w:szCs w:val="24"/>
                <w:lang w:bidi="ar"/>
              </w:rPr>
            </w:pPr>
            <w:r>
              <w:rPr>
                <w:rFonts w:ascii="宋体" w:eastAsia="宋体" w:hAnsi="宋体" w:cs="宋体" w:hint="eastAsia"/>
                <w:b/>
                <w:bCs/>
                <w:sz w:val="24"/>
                <w:szCs w:val="24"/>
                <w:lang w:bidi="ar"/>
              </w:rPr>
              <w:t>扣非归母净利润</w:t>
            </w:r>
            <w:r>
              <w:rPr>
                <w:rFonts w:ascii="宋体" w:eastAsia="宋体" w:hAnsi="宋体" w:cs="宋体" w:hint="eastAsia"/>
                <w:sz w:val="24"/>
                <w:szCs w:val="24"/>
                <w:lang w:bidi="ar"/>
              </w:rPr>
              <w:t>：扣除非经常性损益后的归母净利润为3525.43万元，同比增长</w:t>
            </w:r>
            <w:r w:rsidR="00306C7C">
              <w:rPr>
                <w:rFonts w:ascii="宋体" w:eastAsia="宋体" w:hAnsi="宋体" w:cs="宋体" w:hint="eastAsia"/>
                <w:sz w:val="24"/>
                <w:szCs w:val="24"/>
                <w:lang w:bidi="ar"/>
              </w:rPr>
              <w:t>1</w:t>
            </w:r>
            <w:r w:rsidR="00306C7C">
              <w:rPr>
                <w:rFonts w:ascii="宋体" w:eastAsia="宋体" w:hAnsi="宋体" w:cs="宋体"/>
                <w:sz w:val="24"/>
                <w:szCs w:val="24"/>
                <w:lang w:bidi="ar"/>
              </w:rPr>
              <w:t>18</w:t>
            </w:r>
            <w:r>
              <w:rPr>
                <w:rFonts w:ascii="宋体" w:eastAsia="宋体" w:hAnsi="宋体" w:cs="宋体" w:hint="eastAsia"/>
                <w:sz w:val="24"/>
                <w:szCs w:val="24"/>
                <w:lang w:bidi="ar"/>
              </w:rPr>
              <w:t>%。</w:t>
            </w:r>
          </w:p>
          <w:p w14:paraId="5254A819" w14:textId="77777777" w:rsidR="00A02FDD" w:rsidRDefault="000C2AC0">
            <w:pPr>
              <w:spacing w:line="360" w:lineRule="auto"/>
              <w:ind w:firstLineChars="200" w:firstLine="482"/>
              <w:rPr>
                <w:rFonts w:ascii="宋体" w:eastAsia="宋体" w:hAnsi="宋体" w:cs="宋体"/>
                <w:sz w:val="24"/>
                <w:szCs w:val="24"/>
                <w:lang w:bidi="ar"/>
              </w:rPr>
            </w:pPr>
            <w:r>
              <w:rPr>
                <w:rFonts w:ascii="宋体" w:eastAsia="宋体" w:hAnsi="宋体" w:cs="宋体" w:hint="eastAsia"/>
                <w:b/>
                <w:bCs/>
                <w:sz w:val="24"/>
                <w:szCs w:val="24"/>
                <w:lang w:bidi="ar"/>
              </w:rPr>
              <w:t>经营性现金流净额</w:t>
            </w:r>
            <w:r>
              <w:rPr>
                <w:rFonts w:ascii="宋体" w:eastAsia="宋体" w:hAnsi="宋体" w:cs="宋体" w:hint="eastAsia"/>
                <w:sz w:val="24"/>
                <w:szCs w:val="24"/>
                <w:lang w:bidi="ar"/>
              </w:rPr>
              <w:t>：经营性现金流净额为1.02亿元，同比增长222%。</w:t>
            </w:r>
          </w:p>
          <w:p w14:paraId="090AC9DF" w14:textId="462AFA15" w:rsidR="00A02FDD" w:rsidRDefault="000C2AC0">
            <w:pPr>
              <w:spacing w:line="360" w:lineRule="auto"/>
              <w:ind w:firstLineChars="200" w:firstLine="482"/>
              <w:rPr>
                <w:rFonts w:ascii="微软雅黑" w:eastAsia="微软雅黑" w:hAnsi="微软雅黑" w:cs="微软雅黑"/>
                <w:sz w:val="22"/>
                <w:lang w:bidi="ar"/>
              </w:rPr>
            </w:pPr>
            <w:r>
              <w:rPr>
                <w:rFonts w:ascii="宋体" w:eastAsia="宋体" w:hAnsi="宋体" w:cs="宋体" w:hint="eastAsia"/>
                <w:b/>
                <w:bCs/>
                <w:sz w:val="24"/>
                <w:szCs w:val="24"/>
                <w:lang w:bidi="ar"/>
              </w:rPr>
              <w:t>研发投入</w:t>
            </w:r>
            <w:r>
              <w:rPr>
                <w:rFonts w:ascii="宋体" w:eastAsia="宋体" w:hAnsi="宋体" w:cs="宋体" w:hint="eastAsia"/>
                <w:sz w:val="24"/>
                <w:szCs w:val="24"/>
                <w:lang w:bidi="ar"/>
              </w:rPr>
              <w:t>：持续的研发投入，研发投入金额</w:t>
            </w:r>
            <w:r w:rsidR="004C4A26">
              <w:rPr>
                <w:rFonts w:ascii="宋体" w:eastAsia="宋体" w:hAnsi="宋体" w:cs="宋体" w:hint="eastAsia"/>
                <w:sz w:val="24"/>
                <w:szCs w:val="24"/>
                <w:lang w:bidi="ar"/>
              </w:rPr>
              <w:t>约</w:t>
            </w:r>
            <w:r>
              <w:rPr>
                <w:rFonts w:ascii="宋体" w:eastAsia="宋体" w:hAnsi="宋体" w:cs="宋体" w:hint="eastAsia"/>
                <w:sz w:val="24"/>
                <w:szCs w:val="24"/>
                <w:lang w:bidi="ar"/>
              </w:rPr>
              <w:t>2亿元。</w:t>
            </w:r>
          </w:p>
          <w:p w14:paraId="40087D10" w14:textId="77777777" w:rsidR="00A02FDD" w:rsidRDefault="000C2AC0">
            <w:pPr>
              <w:spacing w:line="360" w:lineRule="auto"/>
              <w:ind w:firstLineChars="200" w:firstLine="480"/>
              <w:rPr>
                <w:rFonts w:ascii="宋体" w:eastAsia="宋体" w:hAnsi="宋体" w:cs="宋体"/>
                <w:color w:val="000000"/>
                <w:sz w:val="24"/>
                <w:szCs w:val="24"/>
              </w:rPr>
            </w:pPr>
            <w:r>
              <w:rPr>
                <w:rFonts w:ascii="宋体" w:eastAsia="宋体" w:hAnsi="宋体" w:cs="宋体" w:hint="eastAsia"/>
                <w:sz w:val="24"/>
                <w:szCs w:val="24"/>
              </w:rPr>
              <w:t xml:space="preserve"> </w:t>
            </w:r>
          </w:p>
          <w:p w14:paraId="7E8915BD" w14:textId="77777777" w:rsidR="00A02FDD" w:rsidRDefault="000C2AC0">
            <w:pPr>
              <w:widowControl/>
              <w:spacing w:line="360" w:lineRule="auto"/>
              <w:ind w:firstLineChars="200" w:firstLine="482"/>
              <w:rPr>
                <w:rFonts w:ascii="宋体" w:eastAsia="宋体" w:hAnsi="宋体" w:cs="宋体"/>
                <w:b/>
                <w:bCs/>
                <w:color w:val="000000"/>
                <w:sz w:val="24"/>
                <w:szCs w:val="24"/>
              </w:rPr>
            </w:pPr>
            <w:r>
              <w:rPr>
                <w:rFonts w:ascii="宋体" w:eastAsia="宋体" w:hAnsi="宋体" w:cs="宋体" w:hint="eastAsia"/>
                <w:b/>
                <w:bCs/>
                <w:color w:val="000000"/>
                <w:sz w:val="24"/>
                <w:szCs w:val="24"/>
              </w:rPr>
              <w:t>二、交流的主要问题</w:t>
            </w:r>
          </w:p>
          <w:p w14:paraId="1E6B104F" w14:textId="77777777" w:rsidR="00A02FDD" w:rsidRDefault="000C2AC0">
            <w:pPr>
              <w:widowControl/>
              <w:spacing w:line="360" w:lineRule="auto"/>
              <w:ind w:firstLineChars="200" w:firstLine="482"/>
              <w:rPr>
                <w:rFonts w:ascii="宋体" w:eastAsia="宋体" w:hAnsi="宋体" w:cs="宋体"/>
                <w:b/>
                <w:bCs/>
                <w:color w:val="000000"/>
                <w:sz w:val="24"/>
                <w:szCs w:val="24"/>
              </w:rPr>
            </w:pPr>
            <w:r>
              <w:rPr>
                <w:rFonts w:ascii="宋体" w:eastAsia="宋体" w:hAnsi="宋体" w:cs="宋体" w:hint="eastAsia"/>
                <w:b/>
                <w:bCs/>
                <w:color w:val="000000"/>
                <w:sz w:val="24"/>
                <w:szCs w:val="24"/>
              </w:rPr>
              <w:t>1、公司创新药管线布局思路及战略？</w:t>
            </w:r>
          </w:p>
          <w:p w14:paraId="4B296FD6" w14:textId="77777777" w:rsidR="00A02FDD" w:rsidRDefault="000C2AC0">
            <w:pPr>
              <w:widowControl/>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答：公司的创新药物研发管线在不同阶段有着明确的战略和差异化的思路，具体而言：</w:t>
            </w:r>
          </w:p>
          <w:p w14:paraId="5AC2B2FB" w14:textId="77777777" w:rsidR="00A02FDD" w:rsidRDefault="000C2AC0">
            <w:pPr>
              <w:widowControl/>
              <w:spacing w:line="360" w:lineRule="auto"/>
              <w:ind w:firstLineChars="200" w:firstLine="482"/>
              <w:rPr>
                <w:rFonts w:ascii="宋体" w:eastAsia="宋体" w:hAnsi="宋体" w:cs="宋体"/>
                <w:color w:val="000000"/>
                <w:sz w:val="24"/>
                <w:szCs w:val="24"/>
              </w:rPr>
            </w:pPr>
            <w:r>
              <w:rPr>
                <w:rFonts w:ascii="宋体" w:eastAsia="宋体" w:hAnsi="宋体" w:cs="宋体" w:hint="eastAsia"/>
                <w:b/>
                <w:bCs/>
                <w:color w:val="000000"/>
                <w:sz w:val="24"/>
                <w:szCs w:val="24"/>
              </w:rPr>
              <w:t>2022年以前，Fast-follow单抗药物</w:t>
            </w:r>
            <w:r>
              <w:rPr>
                <w:rFonts w:ascii="宋体" w:eastAsia="宋体" w:hAnsi="宋体" w:cs="宋体" w:hint="eastAsia"/>
                <w:color w:val="000000"/>
                <w:sz w:val="24"/>
                <w:szCs w:val="24"/>
              </w:rPr>
              <w:t>：公司以新靶点的单克隆抗体（单抗）药物为主要布局方向。这种策略主要是紧跟前沿科学发现，快速跟进已有一定验证的新靶点。</w:t>
            </w:r>
          </w:p>
          <w:p w14:paraId="2035D9B7" w14:textId="77777777" w:rsidR="00A02FDD" w:rsidRDefault="000C2AC0">
            <w:pPr>
              <w:widowControl/>
              <w:spacing w:line="360" w:lineRule="auto"/>
              <w:ind w:firstLineChars="200" w:firstLine="482"/>
              <w:rPr>
                <w:rFonts w:ascii="宋体" w:eastAsia="宋体" w:hAnsi="宋体" w:cs="宋体"/>
                <w:color w:val="000000"/>
                <w:sz w:val="24"/>
                <w:szCs w:val="24"/>
              </w:rPr>
            </w:pPr>
            <w:r>
              <w:rPr>
                <w:rFonts w:ascii="宋体" w:eastAsia="宋体" w:hAnsi="宋体" w:cs="宋体" w:hint="eastAsia"/>
                <w:b/>
                <w:bCs/>
                <w:color w:val="000000"/>
                <w:sz w:val="24"/>
                <w:szCs w:val="24"/>
              </w:rPr>
              <w:t>2022年-2023年，布局“成熟靶点+创新靶点”双抗或三靶点抗体</w:t>
            </w:r>
            <w:r>
              <w:rPr>
                <w:rFonts w:ascii="宋体" w:eastAsia="宋体" w:hAnsi="宋体" w:cs="宋体" w:hint="eastAsia"/>
                <w:color w:val="000000"/>
                <w:sz w:val="24"/>
                <w:szCs w:val="24"/>
              </w:rPr>
              <w:t>：公司逐步转向成熟靶点与创新靶点相结合的双特异性抗体（双抗）或三靶点抗体药物的研发。这一策略结合了成熟靶点已知的有效性和安全性，以及创新靶点的潜力，旨在提高药物疗效和市场竞争力。</w:t>
            </w:r>
          </w:p>
          <w:p w14:paraId="72E8A7D1" w14:textId="77777777" w:rsidR="00A02FDD" w:rsidRDefault="000C2AC0">
            <w:pPr>
              <w:widowControl/>
              <w:spacing w:line="360" w:lineRule="auto"/>
              <w:ind w:firstLineChars="200" w:firstLine="482"/>
              <w:rPr>
                <w:rFonts w:ascii="宋体" w:eastAsia="宋体" w:hAnsi="宋体" w:cs="宋体"/>
                <w:color w:val="000000"/>
                <w:sz w:val="24"/>
                <w:szCs w:val="24"/>
              </w:rPr>
            </w:pPr>
            <w:r>
              <w:rPr>
                <w:rFonts w:ascii="宋体" w:eastAsia="宋体" w:hAnsi="宋体" w:cs="宋体" w:hint="eastAsia"/>
                <w:b/>
                <w:bCs/>
                <w:color w:val="000000"/>
                <w:sz w:val="24"/>
                <w:szCs w:val="24"/>
              </w:rPr>
              <w:t>2024年开始布局FIC类三靶点抗体药物</w:t>
            </w:r>
            <w:r>
              <w:rPr>
                <w:rFonts w:ascii="宋体" w:eastAsia="宋体" w:hAnsi="宋体" w:cs="宋体" w:hint="eastAsia"/>
                <w:color w:val="000000"/>
                <w:sz w:val="24"/>
                <w:szCs w:val="24"/>
              </w:rPr>
              <w:t>：公司进一步升级研发战略，开始立项布局具有全球首创（First-in-Class, FIC）潜力的三靶点抗体药物。这类药物的研发风险较高，但一旦成功，将可能带来革命性的治疗突破，并占据市场领先地位。</w:t>
            </w:r>
          </w:p>
          <w:p w14:paraId="6BA2ADA8" w14:textId="77777777" w:rsidR="00A02FDD" w:rsidRDefault="00A02FDD">
            <w:pPr>
              <w:widowControl/>
              <w:spacing w:line="360" w:lineRule="auto"/>
              <w:ind w:firstLineChars="200" w:firstLine="480"/>
              <w:rPr>
                <w:rFonts w:ascii="宋体" w:eastAsia="宋体" w:hAnsi="宋体" w:cs="宋体"/>
                <w:color w:val="000000"/>
                <w:sz w:val="24"/>
                <w:szCs w:val="24"/>
              </w:rPr>
            </w:pPr>
            <w:bookmarkStart w:id="1" w:name="_GoBack"/>
            <w:bookmarkEnd w:id="1"/>
          </w:p>
          <w:p w14:paraId="38D1BC94" w14:textId="77777777" w:rsidR="00A02FDD" w:rsidRDefault="000C2AC0">
            <w:pPr>
              <w:widowControl/>
              <w:spacing w:line="360" w:lineRule="auto"/>
              <w:ind w:firstLineChars="200" w:firstLine="482"/>
              <w:rPr>
                <w:rFonts w:ascii="宋体" w:eastAsia="宋体" w:hAnsi="宋体" w:cs="宋体"/>
                <w:b/>
                <w:bCs/>
                <w:color w:val="000000"/>
                <w:sz w:val="24"/>
                <w:szCs w:val="24"/>
              </w:rPr>
            </w:pPr>
            <w:r>
              <w:rPr>
                <w:rFonts w:ascii="宋体" w:eastAsia="宋体" w:hAnsi="宋体" w:cs="宋体" w:hint="eastAsia"/>
                <w:b/>
                <w:bCs/>
                <w:color w:val="000000"/>
                <w:sz w:val="24"/>
                <w:szCs w:val="24"/>
              </w:rPr>
              <w:t>2、创新管线对外BD预期和未来规划？</w:t>
            </w:r>
          </w:p>
          <w:p w14:paraId="7DEE3AC4" w14:textId="77777777" w:rsidR="00A02FDD" w:rsidRDefault="000C2AC0">
            <w:pPr>
              <w:widowControl/>
              <w:spacing w:line="360" w:lineRule="auto"/>
              <w:ind w:firstLineChars="200" w:firstLine="480"/>
              <w:rPr>
                <w:rFonts w:ascii="宋体" w:eastAsia="宋体" w:hAnsi="宋体" w:cs="宋体"/>
                <w:color w:val="171A1D"/>
                <w:sz w:val="24"/>
                <w:szCs w:val="24"/>
              </w:rPr>
            </w:pPr>
            <w:r>
              <w:rPr>
                <w:rFonts w:ascii="宋体" w:eastAsia="宋体" w:hAnsi="宋体" w:cs="宋体" w:hint="eastAsia"/>
                <w:color w:val="171A1D"/>
                <w:sz w:val="24"/>
                <w:szCs w:val="24"/>
                <w:shd w:val="clear" w:color="auto" w:fill="FFFFFF"/>
              </w:rPr>
              <w:t>答：公司正加速推进创新管线的研发进程和商务拓展布局，预计将在2025年完成部分研发管线的商务拓展合作。</w:t>
            </w:r>
          </w:p>
          <w:p w14:paraId="13936AB2" w14:textId="77777777" w:rsidR="00A02FDD" w:rsidRDefault="000C2AC0">
            <w:pPr>
              <w:widowControl/>
              <w:spacing w:line="360" w:lineRule="auto"/>
              <w:ind w:left="-360" w:firstLineChars="300" w:firstLine="720"/>
              <w:rPr>
                <w:rFonts w:ascii="宋体" w:eastAsia="宋体" w:hAnsi="宋体" w:cs="宋体"/>
                <w:color w:val="171A1D"/>
                <w:sz w:val="24"/>
                <w:szCs w:val="24"/>
                <w:shd w:val="clear" w:color="auto" w:fill="FFFFFF"/>
              </w:rPr>
            </w:pPr>
            <w:r>
              <w:rPr>
                <w:rFonts w:ascii="宋体" w:eastAsia="宋体" w:hAnsi="宋体" w:cs="宋体" w:hint="eastAsia"/>
                <w:color w:val="171A1D"/>
                <w:sz w:val="24"/>
                <w:szCs w:val="24"/>
                <w:shd w:val="clear" w:color="auto" w:fill="FFFFFF"/>
              </w:rPr>
              <w:t>未来，公司将更加关注处于先导化合物优化（PCC）到临床试验申请（IND）阶段的管线的海外商务拓展合作，对于具有全球首创（FIC）潜力的多靶点抗体药物管线，公司将主要面向跨国公司（MNC）开展商务合作。</w:t>
            </w:r>
          </w:p>
          <w:p w14:paraId="372F38E5" w14:textId="77777777" w:rsidR="00A02FDD" w:rsidRDefault="00A02FDD">
            <w:pPr>
              <w:widowControl/>
              <w:spacing w:line="360" w:lineRule="auto"/>
              <w:ind w:left="-360" w:firstLineChars="300" w:firstLine="720"/>
              <w:rPr>
                <w:rFonts w:ascii="宋体" w:eastAsia="宋体" w:hAnsi="宋体" w:cs="宋体"/>
                <w:color w:val="171A1D"/>
                <w:sz w:val="24"/>
                <w:szCs w:val="24"/>
                <w:shd w:val="clear" w:color="auto" w:fill="FFFFFF"/>
              </w:rPr>
            </w:pPr>
          </w:p>
          <w:p w14:paraId="22233809" w14:textId="77777777" w:rsidR="00A02FDD" w:rsidRDefault="000C2AC0">
            <w:pPr>
              <w:widowControl/>
              <w:spacing w:line="360" w:lineRule="auto"/>
              <w:ind w:firstLineChars="200" w:firstLine="482"/>
              <w:rPr>
                <w:rFonts w:ascii="宋体" w:eastAsia="宋体" w:hAnsi="宋体" w:cs="宋体"/>
                <w:b/>
                <w:bCs/>
                <w:color w:val="171A1D"/>
                <w:sz w:val="24"/>
                <w:szCs w:val="24"/>
                <w:shd w:val="clear" w:color="auto" w:fill="FFFFFF"/>
              </w:rPr>
            </w:pPr>
            <w:r>
              <w:rPr>
                <w:rFonts w:ascii="宋体" w:eastAsia="宋体" w:hAnsi="宋体" w:cs="宋体" w:hint="eastAsia"/>
                <w:b/>
                <w:bCs/>
                <w:color w:val="171A1D"/>
                <w:sz w:val="24"/>
                <w:szCs w:val="24"/>
                <w:shd w:val="clear" w:color="auto" w:fill="FFFFFF"/>
              </w:rPr>
              <w:t>3、GDF15靶点的GB18的特点、优势？预计何时有数据披露？</w:t>
            </w:r>
          </w:p>
          <w:p w14:paraId="4931446A" w14:textId="77777777" w:rsidR="00A02FDD" w:rsidRDefault="000C2AC0">
            <w:pPr>
              <w:widowControl/>
              <w:spacing w:line="360" w:lineRule="auto"/>
              <w:ind w:leftChars="200" w:left="420"/>
              <w:rPr>
                <w:rFonts w:ascii="宋体" w:eastAsia="宋体" w:hAnsi="宋体" w:cs="宋体"/>
                <w:b/>
                <w:bCs/>
                <w:sz w:val="24"/>
                <w:szCs w:val="24"/>
              </w:rPr>
            </w:pPr>
            <w:r>
              <w:rPr>
                <w:rFonts w:ascii="宋体" w:eastAsia="宋体" w:hAnsi="宋体" w:cs="宋体" w:hint="eastAsia"/>
                <w:color w:val="171A1D"/>
                <w:sz w:val="24"/>
                <w:szCs w:val="24"/>
                <w:shd w:val="clear" w:color="auto" w:fill="FFFFFF"/>
              </w:rPr>
              <w:t>答：GB18</w:t>
            </w:r>
            <w:r>
              <w:rPr>
                <w:rFonts w:ascii="宋体" w:eastAsia="宋体" w:hAnsi="宋体" w:cs="宋体" w:hint="eastAsia"/>
                <w:sz w:val="24"/>
                <w:szCs w:val="24"/>
                <w:shd w:val="clear" w:color="auto" w:fill="FFFFFF"/>
              </w:rPr>
              <w:t>临床前数据亮点：</w:t>
            </w:r>
          </w:p>
          <w:p w14:paraId="43092FF5" w14:textId="77777777" w:rsidR="00A02FDD" w:rsidRDefault="000C2AC0">
            <w:pPr>
              <w:widowControl/>
              <w:spacing w:line="360" w:lineRule="auto"/>
              <w:ind w:firstLineChars="200" w:firstLine="482"/>
              <w:rPr>
                <w:rFonts w:ascii="宋体" w:eastAsia="宋体" w:hAnsi="宋体" w:cs="宋体"/>
                <w:color w:val="000000"/>
                <w:sz w:val="24"/>
                <w:szCs w:val="24"/>
                <w:shd w:val="clear" w:color="auto" w:fill="FFFFFF"/>
              </w:rPr>
            </w:pPr>
            <w:r>
              <w:rPr>
                <w:rFonts w:ascii="宋体" w:eastAsia="宋体" w:hAnsi="宋体" w:cs="宋体" w:hint="eastAsia"/>
                <w:b/>
                <w:bCs/>
                <w:sz w:val="24"/>
                <w:szCs w:val="24"/>
                <w:shd w:val="clear" w:color="auto" w:fill="FFFFFF"/>
              </w:rPr>
              <w:t>显著改善体重下降</w:t>
            </w:r>
            <w:r>
              <w:rPr>
                <w:rFonts w:ascii="宋体" w:eastAsia="宋体" w:hAnsi="宋体" w:cs="宋体" w:hint="eastAsia"/>
                <w:sz w:val="24"/>
                <w:szCs w:val="24"/>
                <w:shd w:val="clear" w:color="auto" w:fill="FFFFFF"/>
              </w:rPr>
              <w:t>：通过阻断GDF15信号通路，GB18能够有效逆转肿瘤恶病质导致的体重减轻</w:t>
            </w:r>
            <w:r>
              <w:rPr>
                <w:rFonts w:ascii="宋体" w:eastAsia="宋体" w:hAnsi="宋体" w:cs="宋体" w:hint="eastAsia"/>
                <w:color w:val="000000"/>
                <w:sz w:val="24"/>
                <w:szCs w:val="24"/>
                <w:shd w:val="clear" w:color="auto" w:fill="FFFFFF"/>
              </w:rPr>
              <w:t>；</w:t>
            </w:r>
          </w:p>
          <w:p w14:paraId="4F79FA9B" w14:textId="77777777" w:rsidR="00A02FDD" w:rsidRDefault="000C2AC0">
            <w:pPr>
              <w:widowControl/>
              <w:spacing w:line="360" w:lineRule="auto"/>
              <w:ind w:firstLineChars="200" w:firstLine="482"/>
              <w:rPr>
                <w:rFonts w:ascii="宋体" w:eastAsia="宋体" w:hAnsi="宋体" w:cs="宋体"/>
                <w:color w:val="000000"/>
                <w:sz w:val="24"/>
                <w:szCs w:val="24"/>
                <w:shd w:val="clear" w:color="auto" w:fill="FFFFFF"/>
              </w:rPr>
            </w:pPr>
            <w:r>
              <w:rPr>
                <w:rFonts w:ascii="宋体" w:eastAsia="宋体" w:hAnsi="宋体" w:cs="宋体" w:hint="eastAsia"/>
                <w:b/>
                <w:bCs/>
                <w:color w:val="000000"/>
                <w:sz w:val="24"/>
                <w:szCs w:val="24"/>
                <w:shd w:val="clear" w:color="auto" w:fill="FFFFFF"/>
              </w:rPr>
              <w:t>提升肌肉和脂肪重量：</w:t>
            </w:r>
            <w:r>
              <w:rPr>
                <w:rFonts w:ascii="宋体" w:eastAsia="宋体" w:hAnsi="宋体" w:cs="宋体" w:hint="eastAsia"/>
                <w:color w:val="000000"/>
                <w:sz w:val="24"/>
                <w:szCs w:val="24"/>
                <w:shd w:val="clear" w:color="auto" w:fill="FFFFFF"/>
              </w:rPr>
              <w:t>体内实验表明，GB18能过显著提高模型动物的肌肉和脂肪重量，改善肌肉纤维的质量；</w:t>
            </w:r>
          </w:p>
          <w:p w14:paraId="5EA69DF6" w14:textId="77777777" w:rsidR="00A02FDD" w:rsidRDefault="000C2AC0">
            <w:pPr>
              <w:widowControl/>
              <w:spacing w:line="360" w:lineRule="auto"/>
              <w:ind w:firstLineChars="200" w:firstLine="482"/>
              <w:rPr>
                <w:rFonts w:ascii="宋体" w:eastAsia="宋体" w:hAnsi="宋体" w:cs="宋体"/>
                <w:color w:val="000000"/>
                <w:sz w:val="24"/>
                <w:szCs w:val="24"/>
                <w:shd w:val="clear" w:color="auto" w:fill="FFFFFF"/>
              </w:rPr>
            </w:pPr>
            <w:r>
              <w:rPr>
                <w:rFonts w:ascii="宋体" w:eastAsia="宋体" w:hAnsi="宋体" w:cs="宋体" w:hint="eastAsia"/>
                <w:b/>
                <w:bCs/>
                <w:color w:val="000000"/>
                <w:sz w:val="24"/>
                <w:szCs w:val="24"/>
                <w:shd w:val="clear" w:color="auto" w:fill="FFFFFF"/>
              </w:rPr>
              <w:t>改善运动功能：</w:t>
            </w:r>
            <w:r>
              <w:rPr>
                <w:rFonts w:ascii="宋体" w:eastAsia="宋体" w:hAnsi="宋体" w:cs="宋体" w:hint="eastAsia"/>
                <w:color w:val="000000"/>
                <w:sz w:val="24"/>
                <w:szCs w:val="24"/>
                <w:shd w:val="clear" w:color="auto" w:fill="FFFFFF"/>
              </w:rPr>
              <w:t>实验结果显示，接受GB18治疗的恶病质动物表现出更强的运动能力，以及和正常动物相近的机体能量代谢指标。</w:t>
            </w:r>
          </w:p>
          <w:p w14:paraId="2CD0493E" w14:textId="77777777" w:rsidR="00A02FDD" w:rsidRDefault="000C2AC0">
            <w:pPr>
              <w:widowControl/>
              <w:spacing w:line="360" w:lineRule="auto"/>
              <w:ind w:firstLineChars="200" w:firstLine="480"/>
              <w:rPr>
                <w:rFonts w:ascii="宋体" w:eastAsia="宋体" w:hAnsi="宋体" w:cs="宋体"/>
                <w:sz w:val="24"/>
                <w:szCs w:val="24"/>
              </w:rPr>
            </w:pPr>
            <w:r>
              <w:rPr>
                <w:rFonts w:ascii="宋体" w:eastAsia="宋体" w:hAnsi="宋体" w:cs="宋体" w:hint="eastAsia"/>
                <w:color w:val="000000"/>
                <w:sz w:val="24"/>
                <w:szCs w:val="24"/>
                <w:shd w:val="clear" w:color="auto" w:fill="FFFFFF"/>
              </w:rPr>
              <w:t>此外，基于临床前药代动力学（PK）数据，GB18预计可实现每3-4周一次的注射频率，大幅减少患者的用药负担，提高依从性。</w:t>
            </w:r>
            <w:r>
              <w:rPr>
                <w:rFonts w:ascii="宋体" w:eastAsia="宋体" w:hAnsi="宋体" w:cs="宋体" w:hint="eastAsia"/>
                <w:sz w:val="24"/>
                <w:szCs w:val="24"/>
              </w:rPr>
              <w:t>对标全球领先同靶点同适应症辉瑞管线Ponsegromab，公司GB18管线临床前数据，显示明显的差异化优势。</w:t>
            </w:r>
          </w:p>
          <w:p w14:paraId="1CEFB02B" w14:textId="77777777" w:rsidR="00A02FDD" w:rsidRDefault="000C2AC0">
            <w:pPr>
              <w:widowControl/>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该管线在国内IND申请已于3月获得国家药监局受理，美国FDA的IND申报中。</w:t>
            </w:r>
          </w:p>
          <w:p w14:paraId="4AA44C20" w14:textId="77777777" w:rsidR="00A02FDD" w:rsidRDefault="00A02FDD">
            <w:pPr>
              <w:widowControl/>
              <w:spacing w:line="360" w:lineRule="auto"/>
              <w:ind w:firstLineChars="200" w:firstLine="480"/>
              <w:rPr>
                <w:rFonts w:ascii="宋体" w:eastAsia="宋体" w:hAnsi="宋体" w:cs="宋体"/>
                <w:sz w:val="24"/>
                <w:szCs w:val="24"/>
              </w:rPr>
            </w:pPr>
          </w:p>
          <w:p w14:paraId="38E9C4A9" w14:textId="77777777" w:rsidR="00A02FDD" w:rsidRDefault="000C2AC0">
            <w:pPr>
              <w:widowControl/>
              <w:spacing w:line="360" w:lineRule="auto"/>
              <w:ind w:firstLineChars="200" w:firstLine="482"/>
              <w:rPr>
                <w:rFonts w:ascii="宋体" w:eastAsia="宋体" w:hAnsi="宋体" w:cs="宋体"/>
                <w:b/>
                <w:bCs/>
                <w:color w:val="171A1D"/>
                <w:sz w:val="24"/>
                <w:szCs w:val="24"/>
                <w:shd w:val="clear" w:color="auto" w:fill="FFFFFF"/>
              </w:rPr>
            </w:pPr>
            <w:r>
              <w:rPr>
                <w:rFonts w:ascii="宋体" w:eastAsia="宋体" w:hAnsi="宋体" w:cs="宋体" w:hint="eastAsia"/>
                <w:b/>
                <w:bCs/>
                <w:color w:val="171A1D"/>
                <w:sz w:val="24"/>
                <w:szCs w:val="24"/>
                <w:shd w:val="clear" w:color="auto" w:fill="FFFFFF"/>
              </w:rPr>
              <w:t>4、GB12管线</w:t>
            </w:r>
            <w:r>
              <w:rPr>
                <w:rFonts w:ascii="宋体" w:eastAsia="宋体" w:hAnsi="宋体" w:cs="宋体"/>
                <w:b/>
                <w:bCs/>
                <w:color w:val="171A1D"/>
                <w:sz w:val="24"/>
                <w:szCs w:val="24"/>
                <w:shd w:val="clear" w:color="auto" w:fill="FFFFFF"/>
              </w:rPr>
              <w:t>特点，</w:t>
            </w:r>
            <w:r>
              <w:rPr>
                <w:rFonts w:ascii="宋体" w:eastAsia="宋体" w:hAnsi="宋体" w:cs="宋体" w:hint="eastAsia"/>
                <w:b/>
                <w:bCs/>
                <w:color w:val="171A1D"/>
                <w:sz w:val="24"/>
                <w:szCs w:val="24"/>
                <w:shd w:val="clear" w:color="auto" w:fill="FFFFFF"/>
              </w:rPr>
              <w:t>BD</w:t>
            </w:r>
            <w:r>
              <w:rPr>
                <w:rFonts w:ascii="宋体" w:eastAsia="宋体" w:hAnsi="宋体" w:cs="宋体"/>
                <w:b/>
                <w:bCs/>
                <w:color w:val="171A1D"/>
                <w:sz w:val="24"/>
                <w:szCs w:val="24"/>
                <w:shd w:val="clear" w:color="auto" w:fill="FFFFFF"/>
              </w:rPr>
              <w:t>预期，后续</w:t>
            </w:r>
            <w:r>
              <w:rPr>
                <w:rFonts w:ascii="宋体" w:eastAsia="宋体" w:hAnsi="宋体" w:cs="宋体" w:hint="eastAsia"/>
                <w:b/>
                <w:bCs/>
                <w:color w:val="171A1D"/>
                <w:sz w:val="24"/>
                <w:szCs w:val="24"/>
                <w:shd w:val="clear" w:color="auto" w:fill="FFFFFF"/>
              </w:rPr>
              <w:t>AI</w:t>
            </w:r>
            <w:r>
              <w:rPr>
                <w:rFonts w:ascii="宋体" w:eastAsia="宋体" w:hAnsi="宋体" w:cs="宋体"/>
                <w:b/>
                <w:bCs/>
                <w:color w:val="171A1D"/>
                <w:sz w:val="24"/>
                <w:szCs w:val="24"/>
                <w:shd w:val="clear" w:color="auto" w:fill="FFFFFF"/>
              </w:rPr>
              <w:t>结合应用</w:t>
            </w:r>
            <w:r>
              <w:rPr>
                <w:rFonts w:ascii="宋体" w:eastAsia="宋体" w:hAnsi="宋体" w:cs="宋体" w:hint="eastAsia"/>
                <w:b/>
                <w:bCs/>
                <w:color w:val="171A1D"/>
                <w:sz w:val="24"/>
                <w:szCs w:val="24"/>
                <w:shd w:val="clear" w:color="auto" w:fill="FFFFFF"/>
              </w:rPr>
              <w:t>方面的计划</w:t>
            </w:r>
            <w:r>
              <w:rPr>
                <w:rFonts w:ascii="宋体" w:eastAsia="宋体" w:hAnsi="宋体" w:cs="宋体"/>
                <w:b/>
                <w:bCs/>
                <w:color w:val="171A1D"/>
                <w:sz w:val="24"/>
                <w:szCs w:val="24"/>
                <w:shd w:val="clear" w:color="auto" w:fill="FFFFFF"/>
              </w:rPr>
              <w:t xml:space="preserve"> </w:t>
            </w:r>
          </w:p>
          <w:p w14:paraId="6EE53CEA" w14:textId="77777777" w:rsidR="00A02FDD" w:rsidRDefault="000C2AC0">
            <w:pPr>
              <w:widowControl/>
              <w:spacing w:line="360" w:lineRule="auto"/>
              <w:ind w:firstLineChars="200" w:firstLine="482"/>
              <w:rPr>
                <w:rFonts w:ascii="宋体" w:eastAsia="宋体" w:hAnsi="宋体" w:cs="宋体"/>
                <w:color w:val="000000"/>
                <w:sz w:val="24"/>
                <w:szCs w:val="24"/>
                <w:shd w:val="clear" w:color="auto" w:fill="FFFFFF"/>
              </w:rPr>
            </w:pPr>
            <w:r>
              <w:rPr>
                <w:rFonts w:ascii="宋体" w:eastAsia="宋体" w:hAnsi="宋体" w:cs="宋体" w:hint="eastAsia"/>
                <w:b/>
                <w:bCs/>
                <w:color w:val="000000"/>
                <w:sz w:val="24"/>
                <w:szCs w:val="24"/>
                <w:shd w:val="clear" w:color="auto" w:fill="FFFFFF"/>
              </w:rPr>
              <w:t>答：</w:t>
            </w:r>
            <w:r>
              <w:rPr>
                <w:rFonts w:ascii="宋体" w:eastAsia="宋体" w:hAnsi="宋体" w:cs="宋体" w:hint="eastAsia"/>
                <w:sz w:val="24"/>
                <w:szCs w:val="24"/>
                <w:shd w:val="clear" w:color="auto" w:fill="FFFFFF"/>
              </w:rPr>
              <w:t>GB12是一款创新的双特异性抗体（双抗），其结合了IL-4R和IL-31两个关键靶点的优势，其</w:t>
            </w:r>
            <w:r>
              <w:rPr>
                <w:rFonts w:ascii="宋体" w:eastAsia="宋体" w:hAnsi="宋体" w:cs="宋体"/>
                <w:color w:val="000000"/>
                <w:sz w:val="24"/>
                <w:szCs w:val="24"/>
                <w:shd w:val="clear" w:color="auto" w:fill="FFFFFF"/>
              </w:rPr>
              <w:t>药物设计特点</w:t>
            </w:r>
            <w:r>
              <w:rPr>
                <w:rFonts w:ascii="宋体" w:eastAsia="宋体" w:hAnsi="宋体" w:cs="宋体" w:hint="eastAsia"/>
                <w:color w:val="000000"/>
                <w:sz w:val="24"/>
                <w:szCs w:val="24"/>
                <w:shd w:val="clear" w:color="auto" w:fill="FFFFFF"/>
              </w:rPr>
              <w:t>为：</w:t>
            </w:r>
          </w:p>
          <w:p w14:paraId="38CEBF84" w14:textId="77777777" w:rsidR="00A02FDD" w:rsidRDefault="000C2AC0">
            <w:pPr>
              <w:widowControl/>
              <w:spacing w:line="360" w:lineRule="auto"/>
              <w:ind w:firstLineChars="200" w:firstLine="482"/>
              <w:rPr>
                <w:rFonts w:ascii="宋体" w:eastAsia="宋体" w:hAnsi="宋体" w:cs="宋体"/>
                <w:color w:val="000000"/>
                <w:sz w:val="24"/>
                <w:szCs w:val="24"/>
                <w:shd w:val="clear" w:color="auto" w:fill="FFFFFF"/>
              </w:rPr>
            </w:pPr>
            <w:r>
              <w:rPr>
                <w:rFonts w:ascii="宋体" w:eastAsia="宋体" w:hAnsi="宋体" w:cs="宋体" w:hint="eastAsia"/>
                <w:b/>
                <w:bCs/>
                <w:color w:val="000000"/>
                <w:sz w:val="24"/>
                <w:szCs w:val="24"/>
                <w:shd w:val="clear" w:color="auto" w:fill="FFFFFF"/>
              </w:rPr>
              <w:t>（1）</w:t>
            </w:r>
            <w:r>
              <w:rPr>
                <w:rFonts w:ascii="宋体" w:eastAsia="宋体" w:hAnsi="宋体" w:cs="宋体"/>
                <w:b/>
                <w:bCs/>
                <w:color w:val="000000"/>
                <w:sz w:val="24"/>
                <w:szCs w:val="24"/>
                <w:shd w:val="clear" w:color="auto" w:fill="FFFFFF"/>
              </w:rPr>
              <w:t>靶点组合：</w:t>
            </w:r>
            <w:r>
              <w:rPr>
                <w:rFonts w:ascii="宋体" w:eastAsia="宋体" w:hAnsi="宋体" w:cs="宋体"/>
                <w:color w:val="000000"/>
                <w:sz w:val="24"/>
                <w:szCs w:val="24"/>
                <w:shd w:val="clear" w:color="auto" w:fill="FFFFFF"/>
              </w:rPr>
              <w:t>该药物结合了IL-4R（白介素-4受体）VHH纳米抗体和IL31R（白介素-31受体）全抗，形成双特异性抗体。这种设计使其能够同时作用于炎症和止痒两条通路</w:t>
            </w:r>
            <w:r>
              <w:rPr>
                <w:rFonts w:ascii="宋体" w:eastAsia="宋体" w:hAnsi="宋体" w:cs="宋体" w:hint="eastAsia"/>
                <w:color w:val="000000"/>
                <w:sz w:val="24"/>
                <w:szCs w:val="24"/>
                <w:shd w:val="clear" w:color="auto" w:fill="FFFFFF"/>
              </w:rPr>
              <w:t>，达到双管齐下的效果</w:t>
            </w:r>
            <w:r>
              <w:rPr>
                <w:rFonts w:ascii="宋体" w:eastAsia="宋体" w:hAnsi="宋体" w:cs="宋体"/>
                <w:color w:val="000000"/>
                <w:sz w:val="24"/>
                <w:szCs w:val="24"/>
                <w:shd w:val="clear" w:color="auto" w:fill="FFFFFF"/>
              </w:rPr>
              <w:t>。</w:t>
            </w:r>
          </w:p>
          <w:p w14:paraId="28F7898A" w14:textId="77777777" w:rsidR="00A02FDD" w:rsidRDefault="000C2AC0">
            <w:pPr>
              <w:widowControl/>
              <w:spacing w:line="360" w:lineRule="auto"/>
              <w:ind w:firstLineChars="200" w:firstLine="482"/>
              <w:rPr>
                <w:rFonts w:ascii="宋体" w:eastAsia="宋体" w:hAnsi="宋体" w:cs="宋体"/>
                <w:color w:val="000000"/>
                <w:sz w:val="24"/>
                <w:szCs w:val="24"/>
                <w:shd w:val="clear" w:color="auto" w:fill="FFFFFF"/>
              </w:rPr>
            </w:pPr>
            <w:r>
              <w:rPr>
                <w:rFonts w:ascii="宋体" w:eastAsia="宋体" w:hAnsi="宋体" w:cs="宋体" w:hint="eastAsia"/>
                <w:b/>
                <w:bCs/>
                <w:color w:val="000000"/>
                <w:sz w:val="24"/>
                <w:szCs w:val="24"/>
                <w:shd w:val="clear" w:color="auto" w:fill="FFFFFF"/>
              </w:rPr>
              <w:t>（2）</w:t>
            </w:r>
            <w:r>
              <w:rPr>
                <w:rFonts w:ascii="宋体" w:eastAsia="宋体" w:hAnsi="宋体" w:cs="宋体"/>
                <w:b/>
                <w:bCs/>
                <w:color w:val="000000"/>
                <w:sz w:val="24"/>
                <w:szCs w:val="24"/>
                <w:shd w:val="clear" w:color="auto" w:fill="FFFFFF"/>
              </w:rPr>
              <w:t>Fc端改造</w:t>
            </w:r>
            <w:r>
              <w:rPr>
                <w:rFonts w:ascii="宋体" w:eastAsia="宋体" w:hAnsi="宋体" w:cs="宋体"/>
                <w:color w:val="000000"/>
                <w:sz w:val="24"/>
                <w:szCs w:val="24"/>
                <w:shd w:val="clear" w:color="auto" w:fill="FFFFFF"/>
              </w:rPr>
              <w:t>：通过YTE技术对Fc端进行半衰期延长改造，提高了药物在体内的稳定性，为后续皮下制剂的开发提供了可能性。</w:t>
            </w:r>
          </w:p>
          <w:p w14:paraId="1B466159" w14:textId="77777777" w:rsidR="00A02FDD" w:rsidRDefault="000C2AC0">
            <w:pPr>
              <w:widowControl/>
              <w:spacing w:line="360" w:lineRule="auto"/>
              <w:ind w:firstLineChars="200" w:firstLine="482"/>
              <w:rPr>
                <w:rFonts w:ascii="宋体" w:eastAsia="宋体" w:hAnsi="宋体" w:cs="宋体"/>
                <w:color w:val="000000"/>
                <w:sz w:val="24"/>
                <w:szCs w:val="24"/>
                <w:shd w:val="clear" w:color="auto" w:fill="FFFFFF"/>
              </w:rPr>
            </w:pPr>
            <w:r>
              <w:rPr>
                <w:rFonts w:ascii="宋体" w:eastAsia="宋体" w:hAnsi="宋体" w:cs="宋体" w:hint="eastAsia"/>
                <w:b/>
                <w:bCs/>
                <w:color w:val="000000"/>
                <w:sz w:val="24"/>
                <w:szCs w:val="24"/>
                <w:shd w:val="clear" w:color="auto" w:fill="FFFFFF"/>
              </w:rPr>
              <w:t>（3）</w:t>
            </w:r>
            <w:r>
              <w:rPr>
                <w:rFonts w:ascii="宋体" w:eastAsia="宋体" w:hAnsi="宋体" w:cs="宋体"/>
                <w:b/>
                <w:bCs/>
                <w:color w:val="000000"/>
                <w:sz w:val="24"/>
                <w:szCs w:val="24"/>
                <w:shd w:val="clear" w:color="auto" w:fill="FFFFFF"/>
              </w:rPr>
              <w:t>临床前数据表现：</w:t>
            </w:r>
            <w:r>
              <w:rPr>
                <w:rFonts w:ascii="宋体" w:eastAsia="宋体" w:hAnsi="宋体" w:cs="宋体"/>
                <w:color w:val="000000"/>
                <w:sz w:val="24"/>
                <w:szCs w:val="24"/>
                <w:shd w:val="clear" w:color="auto" w:fill="FFFFFF"/>
              </w:rPr>
              <w:t xml:space="preserve"> 在炎症和止痒方面展现了双重作用。药效与已上市药物杜普利尤单抗（Dupilumab，针对IL-4R和IL-13R）和奈莫利珠单抗（Nemolizumab，针对IL-31R）相当，具有较强的竞争力。</w:t>
            </w:r>
          </w:p>
          <w:p w14:paraId="5601154B" w14:textId="77777777" w:rsidR="00A02FDD" w:rsidRDefault="000C2AC0">
            <w:pPr>
              <w:widowControl/>
              <w:spacing w:line="360" w:lineRule="auto"/>
              <w:ind w:firstLineChars="200" w:firstLine="482"/>
              <w:rPr>
                <w:rFonts w:ascii="宋体" w:eastAsia="宋体" w:hAnsi="宋体" w:cs="宋体"/>
                <w:b/>
                <w:bCs/>
                <w:color w:val="000000"/>
                <w:sz w:val="24"/>
                <w:szCs w:val="24"/>
                <w:shd w:val="clear" w:color="auto" w:fill="FFFFFF"/>
              </w:rPr>
            </w:pPr>
            <w:r>
              <w:rPr>
                <w:rFonts w:ascii="宋体" w:eastAsia="宋体" w:hAnsi="宋体" w:cs="宋体" w:hint="eastAsia"/>
                <w:b/>
                <w:bCs/>
                <w:color w:val="000000"/>
                <w:sz w:val="24"/>
                <w:szCs w:val="24"/>
                <w:shd w:val="clear" w:color="auto" w:fill="FFFFFF"/>
              </w:rPr>
              <w:t>对外BD及</w:t>
            </w:r>
            <w:r>
              <w:rPr>
                <w:rFonts w:ascii="宋体" w:eastAsia="宋体" w:hAnsi="宋体" w:cs="宋体"/>
                <w:b/>
                <w:bCs/>
                <w:color w:val="000000"/>
                <w:sz w:val="24"/>
                <w:szCs w:val="24"/>
                <w:shd w:val="clear" w:color="auto" w:fill="FFFFFF"/>
              </w:rPr>
              <w:t xml:space="preserve"> AI技术应用</w:t>
            </w:r>
          </w:p>
          <w:p w14:paraId="58023CC5" w14:textId="77777777" w:rsidR="00A02FDD" w:rsidRDefault="000C2AC0">
            <w:pPr>
              <w:widowControl/>
              <w:spacing w:line="360" w:lineRule="auto"/>
              <w:ind w:firstLineChars="200" w:firstLine="480"/>
              <w:rPr>
                <w:rFonts w:ascii="宋体" w:eastAsia="宋体" w:hAnsi="宋体" w:cs="宋体"/>
                <w:color w:val="000000"/>
                <w:sz w:val="24"/>
                <w:szCs w:val="24"/>
                <w:shd w:val="clear" w:color="auto" w:fill="FFFFFF"/>
              </w:rPr>
            </w:pPr>
            <w:r>
              <w:rPr>
                <w:rFonts w:ascii="宋体" w:eastAsia="宋体" w:hAnsi="宋体" w:cs="宋体"/>
                <w:color w:val="000000"/>
                <w:sz w:val="24"/>
                <w:szCs w:val="24"/>
                <w:shd w:val="clear" w:color="auto" w:fill="FFFFFF"/>
              </w:rPr>
              <w:t>目前，该靶点组合的双特异性抗体市场竞争较小，尚未有同类产品上市或进入后期临床阶段。这为公司的药物开发提供了良好的市场空间。</w:t>
            </w:r>
          </w:p>
          <w:p w14:paraId="6A867AD1" w14:textId="77777777" w:rsidR="00A02FDD" w:rsidRDefault="000C2AC0">
            <w:pPr>
              <w:widowControl/>
              <w:spacing w:line="360" w:lineRule="auto"/>
              <w:ind w:firstLineChars="200" w:firstLine="480"/>
              <w:rPr>
                <w:rFonts w:ascii="宋体" w:eastAsia="宋体" w:hAnsi="宋体" w:cs="宋体"/>
                <w:color w:val="000000"/>
                <w:sz w:val="24"/>
                <w:szCs w:val="24"/>
                <w:shd w:val="clear" w:color="auto" w:fill="FFFFFF"/>
              </w:rPr>
            </w:pPr>
            <w:r>
              <w:rPr>
                <w:rFonts w:ascii="宋体" w:eastAsia="宋体" w:hAnsi="宋体" w:cs="宋体"/>
                <w:color w:val="000000"/>
                <w:sz w:val="24"/>
                <w:szCs w:val="24"/>
                <w:shd w:val="clear" w:color="auto" w:fill="FFFFFF"/>
              </w:rPr>
              <w:t>公司与百图生科建立了合作关系，利用AI技术参与多靶点药物的早期分子设计与开发。随着AI技术的深入应用，公司将逐步拓展到</w:t>
            </w:r>
            <w:r>
              <w:rPr>
                <w:rFonts w:ascii="宋体" w:eastAsia="宋体" w:hAnsi="宋体" w:cs="宋体" w:hint="eastAsia"/>
                <w:color w:val="000000"/>
                <w:sz w:val="24"/>
                <w:szCs w:val="24"/>
                <w:shd w:val="clear" w:color="auto" w:fill="FFFFFF"/>
              </w:rPr>
              <w:t>双</w:t>
            </w:r>
            <w:r>
              <w:rPr>
                <w:rFonts w:ascii="宋体" w:eastAsia="宋体" w:hAnsi="宋体" w:cs="宋体"/>
                <w:color w:val="000000"/>
                <w:sz w:val="24"/>
                <w:szCs w:val="24"/>
                <w:shd w:val="clear" w:color="auto" w:fill="FFFFFF"/>
              </w:rPr>
              <w:t>靶</w:t>
            </w:r>
            <w:r>
              <w:rPr>
                <w:rFonts w:ascii="宋体" w:eastAsia="宋体" w:hAnsi="宋体" w:cs="宋体" w:hint="eastAsia"/>
                <w:color w:val="000000"/>
                <w:sz w:val="24"/>
                <w:szCs w:val="24"/>
                <w:shd w:val="clear" w:color="auto" w:fill="FFFFFF"/>
              </w:rPr>
              <w:t>及三靶</w:t>
            </w:r>
            <w:r>
              <w:rPr>
                <w:rFonts w:ascii="宋体" w:eastAsia="宋体" w:hAnsi="宋体" w:cs="宋体"/>
                <w:color w:val="000000"/>
                <w:sz w:val="24"/>
                <w:szCs w:val="24"/>
                <w:shd w:val="clear" w:color="auto" w:fill="FFFFFF"/>
              </w:rPr>
              <w:t>点药物的研发领域，进一步</w:t>
            </w:r>
            <w:r>
              <w:rPr>
                <w:rFonts w:ascii="宋体" w:eastAsia="宋体" w:hAnsi="宋体" w:cs="宋体" w:hint="eastAsia"/>
                <w:color w:val="000000"/>
                <w:sz w:val="24"/>
                <w:szCs w:val="24"/>
                <w:shd w:val="clear" w:color="auto" w:fill="FFFFFF"/>
              </w:rPr>
              <w:t>提升研发效率。</w:t>
            </w:r>
          </w:p>
          <w:p w14:paraId="59376CCC" w14:textId="77777777" w:rsidR="00A02FDD" w:rsidRDefault="00A02FDD">
            <w:pPr>
              <w:widowControl/>
              <w:spacing w:line="360" w:lineRule="auto"/>
              <w:ind w:firstLineChars="200" w:firstLine="480"/>
              <w:rPr>
                <w:rFonts w:ascii="宋体" w:eastAsia="宋体" w:hAnsi="宋体" w:cs="宋体"/>
                <w:color w:val="000000"/>
                <w:sz w:val="24"/>
                <w:szCs w:val="24"/>
                <w:shd w:val="clear" w:color="auto" w:fill="FFFFFF"/>
              </w:rPr>
            </w:pPr>
          </w:p>
          <w:p w14:paraId="5F80DC3A" w14:textId="77777777" w:rsidR="00A02FDD" w:rsidRDefault="000C2AC0">
            <w:pPr>
              <w:widowControl/>
              <w:spacing w:line="360" w:lineRule="auto"/>
              <w:ind w:firstLineChars="200" w:firstLine="482"/>
              <w:rPr>
                <w:rFonts w:ascii="宋体" w:eastAsia="宋体" w:hAnsi="宋体" w:cs="宋体"/>
                <w:b/>
                <w:bCs/>
                <w:color w:val="171A1D"/>
                <w:sz w:val="24"/>
                <w:szCs w:val="24"/>
                <w:shd w:val="clear" w:color="auto" w:fill="FFFFFF"/>
              </w:rPr>
            </w:pPr>
            <w:r>
              <w:rPr>
                <w:rFonts w:ascii="宋体" w:eastAsia="宋体" w:hAnsi="宋体" w:cs="宋体" w:hint="eastAsia"/>
                <w:b/>
                <w:bCs/>
                <w:color w:val="171A1D"/>
                <w:sz w:val="24"/>
                <w:szCs w:val="24"/>
                <w:shd w:val="clear" w:color="auto" w:fill="FFFFFF"/>
              </w:rPr>
              <w:t>5、Tl1a适应症布局考量，如何看待在纤维化相关疾病的差异化机会？</w:t>
            </w:r>
          </w:p>
          <w:p w14:paraId="2C227145" w14:textId="77777777" w:rsidR="00A02FDD" w:rsidRDefault="000C2AC0">
            <w:pPr>
              <w:widowControl/>
              <w:spacing w:line="360" w:lineRule="auto"/>
              <w:ind w:firstLineChars="200" w:firstLine="480"/>
              <w:rPr>
                <w:rFonts w:ascii="宋体" w:eastAsia="宋体" w:hAnsi="宋体" w:cs="宋体"/>
                <w:sz w:val="24"/>
                <w:szCs w:val="24"/>
              </w:rPr>
            </w:pPr>
            <w:r>
              <w:rPr>
                <w:rFonts w:ascii="宋体" w:eastAsia="宋体" w:hAnsi="宋体" w:cs="宋体" w:hint="eastAsia"/>
                <w:sz w:val="24"/>
                <w:szCs w:val="24"/>
                <w:shd w:val="clear" w:color="auto" w:fill="FFFFFF"/>
              </w:rPr>
              <w:t>答：公司GB20项目聚焦于TL1A这一重要靶点，其主要作用机制是通过调节T细胞的功能，从而影响炎症因子的分泌。在分子活性验证中，该药物展现了出色的潜力，在炎症性溃疡和纤维化方面均取得了良好的效果。这表明，TL1A靶点在治疗与炎症相关的疾病（如炎症性肠病，IBD）方面具有重要意义；</w:t>
            </w:r>
          </w:p>
          <w:p w14:paraId="564CC8B9" w14:textId="77777777" w:rsidR="00A02FDD" w:rsidRDefault="000C2AC0">
            <w:pPr>
              <w:widowControl/>
              <w:spacing w:line="360" w:lineRule="auto"/>
              <w:ind w:firstLineChars="200" w:firstLine="480"/>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公司GB24项目除了靶向TL1A之外，还靶向了另一个IBD方面的新兴靶点，功能、机制上和TL1A有较强的协同效应，以及与单抗药物相比的显著优势，在消炎的同时关注纤维化的预防和进程控制，可以覆盖IBD全病程周期，有望实现更优的抗炎症药效，是极具价值的管线。</w:t>
            </w:r>
          </w:p>
          <w:p w14:paraId="4CEA705D" w14:textId="77777777" w:rsidR="00A02FDD" w:rsidRDefault="00A02FDD">
            <w:pPr>
              <w:widowControl/>
              <w:spacing w:line="360" w:lineRule="auto"/>
              <w:ind w:firstLineChars="200" w:firstLine="480"/>
              <w:rPr>
                <w:rFonts w:ascii="宋体" w:eastAsia="宋体" w:hAnsi="宋体" w:cs="宋体"/>
                <w:sz w:val="24"/>
                <w:szCs w:val="24"/>
                <w:shd w:val="clear" w:color="auto" w:fill="FFFFFF"/>
              </w:rPr>
            </w:pPr>
          </w:p>
          <w:p w14:paraId="47743E93" w14:textId="77777777" w:rsidR="00A02FDD" w:rsidRDefault="000C2AC0">
            <w:pPr>
              <w:widowControl/>
              <w:spacing w:line="360" w:lineRule="auto"/>
              <w:ind w:firstLineChars="200" w:firstLine="482"/>
              <w:rPr>
                <w:rFonts w:ascii="宋体" w:eastAsia="宋体" w:hAnsi="宋体" w:cs="宋体"/>
                <w:b/>
                <w:bCs/>
                <w:color w:val="000000"/>
                <w:sz w:val="24"/>
                <w:szCs w:val="24"/>
              </w:rPr>
            </w:pPr>
            <w:r>
              <w:rPr>
                <w:rFonts w:ascii="宋体" w:eastAsia="宋体" w:hAnsi="宋体" w:cs="宋体" w:hint="eastAsia"/>
                <w:b/>
                <w:bCs/>
                <w:color w:val="000000"/>
                <w:sz w:val="24"/>
                <w:szCs w:val="24"/>
              </w:rPr>
              <w:t>6、上半年白紫发货情况？海外新品获批预期？</w:t>
            </w:r>
          </w:p>
          <w:p w14:paraId="18889355" w14:textId="77777777" w:rsidR="00A02FDD" w:rsidRDefault="000C2AC0">
            <w:pPr>
              <w:widowControl/>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答：从2024年8月白紫在欧盟开始销售起，陆续收到欧盟国家不错体量的订单，2025年全年已按照订单排产。截至目前，公司白紫在欧盟多个国家的市场份额不断提升。</w:t>
            </w:r>
          </w:p>
          <w:p w14:paraId="07691E24" w14:textId="77777777" w:rsidR="00A02FDD" w:rsidRDefault="00A02FDD">
            <w:pPr>
              <w:widowControl/>
              <w:spacing w:line="360" w:lineRule="auto"/>
              <w:ind w:firstLineChars="200" w:firstLine="480"/>
              <w:rPr>
                <w:rFonts w:ascii="宋体" w:eastAsia="宋体" w:hAnsi="宋体" w:cs="宋体"/>
                <w:sz w:val="24"/>
                <w:szCs w:val="24"/>
                <w:shd w:val="clear" w:color="auto" w:fill="FFFFFF"/>
              </w:rPr>
            </w:pPr>
          </w:p>
          <w:p w14:paraId="361B8E50" w14:textId="77777777" w:rsidR="00A02FDD" w:rsidRDefault="000C2AC0">
            <w:pPr>
              <w:widowControl/>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7、海外商业化未来规划？</w:t>
            </w:r>
          </w:p>
          <w:p w14:paraId="20E69289" w14:textId="77777777" w:rsidR="00A02FDD" w:rsidRDefault="000C2AC0">
            <w:pPr>
              <w:widowControl/>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答：（1）重点市场、重点产品的引进</w:t>
            </w:r>
          </w:p>
          <w:p w14:paraId="61181D16" w14:textId="77777777" w:rsidR="00A02FDD" w:rsidRDefault="000C2AC0">
            <w:pPr>
              <w:widowControl/>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公司将重点以欧美法规市场需求为导向，大力引进高技术壁垒产品，聚集重点疾病领域，打造高品质药出海平台，为公司的长远发展与高质量增长持续注入新动力。</w:t>
            </w:r>
          </w:p>
          <w:p w14:paraId="7A97532A" w14:textId="77777777" w:rsidR="00A02FDD" w:rsidRDefault="000C2AC0">
            <w:pPr>
              <w:widowControl/>
              <w:numPr>
                <w:ilvl w:val="0"/>
                <w:numId w:val="1"/>
              </w:num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推进海外子公司逐步本地化运营</w:t>
            </w:r>
          </w:p>
          <w:p w14:paraId="4C4EA924" w14:textId="77777777" w:rsidR="00A02FDD" w:rsidRDefault="000C2AC0">
            <w:pPr>
              <w:widowControl/>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加快搭建德国、巴西、墨西哥、新加坡、埃及、越南等海外分子公司的本土团队，积极引进具有国际化视野和丰富经验的高端人才，推进本地化运营，提高市场响应速度，增强市场竞争力。</w:t>
            </w:r>
          </w:p>
          <w:p w14:paraId="0F1B75AF" w14:textId="77777777" w:rsidR="00A02FDD" w:rsidRDefault="000C2AC0">
            <w:pPr>
              <w:widowControl/>
              <w:numPr>
                <w:ilvl w:val="0"/>
                <w:numId w:val="1"/>
              </w:num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快速推进已进引产品的注册上市</w:t>
            </w:r>
          </w:p>
          <w:p w14:paraId="1C15F490" w14:textId="77777777" w:rsidR="00A02FDD" w:rsidRDefault="000C2AC0">
            <w:pPr>
              <w:widowControl/>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巩固存量、做大增量，加快推进在60余个国家120多项注册上市申请的进程，拓展海外市场更多增长点，助力股权激励考核目标的达成。</w:t>
            </w:r>
          </w:p>
          <w:p w14:paraId="02044E01" w14:textId="77777777" w:rsidR="00A02FDD" w:rsidRDefault="000C2AC0">
            <w:pPr>
              <w:widowControl/>
              <w:numPr>
                <w:ilvl w:val="0"/>
                <w:numId w:val="1"/>
              </w:num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白紫在欧州市场的销售放量</w:t>
            </w:r>
          </w:p>
          <w:p w14:paraId="57D831A8" w14:textId="77777777" w:rsidR="00A02FDD" w:rsidRDefault="000C2AC0">
            <w:pPr>
              <w:widowControl/>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系统性强化白蛋白紫杉醇在欧盟、英国、加拿大等法规市场的营销工作，积极拓展更多渠道、更多客户，逐步提升市场占有率。</w:t>
            </w:r>
          </w:p>
          <w:p w14:paraId="49ABFDC8" w14:textId="77777777" w:rsidR="00A02FDD" w:rsidRDefault="00A02FDD">
            <w:pPr>
              <w:widowControl/>
              <w:spacing w:line="360" w:lineRule="auto"/>
              <w:ind w:firstLineChars="200" w:firstLine="480"/>
              <w:rPr>
                <w:rFonts w:ascii="宋体" w:eastAsia="宋体" w:hAnsi="宋体" w:cs="宋体"/>
                <w:sz w:val="24"/>
                <w:szCs w:val="24"/>
              </w:rPr>
            </w:pPr>
          </w:p>
          <w:p w14:paraId="7F1B52F8" w14:textId="77777777" w:rsidR="00A02FDD" w:rsidRDefault="000C2AC0">
            <w:pPr>
              <w:widowControl/>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8、2025年收入利润、各项费用的预期？</w:t>
            </w:r>
          </w:p>
          <w:p w14:paraId="0ABBEE82" w14:textId="79C8C9F9" w:rsidR="00A02FDD" w:rsidRDefault="000C2AC0">
            <w:pPr>
              <w:widowControl/>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答：</w:t>
            </w:r>
            <w:r>
              <w:rPr>
                <w:rFonts w:ascii="宋体" w:eastAsia="宋体" w:hAnsi="宋体" w:cs="宋体" w:hint="eastAsia"/>
                <w:sz w:val="24"/>
                <w:szCs w:val="24"/>
              </w:rPr>
              <w:t>近年来，公司在国内和海外市场均取得了良好的经营成果，尤其在海外商业化方面表现尤为突出。作为一家深耕国际化多年的公司，公司深耕新兴市场，并在2024年突破欧盟市场，在产品引进、注册以及销售等环节积累了丰富经验。目前，欧盟市场的白蛋白紫杉醇产品销售情况良好，同时，新产品的注册工作也在新兴市场多国稳步推进并陆续获批，进一步巩固了公司海外商业化平台价值。</w:t>
            </w:r>
            <w:r>
              <w:rPr>
                <w:rFonts w:ascii="宋体" w:eastAsia="宋体" w:hAnsi="宋体" w:cs="宋体" w:hint="eastAsia"/>
                <w:sz w:val="24"/>
                <w:szCs w:val="24"/>
              </w:rPr>
              <w:br/>
              <w:t xml:space="preserve">    展望未来，公司计划依托成熟的海外商业化平台，在2025年持续引入新产品并推动其销售，从而实现业务的长期增长。预计在未来5-10年内，公司将不断拓展国际市场版图，覆盖更多区域与客户群体，确保海外商业化战略稳步实施。值得一提的是，根据公司2024年推出的股权激励计划，到2025年，外销收入增速目标设定为相比2023年增长200%-400%。</w:t>
            </w:r>
            <w:r>
              <w:rPr>
                <w:rFonts w:ascii="宋体" w:eastAsia="宋体" w:hAnsi="宋体" w:cs="宋体" w:hint="eastAsia"/>
                <w:sz w:val="24"/>
                <w:szCs w:val="24"/>
              </w:rPr>
              <w:br/>
              <w:t xml:space="preserve">    整体来看，依托公司清晰的战略规划和全体员工的共同努力，公司对未来业务发展充满期待，并将继续致力于为股东创造更大价值。</w:t>
            </w:r>
          </w:p>
          <w:p w14:paraId="4374026A" w14:textId="77777777" w:rsidR="00A02FDD" w:rsidRDefault="00A02FDD">
            <w:pPr>
              <w:widowControl/>
              <w:spacing w:line="360" w:lineRule="auto"/>
              <w:ind w:firstLineChars="200" w:firstLine="480"/>
              <w:rPr>
                <w:rFonts w:ascii="宋体" w:eastAsia="宋体" w:hAnsi="宋体" w:cs="宋体"/>
                <w:sz w:val="24"/>
                <w:szCs w:val="24"/>
              </w:rPr>
            </w:pPr>
          </w:p>
          <w:p w14:paraId="79DEC562" w14:textId="77777777" w:rsidR="00A02FDD" w:rsidRDefault="00A02FDD">
            <w:pPr>
              <w:widowControl/>
              <w:spacing w:line="360" w:lineRule="auto"/>
              <w:ind w:firstLineChars="200" w:firstLine="480"/>
              <w:rPr>
                <w:rFonts w:ascii="宋体" w:eastAsia="宋体" w:hAnsi="宋体" w:cs="宋体"/>
                <w:color w:val="000000"/>
                <w:sz w:val="24"/>
                <w:szCs w:val="24"/>
              </w:rPr>
            </w:pPr>
          </w:p>
        </w:tc>
      </w:tr>
      <w:tr w:rsidR="00A02FDD" w14:paraId="06821F18" w14:textId="77777777">
        <w:tc>
          <w:tcPr>
            <w:tcW w:w="2830" w:type="dxa"/>
          </w:tcPr>
          <w:p w14:paraId="5E214FA6" w14:textId="77777777" w:rsidR="00A02FDD" w:rsidRDefault="000C2AC0">
            <w:pPr>
              <w:rPr>
                <w:rFonts w:ascii="宋体" w:eastAsia="宋体" w:hAnsi="宋体"/>
                <w:sz w:val="24"/>
                <w:szCs w:val="28"/>
              </w:rPr>
            </w:pPr>
            <w:r>
              <w:rPr>
                <w:rFonts w:ascii="宋体" w:eastAsia="宋体" w:hAnsi="宋体" w:hint="eastAsia"/>
                <w:sz w:val="24"/>
                <w:szCs w:val="28"/>
              </w:rPr>
              <w:t>附件清单（如有）</w:t>
            </w:r>
          </w:p>
        </w:tc>
        <w:tc>
          <w:tcPr>
            <w:tcW w:w="5466" w:type="dxa"/>
          </w:tcPr>
          <w:p w14:paraId="7FA8FABA" w14:textId="77777777" w:rsidR="00A02FDD" w:rsidRDefault="000C2AC0">
            <w:pPr>
              <w:rPr>
                <w:rFonts w:ascii="宋体" w:eastAsia="宋体" w:hAnsi="宋体"/>
                <w:sz w:val="24"/>
                <w:szCs w:val="28"/>
              </w:rPr>
            </w:pPr>
            <w:r>
              <w:rPr>
                <w:rFonts w:ascii="宋体" w:eastAsia="宋体" w:hAnsi="宋体"/>
                <w:sz w:val="24"/>
                <w:szCs w:val="28"/>
              </w:rPr>
              <w:t>无</w:t>
            </w:r>
          </w:p>
        </w:tc>
      </w:tr>
      <w:tr w:rsidR="00A02FDD" w14:paraId="034BF0AD" w14:textId="77777777">
        <w:tc>
          <w:tcPr>
            <w:tcW w:w="2830" w:type="dxa"/>
          </w:tcPr>
          <w:p w14:paraId="517D47FC" w14:textId="77777777" w:rsidR="00A02FDD" w:rsidRDefault="000C2AC0">
            <w:pPr>
              <w:rPr>
                <w:rFonts w:ascii="宋体" w:eastAsia="宋体" w:hAnsi="宋体"/>
                <w:sz w:val="24"/>
                <w:szCs w:val="28"/>
              </w:rPr>
            </w:pPr>
            <w:r>
              <w:rPr>
                <w:rFonts w:ascii="宋体" w:eastAsia="宋体" w:hAnsi="宋体" w:hint="eastAsia"/>
                <w:sz w:val="24"/>
                <w:szCs w:val="28"/>
              </w:rPr>
              <w:t>日期</w:t>
            </w:r>
          </w:p>
        </w:tc>
        <w:tc>
          <w:tcPr>
            <w:tcW w:w="5466" w:type="dxa"/>
          </w:tcPr>
          <w:p w14:paraId="0B0A4489" w14:textId="77777777" w:rsidR="00A02FDD" w:rsidRDefault="000C2AC0">
            <w:pPr>
              <w:rPr>
                <w:rFonts w:ascii="宋体" w:eastAsia="宋体" w:hAnsi="宋体"/>
                <w:sz w:val="24"/>
                <w:szCs w:val="28"/>
              </w:rPr>
            </w:pPr>
            <w:r>
              <w:rPr>
                <w:rFonts w:ascii="宋体" w:eastAsia="宋体" w:hAnsi="宋体" w:hint="eastAsia"/>
                <w:sz w:val="24"/>
                <w:szCs w:val="28"/>
              </w:rPr>
              <w:t>2025年4月11日</w:t>
            </w:r>
          </w:p>
        </w:tc>
      </w:tr>
      <w:bookmarkEnd w:id="0"/>
    </w:tbl>
    <w:p w14:paraId="0243D0FB" w14:textId="77777777" w:rsidR="00A02FDD" w:rsidRDefault="00A02FDD">
      <w:pPr>
        <w:adjustRightInd w:val="0"/>
        <w:snapToGrid w:val="0"/>
        <w:spacing w:line="600" w:lineRule="exact"/>
        <w:rPr>
          <w:rFonts w:ascii="宋体" w:eastAsia="宋体" w:hAnsi="宋体" w:cs="Arial"/>
          <w:bCs/>
          <w:sz w:val="28"/>
          <w:szCs w:val="28"/>
        </w:rPr>
      </w:pPr>
    </w:p>
    <w:sectPr w:rsidR="00A02FD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F4EE0" w14:textId="77777777" w:rsidR="00EF69CB" w:rsidRDefault="00EF69CB" w:rsidP="006160B0">
      <w:r>
        <w:separator/>
      </w:r>
    </w:p>
  </w:endnote>
  <w:endnote w:type="continuationSeparator" w:id="0">
    <w:p w14:paraId="19D935E9" w14:textId="77777777" w:rsidR="00EF69CB" w:rsidRDefault="00EF69CB" w:rsidP="0061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8857E" w14:textId="77777777" w:rsidR="00EF69CB" w:rsidRDefault="00EF69CB" w:rsidP="006160B0">
      <w:r>
        <w:separator/>
      </w:r>
    </w:p>
  </w:footnote>
  <w:footnote w:type="continuationSeparator" w:id="0">
    <w:p w14:paraId="28D71241" w14:textId="77777777" w:rsidR="00EF69CB" w:rsidRDefault="00EF69CB" w:rsidP="00616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055BD3"/>
    <w:multiLevelType w:val="singleLevel"/>
    <w:tmpl w:val="A6055BD3"/>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RmMzg2Y2U0NjMzNzhiNDNlNjkwZjQ1ZjE5YTIzMTEifQ=="/>
  </w:docVars>
  <w:rsids>
    <w:rsidRoot w:val="00D01F78"/>
    <w:rsid w:val="9D6F08B8"/>
    <w:rsid w:val="9E36CF82"/>
    <w:rsid w:val="ADFE30C7"/>
    <w:rsid w:val="B3EF720F"/>
    <w:rsid w:val="BBFBBD9A"/>
    <w:rsid w:val="BBFF1E88"/>
    <w:rsid w:val="BDFFB2CD"/>
    <w:rsid w:val="BEB7173E"/>
    <w:rsid w:val="BF9FAC95"/>
    <w:rsid w:val="BFAF82D5"/>
    <w:rsid w:val="C76FCAFB"/>
    <w:rsid w:val="D6FB872C"/>
    <w:rsid w:val="DDFF236C"/>
    <w:rsid w:val="DFFCD7E4"/>
    <w:rsid w:val="DFFF700E"/>
    <w:rsid w:val="EBC5AD87"/>
    <w:rsid w:val="F63FF461"/>
    <w:rsid w:val="F9DA9629"/>
    <w:rsid w:val="FB3F6A81"/>
    <w:rsid w:val="FBBF658C"/>
    <w:rsid w:val="FDEF09A5"/>
    <w:rsid w:val="FDFC139B"/>
    <w:rsid w:val="FEFFD3DA"/>
    <w:rsid w:val="FFDF3D19"/>
    <w:rsid w:val="FFEFB528"/>
    <w:rsid w:val="00017BA8"/>
    <w:rsid w:val="00023F72"/>
    <w:rsid w:val="0002651D"/>
    <w:rsid w:val="000320FD"/>
    <w:rsid w:val="00063668"/>
    <w:rsid w:val="0008206E"/>
    <w:rsid w:val="000835AF"/>
    <w:rsid w:val="000A5AE0"/>
    <w:rsid w:val="000B5BFD"/>
    <w:rsid w:val="000C2AC0"/>
    <w:rsid w:val="000E7B1F"/>
    <w:rsid w:val="000F6EDF"/>
    <w:rsid w:val="001234DD"/>
    <w:rsid w:val="00126577"/>
    <w:rsid w:val="001277C0"/>
    <w:rsid w:val="00150A31"/>
    <w:rsid w:val="00163DCA"/>
    <w:rsid w:val="001871C9"/>
    <w:rsid w:val="001909E5"/>
    <w:rsid w:val="00195C5C"/>
    <w:rsid w:val="001C63DE"/>
    <w:rsid w:val="001D3191"/>
    <w:rsid w:val="001D5233"/>
    <w:rsid w:val="00243936"/>
    <w:rsid w:val="002676EF"/>
    <w:rsid w:val="0027417D"/>
    <w:rsid w:val="00276E0F"/>
    <w:rsid w:val="00281AD0"/>
    <w:rsid w:val="00293113"/>
    <w:rsid w:val="00297DC5"/>
    <w:rsid w:val="002A4BF1"/>
    <w:rsid w:val="002C6F89"/>
    <w:rsid w:val="002F5CA1"/>
    <w:rsid w:val="00301D0B"/>
    <w:rsid w:val="00306C7C"/>
    <w:rsid w:val="00361860"/>
    <w:rsid w:val="003705F8"/>
    <w:rsid w:val="003B4DFD"/>
    <w:rsid w:val="003E363B"/>
    <w:rsid w:val="003E6F30"/>
    <w:rsid w:val="00412429"/>
    <w:rsid w:val="0045773B"/>
    <w:rsid w:val="004A5175"/>
    <w:rsid w:val="004C4A26"/>
    <w:rsid w:val="004D06AE"/>
    <w:rsid w:val="004D165B"/>
    <w:rsid w:val="004E632F"/>
    <w:rsid w:val="004F0634"/>
    <w:rsid w:val="004F7BB5"/>
    <w:rsid w:val="005039D4"/>
    <w:rsid w:val="00535CBD"/>
    <w:rsid w:val="005549A9"/>
    <w:rsid w:val="0056177A"/>
    <w:rsid w:val="005713CD"/>
    <w:rsid w:val="00587097"/>
    <w:rsid w:val="00591CCE"/>
    <w:rsid w:val="005B79E0"/>
    <w:rsid w:val="005C6BA9"/>
    <w:rsid w:val="005D60DB"/>
    <w:rsid w:val="005E3768"/>
    <w:rsid w:val="005E3DEB"/>
    <w:rsid w:val="005E7168"/>
    <w:rsid w:val="00615B88"/>
    <w:rsid w:val="006160B0"/>
    <w:rsid w:val="00617645"/>
    <w:rsid w:val="00625737"/>
    <w:rsid w:val="006527A9"/>
    <w:rsid w:val="00664533"/>
    <w:rsid w:val="006978C5"/>
    <w:rsid w:val="006A2159"/>
    <w:rsid w:val="006E022C"/>
    <w:rsid w:val="00702E1A"/>
    <w:rsid w:val="00707D35"/>
    <w:rsid w:val="00707EED"/>
    <w:rsid w:val="007426C3"/>
    <w:rsid w:val="0074398F"/>
    <w:rsid w:val="00751BFA"/>
    <w:rsid w:val="00757A0F"/>
    <w:rsid w:val="007651AA"/>
    <w:rsid w:val="007B05AF"/>
    <w:rsid w:val="007B4AE5"/>
    <w:rsid w:val="007D0DE0"/>
    <w:rsid w:val="007D22E2"/>
    <w:rsid w:val="007E072B"/>
    <w:rsid w:val="007E5F2A"/>
    <w:rsid w:val="007F5D09"/>
    <w:rsid w:val="00810379"/>
    <w:rsid w:val="00815E6B"/>
    <w:rsid w:val="00831F56"/>
    <w:rsid w:val="00843075"/>
    <w:rsid w:val="008A74CD"/>
    <w:rsid w:val="008B68A6"/>
    <w:rsid w:val="008D7299"/>
    <w:rsid w:val="008F43E1"/>
    <w:rsid w:val="0091482B"/>
    <w:rsid w:val="00922D94"/>
    <w:rsid w:val="009454C4"/>
    <w:rsid w:val="009D58DE"/>
    <w:rsid w:val="00A02FDD"/>
    <w:rsid w:val="00A16FBE"/>
    <w:rsid w:val="00A2137D"/>
    <w:rsid w:val="00A63554"/>
    <w:rsid w:val="00A65248"/>
    <w:rsid w:val="00A66F37"/>
    <w:rsid w:val="00A6752E"/>
    <w:rsid w:val="00A741EA"/>
    <w:rsid w:val="00A921AE"/>
    <w:rsid w:val="00AC0420"/>
    <w:rsid w:val="00AD176B"/>
    <w:rsid w:val="00AE79CE"/>
    <w:rsid w:val="00AF47D9"/>
    <w:rsid w:val="00B21809"/>
    <w:rsid w:val="00B663D4"/>
    <w:rsid w:val="00B71EA5"/>
    <w:rsid w:val="00B91907"/>
    <w:rsid w:val="00B91942"/>
    <w:rsid w:val="00BB1F4B"/>
    <w:rsid w:val="00BC384C"/>
    <w:rsid w:val="00C44CE5"/>
    <w:rsid w:val="00C5038E"/>
    <w:rsid w:val="00C630BF"/>
    <w:rsid w:val="00C64024"/>
    <w:rsid w:val="00CA6D56"/>
    <w:rsid w:val="00CB6760"/>
    <w:rsid w:val="00CF4359"/>
    <w:rsid w:val="00D01F78"/>
    <w:rsid w:val="00D10138"/>
    <w:rsid w:val="00D10669"/>
    <w:rsid w:val="00D209E3"/>
    <w:rsid w:val="00D24252"/>
    <w:rsid w:val="00D41195"/>
    <w:rsid w:val="00D4207D"/>
    <w:rsid w:val="00D537A2"/>
    <w:rsid w:val="00D708AC"/>
    <w:rsid w:val="00DB41D1"/>
    <w:rsid w:val="00DC4B44"/>
    <w:rsid w:val="00DD6FE2"/>
    <w:rsid w:val="00DF1242"/>
    <w:rsid w:val="00E01B97"/>
    <w:rsid w:val="00E140E3"/>
    <w:rsid w:val="00E3506B"/>
    <w:rsid w:val="00E645CE"/>
    <w:rsid w:val="00E819ED"/>
    <w:rsid w:val="00E82DD5"/>
    <w:rsid w:val="00EB1223"/>
    <w:rsid w:val="00EB4654"/>
    <w:rsid w:val="00EF69CB"/>
    <w:rsid w:val="00F0348C"/>
    <w:rsid w:val="00F318AE"/>
    <w:rsid w:val="00F4323B"/>
    <w:rsid w:val="00F64E18"/>
    <w:rsid w:val="00F9005E"/>
    <w:rsid w:val="00FC4A7B"/>
    <w:rsid w:val="00FE05DE"/>
    <w:rsid w:val="00FE2680"/>
    <w:rsid w:val="00FF051C"/>
    <w:rsid w:val="00FF18F9"/>
    <w:rsid w:val="00FF3069"/>
    <w:rsid w:val="01470407"/>
    <w:rsid w:val="01A050EF"/>
    <w:rsid w:val="01C54B55"/>
    <w:rsid w:val="01DD2318"/>
    <w:rsid w:val="021043A9"/>
    <w:rsid w:val="023618CA"/>
    <w:rsid w:val="028E2F98"/>
    <w:rsid w:val="02B82B4C"/>
    <w:rsid w:val="02DB0613"/>
    <w:rsid w:val="02F02042"/>
    <w:rsid w:val="033A4CF6"/>
    <w:rsid w:val="033D1DCF"/>
    <w:rsid w:val="043930E0"/>
    <w:rsid w:val="049401F6"/>
    <w:rsid w:val="058F173B"/>
    <w:rsid w:val="059370C8"/>
    <w:rsid w:val="076938CE"/>
    <w:rsid w:val="076B3AA9"/>
    <w:rsid w:val="096B4234"/>
    <w:rsid w:val="0992531D"/>
    <w:rsid w:val="0A3F3F1C"/>
    <w:rsid w:val="0B10415B"/>
    <w:rsid w:val="0B2524D9"/>
    <w:rsid w:val="0C3A1825"/>
    <w:rsid w:val="0C830F3B"/>
    <w:rsid w:val="0D115D9B"/>
    <w:rsid w:val="0D754339"/>
    <w:rsid w:val="0D754C02"/>
    <w:rsid w:val="0D814189"/>
    <w:rsid w:val="0DD25C19"/>
    <w:rsid w:val="0DDD4AC0"/>
    <w:rsid w:val="0E19185B"/>
    <w:rsid w:val="0E6810E9"/>
    <w:rsid w:val="0E947D89"/>
    <w:rsid w:val="0F2E5AE8"/>
    <w:rsid w:val="0F4E29E4"/>
    <w:rsid w:val="0FCD09AB"/>
    <w:rsid w:val="10003EDA"/>
    <w:rsid w:val="10947C2E"/>
    <w:rsid w:val="10EB5020"/>
    <w:rsid w:val="11283480"/>
    <w:rsid w:val="113D0264"/>
    <w:rsid w:val="11953FDD"/>
    <w:rsid w:val="11F02AD1"/>
    <w:rsid w:val="12200B6D"/>
    <w:rsid w:val="126F6B43"/>
    <w:rsid w:val="12F325E0"/>
    <w:rsid w:val="139212B7"/>
    <w:rsid w:val="13DE1F8C"/>
    <w:rsid w:val="146D2C0E"/>
    <w:rsid w:val="14FA4E9A"/>
    <w:rsid w:val="150652B2"/>
    <w:rsid w:val="15B13003"/>
    <w:rsid w:val="169B5EBF"/>
    <w:rsid w:val="17B3460D"/>
    <w:rsid w:val="17BC366D"/>
    <w:rsid w:val="18292E76"/>
    <w:rsid w:val="18C21ACA"/>
    <w:rsid w:val="18C57ED2"/>
    <w:rsid w:val="18DB34CA"/>
    <w:rsid w:val="18E85C8C"/>
    <w:rsid w:val="19241AA1"/>
    <w:rsid w:val="19973C65"/>
    <w:rsid w:val="1A333834"/>
    <w:rsid w:val="1A8D33D8"/>
    <w:rsid w:val="1ADE2D63"/>
    <w:rsid w:val="1ADF238C"/>
    <w:rsid w:val="1B404402"/>
    <w:rsid w:val="1B721452"/>
    <w:rsid w:val="1C3D736A"/>
    <w:rsid w:val="1CE15AF5"/>
    <w:rsid w:val="1D287F4B"/>
    <w:rsid w:val="1D552DD9"/>
    <w:rsid w:val="1DB573D4"/>
    <w:rsid w:val="1E7A19C6"/>
    <w:rsid w:val="1EAA034F"/>
    <w:rsid w:val="1F613548"/>
    <w:rsid w:val="1F9A129F"/>
    <w:rsid w:val="20634C25"/>
    <w:rsid w:val="20F6373E"/>
    <w:rsid w:val="21187E9A"/>
    <w:rsid w:val="215B5006"/>
    <w:rsid w:val="219C2D85"/>
    <w:rsid w:val="22827E15"/>
    <w:rsid w:val="22F470FB"/>
    <w:rsid w:val="23103A2A"/>
    <w:rsid w:val="232E5091"/>
    <w:rsid w:val="23303983"/>
    <w:rsid w:val="24227B5B"/>
    <w:rsid w:val="24F24727"/>
    <w:rsid w:val="256A520F"/>
    <w:rsid w:val="259D6FE8"/>
    <w:rsid w:val="25D64C34"/>
    <w:rsid w:val="26B50445"/>
    <w:rsid w:val="270E75B1"/>
    <w:rsid w:val="271940C5"/>
    <w:rsid w:val="277A5916"/>
    <w:rsid w:val="279462AC"/>
    <w:rsid w:val="28345287"/>
    <w:rsid w:val="283B4EB7"/>
    <w:rsid w:val="28CB3F50"/>
    <w:rsid w:val="298A0E22"/>
    <w:rsid w:val="2A4E4E38"/>
    <w:rsid w:val="2A8541B6"/>
    <w:rsid w:val="2B05744C"/>
    <w:rsid w:val="2BCC1714"/>
    <w:rsid w:val="2CAE2072"/>
    <w:rsid w:val="2D555F32"/>
    <w:rsid w:val="2DB31A09"/>
    <w:rsid w:val="2DBB4593"/>
    <w:rsid w:val="2DE1366E"/>
    <w:rsid w:val="2E4A7906"/>
    <w:rsid w:val="2E516CA5"/>
    <w:rsid w:val="2E7035CF"/>
    <w:rsid w:val="2E81758A"/>
    <w:rsid w:val="2E8C5F2F"/>
    <w:rsid w:val="2E9274D5"/>
    <w:rsid w:val="2EDC6EB7"/>
    <w:rsid w:val="2F805A94"/>
    <w:rsid w:val="2F9C48AA"/>
    <w:rsid w:val="2FFE05C5"/>
    <w:rsid w:val="30695248"/>
    <w:rsid w:val="31BA6175"/>
    <w:rsid w:val="32AD0087"/>
    <w:rsid w:val="32B829B4"/>
    <w:rsid w:val="32BF7CE3"/>
    <w:rsid w:val="33393B89"/>
    <w:rsid w:val="336970F4"/>
    <w:rsid w:val="342F6F9B"/>
    <w:rsid w:val="344E43B3"/>
    <w:rsid w:val="34DC2D1A"/>
    <w:rsid w:val="35321EDC"/>
    <w:rsid w:val="35366987"/>
    <w:rsid w:val="36251143"/>
    <w:rsid w:val="36354C71"/>
    <w:rsid w:val="3687595A"/>
    <w:rsid w:val="369159FD"/>
    <w:rsid w:val="37355603"/>
    <w:rsid w:val="37D83BF4"/>
    <w:rsid w:val="37E560D4"/>
    <w:rsid w:val="37F65BD2"/>
    <w:rsid w:val="38A307A0"/>
    <w:rsid w:val="38E370CB"/>
    <w:rsid w:val="39BA7DF4"/>
    <w:rsid w:val="39DEC4CD"/>
    <w:rsid w:val="3AE05B05"/>
    <w:rsid w:val="3B034704"/>
    <w:rsid w:val="3B7B4F44"/>
    <w:rsid w:val="3BE811F0"/>
    <w:rsid w:val="3BFD046C"/>
    <w:rsid w:val="3C485B8B"/>
    <w:rsid w:val="3CB4598C"/>
    <w:rsid w:val="3CC72D82"/>
    <w:rsid w:val="3CE16544"/>
    <w:rsid w:val="3DD33F80"/>
    <w:rsid w:val="3DFB6F7A"/>
    <w:rsid w:val="3EAD617A"/>
    <w:rsid w:val="3F210961"/>
    <w:rsid w:val="40926CEA"/>
    <w:rsid w:val="418D71F1"/>
    <w:rsid w:val="42A73629"/>
    <w:rsid w:val="43AD2778"/>
    <w:rsid w:val="43D321DE"/>
    <w:rsid w:val="440C3942"/>
    <w:rsid w:val="4415591B"/>
    <w:rsid w:val="441E30A5"/>
    <w:rsid w:val="45C516E0"/>
    <w:rsid w:val="460B3709"/>
    <w:rsid w:val="469C722A"/>
    <w:rsid w:val="46C978C9"/>
    <w:rsid w:val="47BA2898"/>
    <w:rsid w:val="4875082B"/>
    <w:rsid w:val="48C10A8F"/>
    <w:rsid w:val="48E8191E"/>
    <w:rsid w:val="497511EE"/>
    <w:rsid w:val="4A471230"/>
    <w:rsid w:val="4A7F4E6E"/>
    <w:rsid w:val="4B0B161A"/>
    <w:rsid w:val="4B490F25"/>
    <w:rsid w:val="4BC77420"/>
    <w:rsid w:val="4C251A45"/>
    <w:rsid w:val="4C46376A"/>
    <w:rsid w:val="4DA86B6F"/>
    <w:rsid w:val="4E440697"/>
    <w:rsid w:val="4EE35F2B"/>
    <w:rsid w:val="4EE96D5A"/>
    <w:rsid w:val="4EEF11DC"/>
    <w:rsid w:val="4EF4153C"/>
    <w:rsid w:val="4F7D2F8F"/>
    <w:rsid w:val="4F824817"/>
    <w:rsid w:val="4F9949B0"/>
    <w:rsid w:val="4FC36B40"/>
    <w:rsid w:val="502879A6"/>
    <w:rsid w:val="51EE6435"/>
    <w:rsid w:val="52656D93"/>
    <w:rsid w:val="52A63D17"/>
    <w:rsid w:val="52AD4542"/>
    <w:rsid w:val="52E92FBC"/>
    <w:rsid w:val="52F16B0B"/>
    <w:rsid w:val="5443679D"/>
    <w:rsid w:val="550A7A2A"/>
    <w:rsid w:val="561A28CB"/>
    <w:rsid w:val="5627460C"/>
    <w:rsid w:val="56510FA5"/>
    <w:rsid w:val="566273F2"/>
    <w:rsid w:val="56C67981"/>
    <w:rsid w:val="57FDC65D"/>
    <w:rsid w:val="58450D79"/>
    <w:rsid w:val="596E48EA"/>
    <w:rsid w:val="59701E26"/>
    <w:rsid w:val="5A201A9E"/>
    <w:rsid w:val="5A957D96"/>
    <w:rsid w:val="5AFF4BED"/>
    <w:rsid w:val="5B4D764F"/>
    <w:rsid w:val="5BC43166"/>
    <w:rsid w:val="5BCE55CA"/>
    <w:rsid w:val="5D6B1282"/>
    <w:rsid w:val="5D9A4018"/>
    <w:rsid w:val="5E340776"/>
    <w:rsid w:val="5FC15189"/>
    <w:rsid w:val="60342BBF"/>
    <w:rsid w:val="60641CA4"/>
    <w:rsid w:val="60690934"/>
    <w:rsid w:val="606A6F1C"/>
    <w:rsid w:val="62910BEB"/>
    <w:rsid w:val="63675EDB"/>
    <w:rsid w:val="63E371FD"/>
    <w:rsid w:val="64726B60"/>
    <w:rsid w:val="64A62BA0"/>
    <w:rsid w:val="64A75419"/>
    <w:rsid w:val="65236E07"/>
    <w:rsid w:val="653528A1"/>
    <w:rsid w:val="65790817"/>
    <w:rsid w:val="65FF07B9"/>
    <w:rsid w:val="66E16DAB"/>
    <w:rsid w:val="675A4125"/>
    <w:rsid w:val="679B209C"/>
    <w:rsid w:val="67E61C31"/>
    <w:rsid w:val="688C0889"/>
    <w:rsid w:val="693B5FAC"/>
    <w:rsid w:val="69601EB7"/>
    <w:rsid w:val="699D0A15"/>
    <w:rsid w:val="69A27DD9"/>
    <w:rsid w:val="69DA7573"/>
    <w:rsid w:val="69FA15DB"/>
    <w:rsid w:val="6A690982"/>
    <w:rsid w:val="6A971908"/>
    <w:rsid w:val="6B4F5D3F"/>
    <w:rsid w:val="6CB31DC6"/>
    <w:rsid w:val="6D4160FA"/>
    <w:rsid w:val="6D5E3752"/>
    <w:rsid w:val="6DFDEBC9"/>
    <w:rsid w:val="6E292877"/>
    <w:rsid w:val="6E3556C0"/>
    <w:rsid w:val="6EDA0F52"/>
    <w:rsid w:val="6F4006B4"/>
    <w:rsid w:val="6FFE2E24"/>
    <w:rsid w:val="702D045C"/>
    <w:rsid w:val="705E4C75"/>
    <w:rsid w:val="715D17B1"/>
    <w:rsid w:val="716A6C31"/>
    <w:rsid w:val="718A7AD1"/>
    <w:rsid w:val="71A877BD"/>
    <w:rsid w:val="71E27C7B"/>
    <w:rsid w:val="724623DA"/>
    <w:rsid w:val="73CA3A9A"/>
    <w:rsid w:val="73EC28AC"/>
    <w:rsid w:val="74C70D53"/>
    <w:rsid w:val="74D379E1"/>
    <w:rsid w:val="75401EA6"/>
    <w:rsid w:val="75613F66"/>
    <w:rsid w:val="757271FA"/>
    <w:rsid w:val="75C6103F"/>
    <w:rsid w:val="76595CC4"/>
    <w:rsid w:val="76AC16B2"/>
    <w:rsid w:val="77172E01"/>
    <w:rsid w:val="774231D8"/>
    <w:rsid w:val="77DA5FB4"/>
    <w:rsid w:val="77FBF1CF"/>
    <w:rsid w:val="79D036BA"/>
    <w:rsid w:val="79FB986A"/>
    <w:rsid w:val="7A474981"/>
    <w:rsid w:val="7A480529"/>
    <w:rsid w:val="7A546ECE"/>
    <w:rsid w:val="7A735E15"/>
    <w:rsid w:val="7B474C14"/>
    <w:rsid w:val="7B7B68AC"/>
    <w:rsid w:val="7BEE2505"/>
    <w:rsid w:val="7BFABD6A"/>
    <w:rsid w:val="7BFC781D"/>
    <w:rsid w:val="7BFF804E"/>
    <w:rsid w:val="7C0E5874"/>
    <w:rsid w:val="7CC16371"/>
    <w:rsid w:val="7CD05940"/>
    <w:rsid w:val="7DF0035C"/>
    <w:rsid w:val="7DFE27A0"/>
    <w:rsid w:val="7E3A5031"/>
    <w:rsid w:val="7E413C0D"/>
    <w:rsid w:val="7E815D24"/>
    <w:rsid w:val="7EBF30DE"/>
    <w:rsid w:val="7ECFBA33"/>
    <w:rsid w:val="7F3528E3"/>
    <w:rsid w:val="7FB1EE55"/>
    <w:rsid w:val="7FE89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FF6107F"/>
  <w15:docId w15:val="{C62997E3-D372-4336-9376-1E83BAA4C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kern w:val="2"/>
      <w:sz w:val="21"/>
      <w:szCs w:val="22"/>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uiPriority w:val="1"/>
    <w:qFormat/>
    <w:rPr>
      <w:rFonts w:ascii="宋体" w:eastAsia="宋体" w:hAnsi="宋体" w:cs="宋体"/>
      <w:sz w:val="31"/>
      <w:szCs w:val="31"/>
    </w:rPr>
  </w:style>
  <w:style w:type="paragraph" w:styleId="a6">
    <w:name w:val="Balloon Text"/>
    <w:basedOn w:val="a"/>
    <w:link w:val="a7"/>
    <w:uiPriority w:val="99"/>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unhideWhenUsed/>
    <w:qFormat/>
    <w:pPr>
      <w:spacing w:beforeAutospacing="1" w:afterAutospacing="1"/>
      <w:jc w:val="left"/>
    </w:pPr>
    <w:rPr>
      <w:kern w:val="0"/>
      <w:sz w:val="24"/>
    </w:rPr>
  </w:style>
  <w:style w:type="paragraph" w:styleId="ad">
    <w:name w:val="annotation subject"/>
    <w:basedOn w:val="a3"/>
    <w:next w:val="a3"/>
    <w:link w:val="ae"/>
    <w:uiPriority w:val="99"/>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uiPriority w:val="20"/>
    <w:qFormat/>
    <w:rPr>
      <w:i/>
    </w:rPr>
  </w:style>
  <w:style w:type="character" w:styleId="af1">
    <w:name w:val="Hyperlink"/>
    <w:basedOn w:val="a0"/>
    <w:uiPriority w:val="99"/>
    <w:unhideWhenUsed/>
    <w:qFormat/>
    <w:rPr>
      <w:color w:val="0000FF"/>
      <w:u w:val="single"/>
    </w:rPr>
  </w:style>
  <w:style w:type="character" w:styleId="af2">
    <w:name w:val="annotation reference"/>
    <w:basedOn w:val="a0"/>
    <w:uiPriority w:val="99"/>
    <w:unhideWhenUsed/>
    <w:qFormat/>
    <w:rPr>
      <w:sz w:val="21"/>
      <w:szCs w:val="21"/>
    </w:rPr>
  </w:style>
  <w:style w:type="character" w:customStyle="1" w:styleId="a4">
    <w:name w:val="批注文字 字符"/>
    <w:basedOn w:val="a0"/>
    <w:link w:val="a3"/>
    <w:uiPriority w:val="99"/>
    <w:semiHidden/>
    <w:qFormat/>
  </w:style>
  <w:style w:type="character" w:customStyle="1" w:styleId="a7">
    <w:name w:val="批注框文本 字符"/>
    <w:basedOn w:val="a0"/>
    <w:link w:val="a6"/>
    <w:uiPriority w:val="99"/>
    <w:semiHidden/>
    <w:qFormat/>
    <w:rPr>
      <w:sz w:val="18"/>
      <w:szCs w:val="18"/>
    </w:rPr>
  </w:style>
  <w:style w:type="character" w:customStyle="1" w:styleId="a9">
    <w:name w:val="页脚 字符"/>
    <w:basedOn w:val="a0"/>
    <w:link w:val="a8"/>
    <w:uiPriority w:val="99"/>
    <w:qFormat/>
    <w:rPr>
      <w:sz w:val="18"/>
      <w:szCs w:val="18"/>
    </w:rPr>
  </w:style>
  <w:style w:type="character" w:customStyle="1" w:styleId="ab">
    <w:name w:val="页眉 字符"/>
    <w:basedOn w:val="a0"/>
    <w:link w:val="aa"/>
    <w:uiPriority w:val="99"/>
    <w:qFormat/>
    <w:rPr>
      <w:sz w:val="18"/>
      <w:szCs w:val="18"/>
    </w:rPr>
  </w:style>
  <w:style w:type="character" w:customStyle="1" w:styleId="ae">
    <w:name w:val="批注主题 字符"/>
    <w:basedOn w:val="a4"/>
    <w:link w:val="ad"/>
    <w:uiPriority w:val="99"/>
    <w:semiHidden/>
    <w:qFormat/>
    <w:rPr>
      <w:b/>
      <w:bCs/>
    </w:rPr>
  </w:style>
  <w:style w:type="paragraph" w:styleId="af3">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581</Words>
  <Characters>3313</Characters>
  <Application>Microsoft Office Word</Application>
  <DocSecurity>0</DocSecurity>
  <Lines>27</Lines>
  <Paragraphs>7</Paragraphs>
  <ScaleCrop>false</ScaleCrop>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玲玉</dc:creator>
  <cp:lastModifiedBy>daveqiu</cp:lastModifiedBy>
  <cp:revision>34</cp:revision>
  <dcterms:created xsi:type="dcterms:W3CDTF">2025-04-14T01:23:00Z</dcterms:created>
  <dcterms:modified xsi:type="dcterms:W3CDTF">2025-04-14T07:21:00Z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3C13243606804EE28DA4FA1EAE932F69</vt:lpwstr>
  </property>
  <property fmtid="{D5CDD505-2E9C-101B-9397-08002B2CF9AE}" pid="4" name="commondata">
    <vt:lpwstr>eyJoZGlkIjoiOTRmMzg2Y2U0NjMzNzhiNDNlNjkwZjQ1ZjE5YTIzMTEifQ==</vt:lpwstr>
  </property>
  <property fmtid="{D5CDD505-2E9C-101B-9397-08002B2CF9AE}" pid="5" name="KSOTemplateDocerSaveRecord">
    <vt:lpwstr>eyJoZGlkIjoiOTRmMzg2Y2U0NjMzNzhiNDNlNjkwZjQ1ZjE5YTIzMTEiLCJ1c2VySWQiOiIyODk4ODY2NzkifQ==</vt:lpwstr>
  </property>
</Properties>
</file>