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D5" w:rsidRDefault="00287206">
      <w:pPr>
        <w:autoSpaceDE w:val="0"/>
        <w:autoSpaceDN w:val="0"/>
        <w:spacing w:line="460" w:lineRule="exact"/>
        <w:ind w:right="17"/>
        <w:jc w:val="center"/>
        <w:rPr>
          <w:rFonts w:ascii="宋体" w:eastAsia="宋体" w:hAnsi="宋体" w:cs="宋体"/>
          <w:b/>
          <w:kern w:val="0"/>
          <w:sz w:val="32"/>
          <w:szCs w:val="32"/>
          <w:lang w:val="zh-CN" w:bidi="zh-CN"/>
        </w:rPr>
      </w:pPr>
      <w:proofErr w:type="gramStart"/>
      <w:r>
        <w:rPr>
          <w:rFonts w:ascii="宋体" w:eastAsia="宋体" w:hAnsi="宋体" w:cs="宋体" w:hint="eastAsia"/>
          <w:b/>
          <w:kern w:val="0"/>
          <w:sz w:val="32"/>
          <w:szCs w:val="32"/>
          <w:lang w:val="zh-CN" w:bidi="zh-CN"/>
        </w:rPr>
        <w:t>深圳市联赢激光</w:t>
      </w:r>
      <w:proofErr w:type="gramEnd"/>
      <w:r>
        <w:rPr>
          <w:rFonts w:ascii="宋体" w:eastAsia="宋体" w:hAnsi="宋体" w:cs="宋体" w:hint="eastAsia"/>
          <w:b/>
          <w:kern w:val="0"/>
          <w:sz w:val="32"/>
          <w:szCs w:val="32"/>
          <w:lang w:val="zh-CN" w:bidi="zh-CN"/>
        </w:rPr>
        <w:t>股份有限公司</w:t>
      </w:r>
    </w:p>
    <w:p w:rsidR="00C806D5" w:rsidRDefault="00287206">
      <w:pPr>
        <w:autoSpaceDE w:val="0"/>
        <w:autoSpaceDN w:val="0"/>
        <w:spacing w:line="460" w:lineRule="exact"/>
        <w:ind w:right="17"/>
        <w:jc w:val="center"/>
        <w:rPr>
          <w:rFonts w:ascii="宋体" w:eastAsia="宋体" w:hAnsi="宋体" w:cs="宋体"/>
          <w:b/>
          <w:kern w:val="0"/>
          <w:sz w:val="36"/>
          <w:lang w:val="zh-CN" w:bidi="zh-CN"/>
        </w:rPr>
      </w:pPr>
      <w:r>
        <w:rPr>
          <w:rFonts w:ascii="宋体" w:eastAsia="宋体" w:hAnsi="宋体" w:cs="宋体" w:hint="eastAsia"/>
          <w:b/>
          <w:kern w:val="0"/>
          <w:sz w:val="32"/>
          <w:szCs w:val="32"/>
          <w:lang w:val="zh-CN" w:bidi="zh-CN"/>
        </w:rPr>
        <w:t>投资者关系活动记录表</w:t>
      </w:r>
    </w:p>
    <w:p w:rsidR="00C806D5" w:rsidRDefault="00287206">
      <w:pPr>
        <w:tabs>
          <w:tab w:val="left" w:pos="3713"/>
          <w:tab w:val="left" w:pos="6481"/>
        </w:tabs>
        <w:autoSpaceDE w:val="0"/>
        <w:autoSpaceDN w:val="0"/>
        <w:spacing w:beforeLines="50" w:before="156" w:afterLines="50" w:after="156"/>
        <w:jc w:val="left"/>
        <w:rPr>
          <w:rFonts w:ascii="宋体" w:eastAsia="宋体" w:hAnsi="宋体" w:cs="宋体"/>
          <w:b/>
          <w:kern w:val="0"/>
          <w:szCs w:val="21"/>
          <w:lang w:bidi="zh-CN"/>
        </w:rPr>
      </w:pPr>
      <w:r>
        <w:rPr>
          <w:rFonts w:ascii="宋体" w:eastAsia="宋体" w:hAnsi="宋体" w:cs="宋体" w:hint="eastAsia"/>
          <w:b/>
          <w:kern w:val="0"/>
          <w:szCs w:val="21"/>
          <w:lang w:val="zh-CN" w:bidi="zh-CN"/>
        </w:rPr>
        <w:t>股票简称：</w:t>
      </w:r>
      <w:proofErr w:type="gramStart"/>
      <w:r>
        <w:rPr>
          <w:rFonts w:ascii="宋体" w:eastAsia="宋体" w:hAnsi="宋体" w:cs="宋体" w:hint="eastAsia"/>
          <w:b/>
          <w:kern w:val="0"/>
          <w:szCs w:val="21"/>
          <w:lang w:val="zh-CN" w:bidi="zh-CN"/>
        </w:rPr>
        <w:t>联赢激光</w:t>
      </w:r>
      <w:proofErr w:type="gramEnd"/>
      <w:r>
        <w:rPr>
          <w:rFonts w:ascii="宋体" w:eastAsia="宋体" w:hAnsi="宋体" w:cs="宋体" w:hint="eastAsia"/>
          <w:b/>
          <w:kern w:val="0"/>
          <w:szCs w:val="21"/>
          <w:lang w:val="zh-CN" w:bidi="zh-CN"/>
        </w:rPr>
        <w:tab/>
        <w:t>股票代码：</w:t>
      </w:r>
      <w:r>
        <w:rPr>
          <w:rFonts w:ascii="宋体" w:eastAsia="宋体" w:hAnsi="宋体" w:cs="宋体" w:hint="eastAsia"/>
          <w:b/>
          <w:kern w:val="0"/>
          <w:szCs w:val="21"/>
          <w:lang w:bidi="zh-CN"/>
        </w:rPr>
        <w:t>688518</w:t>
      </w:r>
      <w:r>
        <w:rPr>
          <w:rFonts w:ascii="宋体" w:eastAsia="宋体" w:hAnsi="宋体" w:cs="宋体" w:hint="eastAsia"/>
          <w:b/>
          <w:kern w:val="0"/>
          <w:szCs w:val="21"/>
          <w:lang w:val="zh-CN" w:bidi="zh-CN"/>
        </w:rPr>
        <w:tab/>
        <w:t>编号：202</w:t>
      </w:r>
      <w:r w:rsidR="009A78AE">
        <w:rPr>
          <w:rFonts w:ascii="宋体" w:eastAsia="宋体" w:hAnsi="宋体" w:cs="宋体" w:hint="eastAsia"/>
          <w:b/>
          <w:kern w:val="0"/>
          <w:szCs w:val="21"/>
          <w:lang w:bidi="zh-CN"/>
        </w:rPr>
        <w:t>5</w:t>
      </w:r>
      <w:r>
        <w:rPr>
          <w:rFonts w:ascii="宋体" w:eastAsia="宋体" w:hAnsi="宋体" w:cs="宋体" w:hint="eastAsia"/>
          <w:b/>
          <w:kern w:val="0"/>
          <w:szCs w:val="21"/>
          <w:lang w:val="zh-CN" w:bidi="zh-CN"/>
        </w:rPr>
        <w:t>-0</w:t>
      </w:r>
      <w:r>
        <w:rPr>
          <w:rFonts w:ascii="宋体" w:eastAsia="宋体" w:hAnsi="宋体" w:cs="宋体" w:hint="eastAsia"/>
          <w:b/>
          <w:kern w:val="0"/>
          <w:szCs w:val="21"/>
          <w:lang w:bidi="zh-CN"/>
        </w:rPr>
        <w:t>01</w:t>
      </w:r>
    </w:p>
    <w:tbl>
      <w:tblPr>
        <w:tblStyle w:val="a9"/>
        <w:tblW w:w="8926" w:type="dxa"/>
        <w:jc w:val="center"/>
        <w:tblLook w:val="04A0" w:firstRow="1" w:lastRow="0" w:firstColumn="1" w:lastColumn="0" w:noHBand="0" w:noVBand="1"/>
      </w:tblPr>
      <w:tblGrid>
        <w:gridCol w:w="1569"/>
        <w:gridCol w:w="3813"/>
        <w:gridCol w:w="3544"/>
      </w:tblGrid>
      <w:tr w:rsidR="00C806D5">
        <w:trPr>
          <w:trHeight w:val="1543"/>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投资者关系</w:t>
            </w:r>
          </w:p>
          <w:p w:rsidR="00C806D5" w:rsidRDefault="00287206">
            <w:pPr>
              <w:jc w:val="center"/>
              <w:rPr>
                <w:rFonts w:ascii="宋体" w:eastAsia="宋体" w:hAnsi="宋体"/>
                <w:b/>
                <w:szCs w:val="21"/>
              </w:rPr>
            </w:pPr>
            <w:r>
              <w:rPr>
                <w:rFonts w:ascii="宋体" w:eastAsia="宋体" w:hAnsi="宋体" w:hint="eastAsia"/>
                <w:b/>
                <w:szCs w:val="21"/>
              </w:rPr>
              <w:t>活动类别</w:t>
            </w:r>
          </w:p>
        </w:tc>
        <w:tc>
          <w:tcPr>
            <w:tcW w:w="3813" w:type="dxa"/>
            <w:tcBorders>
              <w:right w:val="nil"/>
            </w:tcBorders>
          </w:tcPr>
          <w:p w:rsidR="00C806D5" w:rsidRDefault="00287206">
            <w:pPr>
              <w:rPr>
                <w:rFonts w:ascii="宋体" w:eastAsia="宋体" w:hAnsi="宋体"/>
                <w:szCs w:val="21"/>
              </w:rPr>
            </w:pPr>
            <w:r>
              <w:rPr>
                <w:rFonts w:ascii="宋体" w:eastAsia="宋体" w:hAnsi="宋体" w:hint="eastAsia"/>
                <w:szCs w:val="21"/>
              </w:rPr>
              <w:sym w:font="Wingdings 2" w:char="00A3"/>
            </w:r>
            <w:r>
              <w:rPr>
                <w:rFonts w:ascii="宋体" w:eastAsia="宋体" w:hAnsi="宋体" w:hint="eastAsia"/>
                <w:szCs w:val="21"/>
              </w:rPr>
              <w:t>特定对象调研</w:t>
            </w:r>
          </w:p>
          <w:p w:rsidR="00C806D5" w:rsidRDefault="00287206">
            <w:pPr>
              <w:rPr>
                <w:rFonts w:ascii="宋体" w:eastAsia="宋体" w:hAnsi="宋体"/>
                <w:szCs w:val="21"/>
              </w:rPr>
            </w:pPr>
            <w:r>
              <w:rPr>
                <w:rFonts w:ascii="宋体" w:eastAsia="宋体" w:hAnsi="宋体" w:hint="eastAsia"/>
                <w:szCs w:val="21"/>
              </w:rPr>
              <w:t>□媒体采访</w:t>
            </w:r>
          </w:p>
          <w:p w:rsidR="00C806D5" w:rsidRDefault="00287206">
            <w:pPr>
              <w:rPr>
                <w:rFonts w:ascii="宋体" w:eastAsia="宋体" w:hAnsi="宋体"/>
                <w:szCs w:val="21"/>
              </w:rPr>
            </w:pPr>
            <w:r>
              <w:rPr>
                <w:rFonts w:ascii="宋体" w:eastAsia="宋体" w:hAnsi="宋体" w:hint="eastAsia"/>
                <w:szCs w:val="21"/>
              </w:rPr>
              <w:t>□新闻发布会</w:t>
            </w:r>
          </w:p>
          <w:p w:rsidR="00C806D5" w:rsidRDefault="00287206">
            <w:pPr>
              <w:rPr>
                <w:rFonts w:ascii="宋体" w:eastAsia="宋体" w:hAnsi="宋体"/>
                <w:szCs w:val="21"/>
              </w:rPr>
            </w:pPr>
            <w:r>
              <w:rPr>
                <w:rFonts w:ascii="宋体" w:eastAsia="宋体" w:hAnsi="宋体" w:hint="eastAsia"/>
                <w:szCs w:val="21"/>
              </w:rPr>
              <w:sym w:font="Wingdings 2" w:char="00A3"/>
            </w:r>
            <w:r>
              <w:rPr>
                <w:rFonts w:ascii="宋体" w:eastAsia="宋体" w:hAnsi="宋体" w:hint="eastAsia"/>
                <w:szCs w:val="21"/>
              </w:rPr>
              <w:t>现场参观</w:t>
            </w:r>
          </w:p>
          <w:p w:rsidR="00C806D5" w:rsidRDefault="00287206">
            <w:pPr>
              <w:rPr>
                <w:rFonts w:ascii="宋体" w:eastAsia="宋体" w:hAnsi="宋体"/>
                <w:szCs w:val="21"/>
              </w:rPr>
            </w:pPr>
            <w:r>
              <w:rPr>
                <w:rFonts w:ascii="宋体" w:eastAsia="宋体" w:hAnsi="宋体" w:hint="eastAsia"/>
                <w:szCs w:val="21"/>
              </w:rPr>
              <w:sym w:font="Wingdings 2" w:char="F052"/>
            </w:r>
            <w:r>
              <w:rPr>
                <w:rFonts w:ascii="宋体" w:eastAsia="宋体" w:hAnsi="宋体"/>
                <w:szCs w:val="21"/>
              </w:rPr>
              <w:t>电话会议</w:t>
            </w:r>
          </w:p>
        </w:tc>
        <w:tc>
          <w:tcPr>
            <w:tcW w:w="3544" w:type="dxa"/>
            <w:tcBorders>
              <w:left w:val="nil"/>
            </w:tcBorders>
          </w:tcPr>
          <w:p w:rsidR="00C806D5" w:rsidRDefault="00287206">
            <w:pPr>
              <w:rPr>
                <w:rFonts w:ascii="宋体" w:eastAsia="宋体" w:hAnsi="宋体"/>
                <w:szCs w:val="21"/>
              </w:rPr>
            </w:pPr>
            <w:r>
              <w:rPr>
                <w:rFonts w:ascii="宋体" w:eastAsia="宋体" w:hAnsi="宋体" w:hint="eastAsia"/>
                <w:szCs w:val="21"/>
              </w:rPr>
              <w:t>□分析师会议</w:t>
            </w:r>
          </w:p>
          <w:p w:rsidR="00C806D5" w:rsidRDefault="00287206">
            <w:pPr>
              <w:rPr>
                <w:rFonts w:ascii="宋体" w:eastAsia="宋体" w:hAnsi="宋体"/>
                <w:szCs w:val="21"/>
              </w:rPr>
            </w:pPr>
            <w:r>
              <w:rPr>
                <w:rFonts w:ascii="宋体" w:eastAsia="宋体" w:hAnsi="宋体" w:hint="eastAsia"/>
                <w:szCs w:val="21"/>
              </w:rPr>
              <w:sym w:font="Wingdings 2" w:char="F052"/>
            </w:r>
            <w:r>
              <w:rPr>
                <w:rFonts w:ascii="宋体" w:eastAsia="宋体" w:hAnsi="宋体" w:hint="eastAsia"/>
                <w:szCs w:val="21"/>
              </w:rPr>
              <w:t>业绩说明会</w:t>
            </w:r>
          </w:p>
          <w:p w:rsidR="00C806D5" w:rsidRDefault="00287206">
            <w:pPr>
              <w:rPr>
                <w:rFonts w:ascii="宋体" w:eastAsia="宋体" w:hAnsi="宋体"/>
                <w:szCs w:val="21"/>
              </w:rPr>
            </w:pPr>
            <w:r>
              <w:rPr>
                <w:rFonts w:ascii="宋体" w:eastAsia="宋体" w:hAnsi="宋体" w:hint="eastAsia"/>
                <w:szCs w:val="21"/>
              </w:rPr>
              <w:t>□路演活动</w:t>
            </w:r>
          </w:p>
          <w:p w:rsidR="00C806D5" w:rsidRDefault="00287206">
            <w:pPr>
              <w:rPr>
                <w:rFonts w:ascii="宋体" w:eastAsia="宋体" w:hAnsi="宋体"/>
                <w:szCs w:val="21"/>
              </w:rPr>
            </w:pPr>
            <w:r>
              <w:rPr>
                <w:rFonts w:ascii="宋体" w:eastAsia="宋体" w:hAnsi="宋体" w:hint="eastAsia"/>
                <w:szCs w:val="21"/>
              </w:rPr>
              <w:sym w:font="Wingdings 2" w:char="00A3"/>
            </w:r>
            <w:r>
              <w:rPr>
                <w:rFonts w:ascii="宋体" w:eastAsia="宋体" w:hAnsi="宋体" w:hint="eastAsia"/>
                <w:szCs w:val="21"/>
              </w:rPr>
              <w:t>一对一沟通</w:t>
            </w:r>
          </w:p>
        </w:tc>
      </w:tr>
      <w:tr w:rsidR="00C806D5">
        <w:trPr>
          <w:trHeight w:val="482"/>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参与单位名称及人员</w:t>
            </w:r>
          </w:p>
        </w:tc>
        <w:tc>
          <w:tcPr>
            <w:tcW w:w="7357" w:type="dxa"/>
            <w:gridSpan w:val="2"/>
            <w:vAlign w:val="center"/>
          </w:tcPr>
          <w:p w:rsidR="00C806D5" w:rsidRDefault="00D12CF8" w:rsidP="00D12CF8">
            <w:pPr>
              <w:rPr>
                <w:rFonts w:ascii="宋体" w:eastAsia="宋体" w:hAnsi="宋体"/>
                <w:szCs w:val="21"/>
              </w:rPr>
            </w:pPr>
            <w:r>
              <w:rPr>
                <w:rFonts w:ascii="宋体" w:eastAsia="宋体" w:hAnsi="宋体" w:hint="eastAsia"/>
                <w:szCs w:val="21"/>
              </w:rPr>
              <w:t>75</w:t>
            </w:r>
            <w:r w:rsidR="00287206">
              <w:rPr>
                <w:rFonts w:ascii="宋体" w:eastAsia="宋体" w:hAnsi="宋体" w:hint="eastAsia"/>
                <w:szCs w:val="21"/>
              </w:rPr>
              <w:t>家投资机构的</w:t>
            </w:r>
            <w:r>
              <w:rPr>
                <w:rFonts w:ascii="宋体" w:eastAsia="宋体" w:hAnsi="宋体" w:hint="eastAsia"/>
                <w:szCs w:val="21"/>
              </w:rPr>
              <w:t>88</w:t>
            </w:r>
            <w:r w:rsidR="00287206">
              <w:rPr>
                <w:rFonts w:ascii="宋体" w:eastAsia="宋体" w:hAnsi="宋体" w:hint="eastAsia"/>
                <w:szCs w:val="21"/>
              </w:rPr>
              <w:t>名投资者（详见附件1《与会机构清单》）</w:t>
            </w:r>
          </w:p>
        </w:tc>
      </w:tr>
      <w:tr w:rsidR="00C806D5">
        <w:trPr>
          <w:trHeight w:val="442"/>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时间</w:t>
            </w:r>
          </w:p>
        </w:tc>
        <w:tc>
          <w:tcPr>
            <w:tcW w:w="7357" w:type="dxa"/>
            <w:gridSpan w:val="2"/>
            <w:vAlign w:val="center"/>
          </w:tcPr>
          <w:p w:rsidR="00C806D5" w:rsidRDefault="00287206" w:rsidP="009A78AE">
            <w:pPr>
              <w:rPr>
                <w:rFonts w:ascii="宋体" w:eastAsia="宋体" w:hAnsi="宋体"/>
                <w:szCs w:val="21"/>
              </w:rPr>
            </w:pPr>
            <w:r>
              <w:rPr>
                <w:rFonts w:ascii="宋体" w:eastAsia="宋体" w:hAnsi="宋体" w:hint="eastAsia"/>
                <w:szCs w:val="21"/>
              </w:rPr>
              <w:t>202</w:t>
            </w:r>
            <w:r w:rsidR="009A78AE">
              <w:rPr>
                <w:rFonts w:ascii="宋体" w:eastAsia="宋体" w:hAnsi="宋体" w:hint="eastAsia"/>
                <w:szCs w:val="21"/>
              </w:rPr>
              <w:t>5</w:t>
            </w:r>
            <w:r>
              <w:rPr>
                <w:rFonts w:ascii="宋体" w:eastAsia="宋体" w:hAnsi="宋体" w:hint="eastAsia"/>
                <w:szCs w:val="21"/>
              </w:rPr>
              <w:t>年4</w:t>
            </w:r>
            <w:r>
              <w:rPr>
                <w:rFonts w:ascii="宋体" w:eastAsia="宋体" w:hAnsi="宋体"/>
                <w:szCs w:val="21"/>
              </w:rPr>
              <w:t>月</w:t>
            </w:r>
            <w:r>
              <w:rPr>
                <w:rFonts w:ascii="宋体" w:eastAsia="宋体" w:hAnsi="宋体" w:hint="eastAsia"/>
                <w:szCs w:val="21"/>
              </w:rPr>
              <w:t>15日</w:t>
            </w:r>
          </w:p>
        </w:tc>
      </w:tr>
      <w:tr w:rsidR="00C806D5">
        <w:trPr>
          <w:trHeight w:val="442"/>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地点</w:t>
            </w:r>
          </w:p>
        </w:tc>
        <w:tc>
          <w:tcPr>
            <w:tcW w:w="7357" w:type="dxa"/>
            <w:gridSpan w:val="2"/>
            <w:vAlign w:val="center"/>
          </w:tcPr>
          <w:p w:rsidR="00C806D5" w:rsidRDefault="00287206">
            <w:pPr>
              <w:rPr>
                <w:rFonts w:ascii="宋体" w:eastAsia="宋体" w:hAnsi="宋体"/>
                <w:szCs w:val="21"/>
              </w:rPr>
            </w:pPr>
            <w:r>
              <w:rPr>
                <w:rFonts w:ascii="宋体" w:eastAsia="宋体" w:hAnsi="宋体" w:hint="eastAsia"/>
                <w:szCs w:val="21"/>
              </w:rPr>
              <w:t>进门财经线上平台</w:t>
            </w:r>
          </w:p>
        </w:tc>
      </w:tr>
      <w:tr w:rsidR="00C806D5">
        <w:trPr>
          <w:trHeight w:val="842"/>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上市公司接待</w:t>
            </w:r>
          </w:p>
          <w:p w:rsidR="00C806D5" w:rsidRDefault="00287206">
            <w:pPr>
              <w:jc w:val="center"/>
              <w:rPr>
                <w:rFonts w:ascii="宋体" w:eastAsia="宋体" w:hAnsi="宋体"/>
                <w:b/>
                <w:szCs w:val="21"/>
              </w:rPr>
            </w:pPr>
            <w:r>
              <w:rPr>
                <w:rFonts w:ascii="宋体" w:eastAsia="宋体" w:hAnsi="宋体" w:hint="eastAsia"/>
                <w:b/>
                <w:szCs w:val="21"/>
              </w:rPr>
              <w:t>人员姓名</w:t>
            </w:r>
          </w:p>
        </w:tc>
        <w:tc>
          <w:tcPr>
            <w:tcW w:w="7357" w:type="dxa"/>
            <w:gridSpan w:val="2"/>
            <w:vAlign w:val="center"/>
          </w:tcPr>
          <w:p w:rsidR="009A78AE" w:rsidRDefault="009A78AE" w:rsidP="009A78AE">
            <w:pPr>
              <w:rPr>
                <w:rFonts w:ascii="宋体" w:eastAsia="宋体" w:hAnsi="宋体"/>
                <w:szCs w:val="21"/>
              </w:rPr>
            </w:pPr>
            <w:r>
              <w:rPr>
                <w:rFonts w:ascii="宋体" w:eastAsia="宋体" w:hAnsi="宋体" w:hint="eastAsia"/>
                <w:szCs w:val="21"/>
              </w:rPr>
              <w:t>公司副董事长、总经理：贾松</w:t>
            </w:r>
          </w:p>
          <w:p w:rsidR="00C806D5" w:rsidRDefault="00287206">
            <w:pPr>
              <w:rPr>
                <w:rFonts w:ascii="宋体" w:eastAsia="宋体" w:hAnsi="宋体"/>
                <w:szCs w:val="21"/>
              </w:rPr>
            </w:pPr>
            <w:r>
              <w:rPr>
                <w:rFonts w:ascii="宋体" w:eastAsia="宋体" w:hAnsi="宋体" w:hint="eastAsia"/>
                <w:szCs w:val="21"/>
              </w:rPr>
              <w:t>公司副总经理、财务总监、董事会秘书：谢强</w:t>
            </w:r>
          </w:p>
        </w:tc>
      </w:tr>
      <w:tr w:rsidR="00C806D5">
        <w:trPr>
          <w:trHeight w:val="514"/>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t>投资者关系活动主要内容介绍</w:t>
            </w:r>
          </w:p>
        </w:tc>
        <w:tc>
          <w:tcPr>
            <w:tcW w:w="7357" w:type="dxa"/>
            <w:gridSpan w:val="2"/>
          </w:tcPr>
          <w:p w:rsidR="00C806D5" w:rsidRDefault="00287206">
            <w:pPr>
              <w:spacing w:line="360" w:lineRule="auto"/>
              <w:rPr>
                <w:rFonts w:ascii="宋体" w:eastAsia="宋体" w:hAnsi="宋体"/>
                <w:b/>
                <w:bCs/>
                <w:szCs w:val="21"/>
              </w:rPr>
            </w:pPr>
            <w:r>
              <w:rPr>
                <w:rFonts w:ascii="宋体" w:eastAsia="宋体" w:hAnsi="宋体" w:hint="eastAsia"/>
                <w:b/>
                <w:bCs/>
                <w:szCs w:val="21"/>
              </w:rPr>
              <w:t>第一部分</w:t>
            </w:r>
            <w:r>
              <w:rPr>
                <w:rFonts w:ascii="宋体" w:eastAsia="宋体" w:hAnsi="宋体"/>
                <w:b/>
                <w:bCs/>
                <w:szCs w:val="21"/>
              </w:rPr>
              <w:t>：介绍公司</w:t>
            </w:r>
            <w:r w:rsidR="0029208A">
              <w:rPr>
                <w:rFonts w:ascii="宋体" w:eastAsia="宋体" w:hAnsi="宋体" w:hint="eastAsia"/>
                <w:b/>
                <w:bCs/>
                <w:szCs w:val="21"/>
              </w:rPr>
              <w:t>2024年度业绩</w:t>
            </w:r>
            <w:r>
              <w:rPr>
                <w:rFonts w:ascii="宋体" w:eastAsia="宋体" w:hAnsi="宋体" w:hint="eastAsia"/>
                <w:b/>
                <w:bCs/>
                <w:szCs w:val="21"/>
              </w:rPr>
              <w:t>情况</w:t>
            </w:r>
          </w:p>
          <w:p w:rsidR="0029208A" w:rsidRPr="0029208A" w:rsidRDefault="0029208A" w:rsidP="0029208A">
            <w:pPr>
              <w:spacing w:line="360" w:lineRule="auto"/>
              <w:ind w:firstLineChars="200" w:firstLine="420"/>
              <w:rPr>
                <w:rFonts w:ascii="宋体" w:eastAsia="宋体" w:hAnsi="宋体"/>
                <w:szCs w:val="21"/>
              </w:rPr>
            </w:pPr>
            <w:r w:rsidRPr="0029208A">
              <w:rPr>
                <w:rFonts w:ascii="宋体" w:eastAsia="宋体" w:hAnsi="宋体"/>
                <w:szCs w:val="21"/>
              </w:rPr>
              <w:t>2024年公司实现营业收入314,955.43万元，同比下降10.33%；实现归属于上市公司股东的净利润16,553.25万元，同比下降42.18%</w:t>
            </w:r>
            <w:r>
              <w:rPr>
                <w:rFonts w:ascii="宋体" w:eastAsia="宋体" w:hAnsi="宋体" w:hint="eastAsia"/>
                <w:szCs w:val="21"/>
              </w:rPr>
              <w:t>。</w:t>
            </w:r>
            <w:r w:rsidRPr="0029208A">
              <w:rPr>
                <w:rFonts w:ascii="宋体" w:eastAsia="宋体" w:hAnsi="宋体"/>
                <w:szCs w:val="21"/>
              </w:rPr>
              <w:t>利润下降主要是受下游锂电行业投资放缓及市场竞争加剧等影响，营业收入和毛利率均有所下降，同时，公司对应收账款和存货计提减值损失12</w:t>
            </w:r>
            <w:r>
              <w:rPr>
                <w:rFonts w:ascii="宋体" w:eastAsia="宋体" w:hAnsi="宋体" w:hint="eastAsia"/>
                <w:szCs w:val="21"/>
              </w:rPr>
              <w:t>,</w:t>
            </w:r>
            <w:r w:rsidRPr="0029208A">
              <w:rPr>
                <w:rFonts w:ascii="宋体" w:eastAsia="宋体" w:hAnsi="宋体"/>
                <w:szCs w:val="21"/>
              </w:rPr>
              <w:t>937.66万元，同比增加6,661.91万元。2024年综合毛利率为30.51%，同比下降0.73个百分点，其中锂电行业订单的毛利率同比下降3.54个百分点，拉低了整体毛利率水平。</w:t>
            </w:r>
          </w:p>
          <w:p w:rsidR="00C806D5" w:rsidRDefault="0029208A" w:rsidP="0029208A">
            <w:pPr>
              <w:spacing w:line="360" w:lineRule="auto"/>
              <w:ind w:firstLineChars="200" w:firstLine="420"/>
              <w:rPr>
                <w:rFonts w:ascii="宋体" w:eastAsia="宋体" w:hAnsi="宋体"/>
                <w:szCs w:val="21"/>
              </w:rPr>
            </w:pPr>
            <w:r w:rsidRPr="0029208A">
              <w:rPr>
                <w:rFonts w:ascii="宋体" w:eastAsia="宋体" w:hAnsi="宋体"/>
                <w:szCs w:val="21"/>
              </w:rPr>
              <w:t>2024年面对锂电行业投资放缓、设备行业产能过剩，同质化竞争加剧的局面，公司加大对非锂电行业的市场开拓力度，非锂</w:t>
            </w:r>
            <w:proofErr w:type="gramStart"/>
            <w:r w:rsidRPr="0029208A">
              <w:rPr>
                <w:rFonts w:ascii="宋体" w:eastAsia="宋体" w:hAnsi="宋体"/>
                <w:szCs w:val="21"/>
              </w:rPr>
              <w:t>电业务</w:t>
            </w:r>
            <w:proofErr w:type="gramEnd"/>
            <w:r w:rsidRPr="0029208A">
              <w:rPr>
                <w:rFonts w:ascii="宋体" w:eastAsia="宋体" w:hAnsi="宋体"/>
                <w:szCs w:val="21"/>
              </w:rPr>
              <w:t>新签订单呈现出快速增长势头，尤其是消费电子行业，首批小钢壳电池激光焊接设备成功批量生产，获得客户高度评价，市场前景广阔。2024年新签订单30亿元（含税），其中锂电行业订单占比62%，非锂电行业订单占比38%，非锂电行业订单比例比上年度提升13个百分点，期末在手订单35亿元（含税），随着订单结构的优化，公司未来盈利能力仍有提升空间。</w:t>
            </w:r>
          </w:p>
          <w:p w:rsidR="00C806D5" w:rsidRDefault="00287206">
            <w:pPr>
              <w:spacing w:line="360" w:lineRule="auto"/>
              <w:rPr>
                <w:rFonts w:ascii="宋体" w:eastAsia="宋体" w:hAnsi="宋体"/>
                <w:b/>
                <w:bCs/>
                <w:szCs w:val="21"/>
              </w:rPr>
            </w:pPr>
            <w:r>
              <w:rPr>
                <w:rFonts w:ascii="宋体" w:eastAsia="宋体" w:hAnsi="宋体" w:hint="eastAsia"/>
                <w:b/>
                <w:bCs/>
                <w:szCs w:val="21"/>
              </w:rPr>
              <w:t>第二部分</w:t>
            </w:r>
            <w:r>
              <w:rPr>
                <w:rFonts w:ascii="宋体" w:eastAsia="宋体" w:hAnsi="宋体"/>
                <w:b/>
                <w:bCs/>
                <w:szCs w:val="21"/>
              </w:rPr>
              <w:t>:</w:t>
            </w:r>
            <w:r>
              <w:rPr>
                <w:rFonts w:ascii="宋体" w:eastAsia="宋体" w:hAnsi="宋体" w:hint="eastAsia"/>
                <w:b/>
                <w:bCs/>
                <w:szCs w:val="21"/>
              </w:rPr>
              <w:t>提问交流</w:t>
            </w:r>
          </w:p>
          <w:p w:rsidR="00C806D5" w:rsidRDefault="00287206">
            <w:pPr>
              <w:spacing w:beforeLines="50" w:before="156" w:line="360" w:lineRule="auto"/>
              <w:rPr>
                <w:rFonts w:ascii="宋体" w:eastAsia="宋体" w:hAnsi="宋体"/>
                <w:szCs w:val="21"/>
              </w:rPr>
            </w:pPr>
            <w:r>
              <w:rPr>
                <w:rFonts w:ascii="宋体" w:eastAsia="宋体" w:hAnsi="宋体" w:hint="eastAsia"/>
                <w:szCs w:val="21"/>
              </w:rPr>
              <w:t>1.</w:t>
            </w:r>
            <w:r w:rsidR="0029208A" w:rsidRPr="0029208A">
              <w:rPr>
                <w:rFonts w:ascii="宋体" w:eastAsia="宋体" w:hAnsi="宋体" w:hint="eastAsia"/>
              </w:rPr>
              <w:t>去年和今年一季度新签订单情况如何，对今年全年新签订单的预期怎样？</w:t>
            </w:r>
            <w:r>
              <w:rPr>
                <w:rFonts w:ascii="宋体" w:eastAsia="宋体" w:hAnsi="宋体" w:hint="eastAsia"/>
                <w:szCs w:val="21"/>
              </w:rPr>
              <w:t xml:space="preserve"> </w:t>
            </w:r>
          </w:p>
          <w:p w:rsidR="00C806D5" w:rsidRDefault="00287206" w:rsidP="00D12CF8">
            <w:pPr>
              <w:spacing w:line="360" w:lineRule="auto"/>
              <w:ind w:firstLineChars="200" w:firstLine="420"/>
              <w:rPr>
                <w:rStyle w:val="aa"/>
                <w:rFonts w:ascii="Arial" w:hAnsi="Arial" w:cs="Arial"/>
                <w:szCs w:val="21"/>
                <w:shd w:val="clear" w:color="auto" w:fill="FFFFFF"/>
              </w:rPr>
            </w:pPr>
            <w:r>
              <w:rPr>
                <w:rFonts w:ascii="宋体" w:eastAsia="宋体" w:hAnsi="宋体" w:hint="eastAsia"/>
                <w:szCs w:val="21"/>
              </w:rPr>
              <w:t>答：</w:t>
            </w:r>
            <w:r w:rsidR="0029208A" w:rsidRPr="0029208A">
              <w:rPr>
                <w:rFonts w:ascii="宋体" w:eastAsia="宋体" w:hAnsi="宋体" w:hint="eastAsia"/>
                <w:szCs w:val="21"/>
              </w:rPr>
              <w:t>去年全年新签订单</w:t>
            </w:r>
            <w:r w:rsidR="0029208A" w:rsidRPr="0029208A">
              <w:rPr>
                <w:rFonts w:ascii="宋体" w:eastAsia="宋体" w:hAnsi="宋体"/>
                <w:szCs w:val="21"/>
              </w:rPr>
              <w:t>30亿，同比减少10.33%，去年订单下滑主要是因</w:t>
            </w:r>
            <w:r w:rsidR="0029208A" w:rsidRPr="0029208A">
              <w:rPr>
                <w:rFonts w:ascii="宋体" w:eastAsia="宋体" w:hAnsi="宋体"/>
                <w:szCs w:val="21"/>
              </w:rPr>
              <w:lastRenderedPageBreak/>
              <w:t>为加强风险控制，提高了对客户资质的要求，集中服务龙头客户，同时对毛利率也提出要求，放弃过低毛利的订单。今年一季度订单接近18亿，一部分来源于消费电子，大头还是锂电。公司2025年全年规划目标是45亿，从目前客户扩产情况来看，今年全年订单情况应该会比较好。</w:t>
            </w:r>
          </w:p>
          <w:p w:rsidR="0029208A" w:rsidRPr="0029208A" w:rsidRDefault="00287206" w:rsidP="0029208A">
            <w:pPr>
              <w:spacing w:beforeLines="50" w:before="156" w:line="360" w:lineRule="auto"/>
              <w:rPr>
                <w:rFonts w:ascii="宋体" w:eastAsia="宋体" w:hAnsi="宋体"/>
                <w:szCs w:val="21"/>
              </w:rPr>
            </w:pPr>
            <w:r>
              <w:rPr>
                <w:rFonts w:ascii="宋体" w:eastAsia="宋体" w:hAnsi="宋体" w:hint="eastAsia"/>
                <w:szCs w:val="21"/>
              </w:rPr>
              <w:t>2.</w:t>
            </w:r>
            <w:r w:rsidR="0029208A" w:rsidRPr="0029208A">
              <w:rPr>
                <w:rFonts w:ascii="宋体" w:eastAsia="宋体" w:hAnsi="宋体"/>
                <w:szCs w:val="21"/>
              </w:rPr>
              <w:t>怎么看这一波锂电行业周期的持续度，明年全球情况会怎样？</w:t>
            </w:r>
          </w:p>
          <w:p w:rsidR="0029208A" w:rsidRPr="0029208A" w:rsidRDefault="0029208A" w:rsidP="0029208A">
            <w:pPr>
              <w:spacing w:beforeLines="50" w:before="156" w:line="360" w:lineRule="auto"/>
              <w:ind w:firstLineChars="100" w:firstLine="210"/>
              <w:rPr>
                <w:rFonts w:ascii="宋体" w:eastAsia="宋体" w:hAnsi="宋体"/>
                <w:szCs w:val="21"/>
              </w:rPr>
            </w:pPr>
            <w:r>
              <w:rPr>
                <w:rFonts w:ascii="宋体" w:eastAsia="宋体" w:hAnsi="宋体" w:hint="eastAsia"/>
                <w:szCs w:val="21"/>
              </w:rPr>
              <w:t>答：</w:t>
            </w:r>
            <w:r w:rsidRPr="0029208A">
              <w:rPr>
                <w:rFonts w:ascii="宋体" w:eastAsia="宋体" w:hAnsi="宋体" w:hint="eastAsia"/>
                <w:szCs w:val="21"/>
              </w:rPr>
              <w:t>锂</w:t>
            </w:r>
            <w:proofErr w:type="gramStart"/>
            <w:r w:rsidRPr="0029208A">
              <w:rPr>
                <w:rFonts w:ascii="宋体" w:eastAsia="宋体" w:hAnsi="宋体" w:hint="eastAsia"/>
                <w:szCs w:val="21"/>
              </w:rPr>
              <w:t>电主要</w:t>
            </w:r>
            <w:proofErr w:type="gramEnd"/>
            <w:r w:rsidRPr="0029208A">
              <w:rPr>
                <w:rFonts w:ascii="宋体" w:eastAsia="宋体" w:hAnsi="宋体" w:hint="eastAsia"/>
                <w:szCs w:val="21"/>
              </w:rPr>
              <w:t>用于电动汽车和储能行业，</w:t>
            </w:r>
            <w:r w:rsidRPr="0029208A">
              <w:rPr>
                <w:rFonts w:ascii="宋体" w:eastAsia="宋体" w:hAnsi="宋体"/>
                <w:szCs w:val="21"/>
              </w:rPr>
              <w:t>2024年这两块都在高速增长，动力增长20%-30%，储能增长约70%，目前行业情况是头部优质产能缺乏，2025年是一个分水岭，强者更强，弱者可能会被淘汰。所以公司紧紧围绕头部企业和二三线能够上市融资的电池企业开展工作，以规避风险。</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3</w:t>
            </w:r>
            <w:r>
              <w:rPr>
                <w:rFonts w:ascii="宋体" w:eastAsia="宋体" w:hAnsi="宋体" w:hint="eastAsia"/>
                <w:szCs w:val="21"/>
              </w:rPr>
              <w:t>.</w:t>
            </w:r>
            <w:r w:rsidRPr="0029208A">
              <w:rPr>
                <w:rFonts w:ascii="宋体" w:eastAsia="宋体" w:hAnsi="宋体"/>
                <w:szCs w:val="21"/>
              </w:rPr>
              <w:t>今年设备厂竞争情况如何，接单毛利率预期怎样？</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w:t>
            </w:r>
            <w:r w:rsidRPr="0029208A">
              <w:rPr>
                <w:rFonts w:ascii="宋体" w:eastAsia="宋体" w:hAnsi="宋体"/>
                <w:szCs w:val="21"/>
              </w:rPr>
              <w:t>2023年初公司定了“动力锂电保市占率，细分赛道保利润”的战略，到2024年9月份以后，公司调整了动力锂电赛道的战略，设置了毛利率底线原则，锂</w:t>
            </w:r>
            <w:proofErr w:type="gramStart"/>
            <w:r w:rsidRPr="0029208A">
              <w:rPr>
                <w:rFonts w:ascii="宋体" w:eastAsia="宋体" w:hAnsi="宋体"/>
                <w:szCs w:val="21"/>
              </w:rPr>
              <w:t>电业务</w:t>
            </w:r>
            <w:proofErr w:type="gramEnd"/>
            <w:r w:rsidRPr="0029208A">
              <w:rPr>
                <w:rFonts w:ascii="宋体" w:eastAsia="宋体" w:hAnsi="宋体"/>
                <w:szCs w:val="21"/>
              </w:rPr>
              <w:t>没有利润就不能干，四季度开始订单的毛利率有提高。</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4</w:t>
            </w:r>
            <w:r>
              <w:rPr>
                <w:rFonts w:ascii="宋体" w:eastAsia="宋体" w:hAnsi="宋体" w:hint="eastAsia"/>
                <w:szCs w:val="21"/>
              </w:rPr>
              <w:t>.</w:t>
            </w:r>
            <w:r w:rsidRPr="0029208A">
              <w:rPr>
                <w:rFonts w:ascii="宋体" w:eastAsia="宋体" w:hAnsi="宋体"/>
                <w:szCs w:val="21"/>
              </w:rPr>
              <w:t>设备厂竞争格局是否呈现订单向头部设备厂集中的趋势？</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答：从多年情况来看，</w:t>
            </w:r>
            <w:r w:rsidRPr="0029208A">
              <w:rPr>
                <w:rFonts w:ascii="宋体" w:eastAsia="宋体" w:hAnsi="宋体"/>
                <w:szCs w:val="21"/>
              </w:rPr>
              <w:t>2021年之后，做锂电设备的企业日子不好过，所以现在有的退出了，有的回归主业放弃锂电业务。公司在头部客户中的占比去年有所提高，所以电池厂把设备订单往头部设备厂集中的趋势是存在且合理的。</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5</w:t>
            </w:r>
            <w:r>
              <w:rPr>
                <w:rFonts w:ascii="宋体" w:eastAsia="宋体" w:hAnsi="宋体" w:hint="eastAsia"/>
                <w:szCs w:val="21"/>
              </w:rPr>
              <w:t>.</w:t>
            </w:r>
            <w:r w:rsidRPr="0029208A">
              <w:rPr>
                <w:rFonts w:ascii="宋体" w:eastAsia="宋体" w:hAnsi="宋体"/>
                <w:szCs w:val="21"/>
              </w:rPr>
              <w:t>2024年减值是否已充分计提，2025年减值预期如何？</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w:t>
            </w:r>
            <w:r w:rsidRPr="0029208A">
              <w:rPr>
                <w:rFonts w:ascii="宋体" w:eastAsia="宋体" w:hAnsi="宋体"/>
                <w:szCs w:val="21"/>
              </w:rPr>
              <w:t>2024年业务规模比2023年小，但减值计提翻了一倍多，应收账款减值</w:t>
            </w:r>
            <w:proofErr w:type="gramStart"/>
            <w:r w:rsidRPr="0029208A">
              <w:rPr>
                <w:rFonts w:ascii="宋体" w:eastAsia="宋体" w:hAnsi="宋体"/>
                <w:szCs w:val="21"/>
              </w:rPr>
              <w:t>包括按账龄</w:t>
            </w:r>
            <w:proofErr w:type="gramEnd"/>
            <w:r w:rsidRPr="0029208A">
              <w:rPr>
                <w:rFonts w:ascii="宋体" w:eastAsia="宋体" w:hAnsi="宋体"/>
                <w:szCs w:val="21"/>
              </w:rPr>
              <w:t>计提和单项计提两部分，</w:t>
            </w:r>
            <w:proofErr w:type="gramStart"/>
            <w:r w:rsidRPr="0029208A">
              <w:rPr>
                <w:rFonts w:ascii="宋体" w:eastAsia="宋体" w:hAnsi="宋体"/>
                <w:szCs w:val="21"/>
              </w:rPr>
              <w:t>按账龄</w:t>
            </w:r>
            <w:proofErr w:type="gramEnd"/>
            <w:r w:rsidRPr="0029208A">
              <w:rPr>
                <w:rFonts w:ascii="宋体" w:eastAsia="宋体" w:hAnsi="宋体"/>
                <w:szCs w:val="21"/>
              </w:rPr>
              <w:t>计提因部分应收账款账</w:t>
            </w:r>
            <w:proofErr w:type="gramStart"/>
            <w:r w:rsidRPr="0029208A">
              <w:rPr>
                <w:rFonts w:ascii="宋体" w:eastAsia="宋体" w:hAnsi="宋体"/>
                <w:szCs w:val="21"/>
              </w:rPr>
              <w:t>龄变化</w:t>
            </w:r>
            <w:proofErr w:type="gramEnd"/>
            <w:r w:rsidRPr="0029208A">
              <w:rPr>
                <w:rFonts w:ascii="宋体" w:eastAsia="宋体" w:hAnsi="宋体"/>
                <w:szCs w:val="21"/>
              </w:rPr>
              <w:t>而有所增加；单项计提是因为少数客户投资未达预期目标、资金跟不上，有出现坏账可能，公司根据客户具体信用情况进行大比例甚至全额计提。存货方面，原材料会与市价</w:t>
            </w:r>
            <w:proofErr w:type="gramStart"/>
            <w:r w:rsidRPr="0029208A">
              <w:rPr>
                <w:rFonts w:ascii="宋体" w:eastAsia="宋体" w:hAnsi="宋体"/>
                <w:szCs w:val="21"/>
              </w:rPr>
              <w:t>对比做</w:t>
            </w:r>
            <w:proofErr w:type="gramEnd"/>
            <w:r w:rsidRPr="0029208A">
              <w:rPr>
                <w:rFonts w:ascii="宋体" w:eastAsia="宋体" w:hAnsi="宋体"/>
                <w:szCs w:val="21"/>
              </w:rPr>
              <w:t>减值准备，发出商品或在产品会严格按合同订单金额与实际成本匹配进行计提。从目前情况看，2025年的减值应该会比2024年少。以库存原材料为例：库存物料从2023年底的4.5亿，压缩到2024年底的2.5亿，现在每月维持在2.3亿左右，与一个月的用量差不多，库存物料数量比较健康。</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lastRenderedPageBreak/>
              <w:t>6</w:t>
            </w:r>
            <w:r>
              <w:rPr>
                <w:rFonts w:ascii="宋体" w:eastAsia="宋体" w:hAnsi="宋体" w:hint="eastAsia"/>
                <w:szCs w:val="21"/>
              </w:rPr>
              <w:t>.</w:t>
            </w:r>
            <w:r w:rsidRPr="0029208A">
              <w:rPr>
                <w:rFonts w:ascii="宋体" w:eastAsia="宋体" w:hAnsi="宋体"/>
                <w:szCs w:val="21"/>
              </w:rPr>
              <w:t>消费电子钢壳项目业务推进有无变化，全年订单目标是否会调整？</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hint="eastAsia"/>
                <w:szCs w:val="21"/>
              </w:rPr>
              <w:t>答：</w:t>
            </w:r>
            <w:r w:rsidRPr="0029208A">
              <w:rPr>
                <w:rFonts w:ascii="宋体" w:eastAsia="宋体" w:hAnsi="宋体"/>
                <w:szCs w:val="21"/>
              </w:rPr>
              <w:t>这个业务2024年拿了8亿订单，2025年一季度拿了3亿订单，预计上半年能接单到4亿，下半年预计会更多，目前还与客户讨论进入其他结构件领域。从目前反馈信息来看，除非手机销量大幅下滑，否则今年和明年订单目标不会有大变化，保持乐观。</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7</w:t>
            </w:r>
            <w:r>
              <w:rPr>
                <w:rFonts w:ascii="宋体" w:eastAsia="宋体" w:hAnsi="宋体" w:hint="eastAsia"/>
                <w:szCs w:val="21"/>
              </w:rPr>
              <w:t>.</w:t>
            </w:r>
            <w:r w:rsidRPr="0029208A">
              <w:rPr>
                <w:rFonts w:ascii="宋体" w:eastAsia="宋体" w:hAnsi="宋体"/>
                <w:szCs w:val="21"/>
              </w:rPr>
              <w:t>后续3C整个毛利率的合理区间大概是多少？</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答：目前的订单毛利率跟去年差不多，带研发性质的非标自动化设备有</w:t>
            </w:r>
            <w:r w:rsidRPr="0029208A">
              <w:rPr>
                <w:rFonts w:ascii="宋体" w:eastAsia="宋体" w:hAnsi="宋体"/>
                <w:szCs w:val="21"/>
              </w:rPr>
              <w:t>40%-50%的毛利比较合理。订单里有部分设备是做新产品试制的，需要投入较大研发费用，所以毛利率大概率能保持。即使后期设备价格降低，但随着业务规模扩大，对原材料、生产执行、现场交付的管控能力增强，成本也会相应降低。</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8</w:t>
            </w:r>
            <w:r>
              <w:rPr>
                <w:rFonts w:ascii="宋体" w:eastAsia="宋体" w:hAnsi="宋体" w:hint="eastAsia"/>
                <w:szCs w:val="21"/>
              </w:rPr>
              <w:t>.</w:t>
            </w:r>
            <w:r w:rsidRPr="0029208A">
              <w:rPr>
                <w:rFonts w:ascii="宋体" w:eastAsia="宋体" w:hAnsi="宋体"/>
                <w:szCs w:val="21"/>
              </w:rPr>
              <w:t>公司在固态电池领域的进展情况如何？</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答：公司春节期间加班加点为头部电池企业做了一条真正意义上的固态电池生产线，这是公司做的首条固态电池生产线，三月份已经发货。此前公司也有提供半固态电池相关设备。这条固态电池生产线，公司做了</w:t>
            </w:r>
            <w:r w:rsidRPr="0029208A">
              <w:rPr>
                <w:rFonts w:ascii="宋体" w:eastAsia="宋体" w:hAnsi="宋体"/>
                <w:szCs w:val="21"/>
              </w:rPr>
              <w:t>6台设备，相比以前</w:t>
            </w:r>
            <w:proofErr w:type="gramStart"/>
            <w:r w:rsidRPr="0029208A">
              <w:rPr>
                <w:rFonts w:ascii="宋体" w:eastAsia="宋体" w:hAnsi="宋体"/>
                <w:szCs w:val="21"/>
              </w:rPr>
              <w:t>液态方壳电池一条线做5台</w:t>
            </w:r>
            <w:proofErr w:type="gramEnd"/>
            <w:r w:rsidRPr="0029208A">
              <w:rPr>
                <w:rFonts w:ascii="宋体" w:eastAsia="宋体" w:hAnsi="宋体"/>
                <w:szCs w:val="21"/>
              </w:rPr>
              <w:t>设备，量有所提升。对于固态电池的形态选择上，公司在软包模式和</w:t>
            </w:r>
            <w:proofErr w:type="gramStart"/>
            <w:r w:rsidRPr="0029208A">
              <w:rPr>
                <w:rFonts w:ascii="宋体" w:eastAsia="宋体" w:hAnsi="宋体"/>
                <w:szCs w:val="21"/>
              </w:rPr>
              <w:t>方壳模式</w:t>
            </w:r>
            <w:proofErr w:type="gramEnd"/>
            <w:r w:rsidRPr="0029208A">
              <w:rPr>
                <w:rFonts w:ascii="宋体" w:eastAsia="宋体" w:hAnsi="宋体"/>
                <w:szCs w:val="21"/>
              </w:rPr>
              <w:t>上都有做。所以无论固态电池采用哪种路线，公司都有能力参与。</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9</w:t>
            </w:r>
            <w:r>
              <w:rPr>
                <w:rFonts w:ascii="宋体" w:eastAsia="宋体" w:hAnsi="宋体" w:hint="eastAsia"/>
                <w:szCs w:val="21"/>
              </w:rPr>
              <w:t>.</w:t>
            </w:r>
            <w:r w:rsidRPr="0029208A">
              <w:rPr>
                <w:rFonts w:ascii="宋体" w:eastAsia="宋体" w:hAnsi="宋体"/>
                <w:szCs w:val="21"/>
              </w:rPr>
              <w:t>公司对4680电池有哪些相关预期？</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w:t>
            </w:r>
            <w:r w:rsidRPr="0029208A">
              <w:rPr>
                <w:rFonts w:ascii="宋体" w:eastAsia="宋体" w:hAnsi="宋体"/>
                <w:szCs w:val="21"/>
              </w:rPr>
              <w:t>目前从中国电池厂采购4680电池的客户主要是一个德国车厂，我们给国内头部公司在匈牙利工厂提供的4680大圆柱线，电池就是供德国客户，近期要发货，前期公司也做了一些4680电池的小客户，目前主要围绕头部两家电池厂做。</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10</w:t>
            </w:r>
            <w:r>
              <w:rPr>
                <w:rFonts w:ascii="宋体" w:eastAsia="宋体" w:hAnsi="宋体" w:hint="eastAsia"/>
                <w:szCs w:val="21"/>
              </w:rPr>
              <w:t>.</w:t>
            </w:r>
            <w:r w:rsidRPr="0029208A">
              <w:rPr>
                <w:rFonts w:ascii="宋体" w:eastAsia="宋体" w:hAnsi="宋体"/>
                <w:szCs w:val="21"/>
              </w:rPr>
              <w:t>2024年海外订单量大概有多少，用在哪些环节或领域，美国订单大概有多少？</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w:t>
            </w:r>
            <w:r w:rsidRPr="0029208A">
              <w:rPr>
                <w:rFonts w:ascii="宋体" w:eastAsia="宋体" w:hAnsi="宋体"/>
                <w:szCs w:val="21"/>
              </w:rPr>
              <w:t>2024年海外订单增长约160%，主要是因为前期基数低，去年约有三个亿，这是真正报关出口的设备订单，不包括海外客户在国内交付的订单，今年预计</w:t>
            </w:r>
            <w:r w:rsidRPr="0029208A">
              <w:rPr>
                <w:rFonts w:ascii="宋体" w:eastAsia="宋体" w:hAnsi="宋体"/>
                <w:szCs w:val="21"/>
              </w:rPr>
              <w:lastRenderedPageBreak/>
              <w:t>海外订单会更多。目前在执行的美国项目是中国电池厂和美国车厂合作的一个项目，设备费用大几千万，安装调试费用另外计算，关税由对方支付。此外还有一些几百万的小订单，关税也由客户承担。</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11</w:t>
            </w:r>
            <w:r>
              <w:rPr>
                <w:rFonts w:ascii="宋体" w:eastAsia="宋体" w:hAnsi="宋体" w:hint="eastAsia"/>
                <w:szCs w:val="21"/>
              </w:rPr>
              <w:t>.</w:t>
            </w:r>
            <w:r w:rsidRPr="0029208A">
              <w:rPr>
                <w:rFonts w:ascii="宋体" w:eastAsia="宋体" w:hAnsi="宋体"/>
                <w:szCs w:val="21"/>
              </w:rPr>
              <w:t>换电站业务现在的进展情况和后面的展望如何，今年换电站的出货目标是多少，大概毛利率是什么水平？</w:t>
            </w:r>
          </w:p>
          <w:p w:rsidR="0029208A" w:rsidRPr="0029208A" w:rsidRDefault="0029208A" w:rsidP="0029208A">
            <w:pPr>
              <w:spacing w:beforeLines="50" w:before="156" w:line="360" w:lineRule="auto"/>
              <w:ind w:firstLineChars="100" w:firstLine="210"/>
              <w:rPr>
                <w:rFonts w:ascii="宋体" w:eastAsia="宋体" w:hAnsi="宋体"/>
                <w:szCs w:val="21"/>
              </w:rPr>
            </w:pPr>
            <w:r w:rsidRPr="0029208A">
              <w:rPr>
                <w:rFonts w:ascii="宋体" w:eastAsia="宋体" w:hAnsi="宋体" w:hint="eastAsia"/>
                <w:szCs w:val="21"/>
              </w:rPr>
              <w:t>答：换电站目前还未进入批量订单阶段，前期给客户做的样机一直在测试，目前公司未收到批量订单，因为是新业务，很难预测，公司未制定换电站业务的订单目标，也无法预测毛利率。</w:t>
            </w:r>
          </w:p>
          <w:p w:rsidR="0029208A" w:rsidRPr="0029208A" w:rsidRDefault="0029208A" w:rsidP="0029208A">
            <w:pPr>
              <w:spacing w:beforeLines="50" w:before="156" w:line="360" w:lineRule="auto"/>
              <w:rPr>
                <w:rFonts w:ascii="宋体" w:eastAsia="宋体" w:hAnsi="宋体"/>
                <w:szCs w:val="21"/>
              </w:rPr>
            </w:pPr>
            <w:r w:rsidRPr="0029208A">
              <w:rPr>
                <w:rFonts w:ascii="宋体" w:eastAsia="宋体" w:hAnsi="宋体"/>
                <w:szCs w:val="21"/>
              </w:rPr>
              <w:t>12</w:t>
            </w:r>
            <w:r>
              <w:rPr>
                <w:rFonts w:ascii="宋体" w:eastAsia="宋体" w:hAnsi="宋体" w:hint="eastAsia"/>
                <w:szCs w:val="21"/>
              </w:rPr>
              <w:t>.</w:t>
            </w:r>
            <w:r w:rsidRPr="0029208A">
              <w:rPr>
                <w:rFonts w:ascii="宋体" w:eastAsia="宋体" w:hAnsi="宋体"/>
                <w:szCs w:val="21"/>
              </w:rPr>
              <w:t>光通讯业</w:t>
            </w:r>
            <w:proofErr w:type="gramStart"/>
            <w:r w:rsidRPr="0029208A">
              <w:rPr>
                <w:rFonts w:ascii="宋体" w:eastAsia="宋体" w:hAnsi="宋体"/>
                <w:szCs w:val="21"/>
              </w:rPr>
              <w:t>务需</w:t>
            </w:r>
            <w:proofErr w:type="gramEnd"/>
            <w:r w:rsidRPr="0029208A">
              <w:rPr>
                <w:rFonts w:ascii="宋体" w:eastAsia="宋体" w:hAnsi="宋体"/>
                <w:szCs w:val="21"/>
              </w:rPr>
              <w:t>求预期如何？</w:t>
            </w:r>
          </w:p>
          <w:p w:rsidR="00C806D5" w:rsidRDefault="0029208A" w:rsidP="0029208A">
            <w:pPr>
              <w:spacing w:line="360" w:lineRule="auto"/>
              <w:ind w:firstLine="317"/>
              <w:rPr>
                <w:rFonts w:ascii="宋体" w:eastAsia="宋体" w:hAnsi="宋体"/>
                <w:szCs w:val="21"/>
              </w:rPr>
            </w:pPr>
            <w:r w:rsidRPr="0029208A">
              <w:rPr>
                <w:rFonts w:ascii="宋体" w:eastAsia="宋体" w:hAnsi="宋体" w:hint="eastAsia"/>
                <w:szCs w:val="21"/>
              </w:rPr>
              <w:t>答：公司成立之初就做光通讯业务，虽体量小但一直保留该业务分类。现在把光通信业务并入半导体公司，是想借助光通讯的设备切入半导体赛道，去年给深圳一家公司做了配套设备，今年开始小批量做。</w:t>
            </w:r>
            <w:bookmarkStart w:id="0" w:name="_GoBack"/>
            <w:bookmarkEnd w:id="0"/>
          </w:p>
          <w:p w:rsidR="00C806D5" w:rsidRDefault="00C806D5" w:rsidP="0029208A">
            <w:pPr>
              <w:spacing w:beforeLines="50" w:before="156" w:line="360" w:lineRule="auto"/>
              <w:rPr>
                <w:rFonts w:ascii="宋体" w:eastAsia="宋体" w:hAnsi="宋体"/>
                <w:szCs w:val="21"/>
              </w:rPr>
            </w:pPr>
          </w:p>
        </w:tc>
      </w:tr>
      <w:tr w:rsidR="00C806D5">
        <w:trPr>
          <w:trHeight w:val="559"/>
          <w:jc w:val="center"/>
        </w:trPr>
        <w:tc>
          <w:tcPr>
            <w:tcW w:w="1569" w:type="dxa"/>
            <w:vAlign w:val="center"/>
          </w:tcPr>
          <w:p w:rsidR="00C806D5" w:rsidRDefault="00287206">
            <w:pPr>
              <w:jc w:val="center"/>
              <w:rPr>
                <w:rFonts w:ascii="宋体" w:eastAsia="宋体" w:hAnsi="宋体"/>
                <w:b/>
                <w:szCs w:val="21"/>
              </w:rPr>
            </w:pPr>
            <w:r>
              <w:rPr>
                <w:rFonts w:ascii="宋体" w:eastAsia="宋体" w:hAnsi="宋体" w:hint="eastAsia"/>
                <w:b/>
                <w:szCs w:val="21"/>
              </w:rPr>
              <w:lastRenderedPageBreak/>
              <w:t>备注</w:t>
            </w:r>
          </w:p>
        </w:tc>
        <w:tc>
          <w:tcPr>
            <w:tcW w:w="7357" w:type="dxa"/>
            <w:gridSpan w:val="2"/>
          </w:tcPr>
          <w:p w:rsidR="00C806D5" w:rsidRDefault="00287206">
            <w:pPr>
              <w:rPr>
                <w:rFonts w:ascii="宋体" w:eastAsia="宋体" w:hAnsi="宋体"/>
                <w:szCs w:val="21"/>
              </w:rPr>
            </w:pPr>
            <w:r>
              <w:rPr>
                <w:rFonts w:ascii="宋体" w:eastAsia="宋体" w:hAnsi="宋体" w:hint="eastAsia"/>
                <w:szCs w:val="21"/>
              </w:rPr>
              <w:t>接待过程中，公司与投资者进行了充分的交流与沟通，并严格按照公司《信息披露事务管理制度》等规定，保证信息披露的真实、准确、完整。没有出现未公开重大信息泄露等情况。</w:t>
            </w:r>
          </w:p>
        </w:tc>
      </w:tr>
    </w:tbl>
    <w:p w:rsidR="00C806D5" w:rsidRDefault="00C806D5">
      <w:pPr>
        <w:widowControl/>
        <w:jc w:val="left"/>
        <w:rPr>
          <w:b/>
          <w:sz w:val="24"/>
          <w:szCs w:val="24"/>
        </w:rPr>
        <w:sectPr w:rsidR="00C806D5">
          <w:pgSz w:w="11906" w:h="16838"/>
          <w:pgMar w:top="1440" w:right="1800" w:bottom="1440" w:left="1800" w:header="851" w:footer="992" w:gutter="0"/>
          <w:cols w:space="425"/>
          <w:docGrid w:type="lines" w:linePitch="312"/>
        </w:sectPr>
      </w:pPr>
    </w:p>
    <w:p w:rsidR="00C806D5" w:rsidRPr="00D12CF8" w:rsidRDefault="00287206">
      <w:pPr>
        <w:widowControl/>
        <w:jc w:val="left"/>
        <w:rPr>
          <w:rFonts w:ascii="宋体" w:eastAsia="宋体" w:hAnsi="宋体"/>
          <w:b/>
          <w:sz w:val="24"/>
          <w:szCs w:val="24"/>
        </w:rPr>
      </w:pPr>
      <w:r w:rsidRPr="00D12CF8">
        <w:rPr>
          <w:rFonts w:ascii="宋体" w:eastAsia="宋体" w:hAnsi="宋体" w:hint="eastAsia"/>
          <w:b/>
          <w:sz w:val="24"/>
          <w:szCs w:val="24"/>
        </w:rPr>
        <w:lastRenderedPageBreak/>
        <w:t>附件1《与会机构清单》</w:t>
      </w:r>
    </w:p>
    <w:tbl>
      <w:tblPr>
        <w:tblW w:w="8312" w:type="dxa"/>
        <w:tblInd w:w="93" w:type="dxa"/>
        <w:tblLayout w:type="fixed"/>
        <w:tblLook w:val="04A0" w:firstRow="1" w:lastRow="0" w:firstColumn="1" w:lastColumn="0" w:noHBand="0" w:noVBand="1"/>
      </w:tblPr>
      <w:tblGrid>
        <w:gridCol w:w="1549"/>
        <w:gridCol w:w="6763"/>
      </w:tblGrid>
      <w:tr w:rsidR="00C806D5" w:rsidRPr="00D12CF8">
        <w:trPr>
          <w:trHeight w:val="54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D5" w:rsidRPr="00D12CF8" w:rsidRDefault="00287206">
            <w:pPr>
              <w:widowControl/>
              <w:jc w:val="center"/>
              <w:textAlignment w:val="center"/>
              <w:rPr>
                <w:rFonts w:ascii="宋体" w:eastAsia="宋体" w:hAnsi="宋体" w:cs="宋体"/>
                <w:b/>
                <w:bCs/>
                <w:color w:val="000000"/>
                <w:szCs w:val="21"/>
              </w:rPr>
            </w:pPr>
            <w:r w:rsidRPr="00D12CF8">
              <w:rPr>
                <w:rFonts w:ascii="宋体" w:eastAsia="宋体" w:hAnsi="宋体" w:cs="宋体" w:hint="eastAsia"/>
                <w:b/>
                <w:bCs/>
                <w:color w:val="000000"/>
                <w:kern w:val="0"/>
                <w:szCs w:val="21"/>
                <w:lang w:bidi="ar"/>
              </w:rPr>
              <w:t>序号</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806D5" w:rsidRPr="00D12CF8" w:rsidRDefault="00287206">
            <w:pPr>
              <w:widowControl/>
              <w:jc w:val="center"/>
              <w:textAlignment w:val="center"/>
              <w:rPr>
                <w:rFonts w:ascii="宋体" w:eastAsia="宋体" w:hAnsi="宋体" w:cs="宋体"/>
                <w:b/>
                <w:bCs/>
                <w:color w:val="000000"/>
                <w:szCs w:val="21"/>
              </w:rPr>
            </w:pPr>
            <w:r w:rsidRPr="00D12CF8">
              <w:rPr>
                <w:rFonts w:ascii="宋体" w:eastAsia="宋体" w:hAnsi="宋体" w:cs="宋体" w:hint="eastAsia"/>
                <w:b/>
                <w:bCs/>
                <w:color w:val="000000"/>
                <w:kern w:val="0"/>
                <w:szCs w:val="21"/>
                <w:lang w:bidi="ar"/>
              </w:rPr>
              <w:t>公司名称</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szCs w:val="21"/>
              </w:rPr>
              <w:t>Point72</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szCs w:val="21"/>
              </w:rPr>
              <w:t>UBS</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百年人寿保险</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柏骏资本</w:t>
            </w:r>
            <w:proofErr w:type="gramEnd"/>
            <w:r w:rsidRPr="00D12CF8">
              <w:rPr>
                <w:rFonts w:ascii="宋体" w:eastAsia="宋体" w:hAnsi="宋体" w:hint="eastAsia"/>
                <w:szCs w:val="21"/>
              </w:rPr>
              <w:t>管理</w:t>
            </w:r>
            <w:r w:rsidRPr="00D12CF8">
              <w:rPr>
                <w:rFonts w:ascii="宋体" w:eastAsia="宋体" w:hAnsi="宋体"/>
                <w:szCs w:val="21"/>
              </w:rPr>
              <w:t>(香港)有限公司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北京诚盛投资</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北京市星石投资管理有限公司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北京天时开元股权基金管理有限公司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诚朴</w:t>
            </w:r>
            <w:r w:rsidRPr="00D12CF8">
              <w:rPr>
                <w:rFonts w:ascii="宋体" w:eastAsia="宋体" w:hAnsi="宋体"/>
                <w:szCs w:val="21"/>
              </w:rPr>
              <w:t>(深圳)资产管理有限公司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澄源（北京）私募基金</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东北证券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福建豪山资产管理有限公司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富国基金管理有限公司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工银理财有限责任公司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工银瑞信</w:t>
            </w:r>
            <w:proofErr w:type="gramEnd"/>
            <w:r w:rsidRPr="00D12CF8">
              <w:rPr>
                <w:rFonts w:ascii="宋体" w:eastAsia="宋体" w:hAnsi="宋体" w:hint="eastAsia"/>
                <w:szCs w:val="21"/>
              </w:rPr>
              <w:t>基金</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古乔投资</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广州市航长投资</w:t>
            </w:r>
            <w:proofErr w:type="gramEnd"/>
            <w:r w:rsidRPr="00D12CF8">
              <w:rPr>
                <w:rFonts w:ascii="宋体" w:eastAsia="宋体" w:hAnsi="宋体" w:hint="eastAsia"/>
                <w:szCs w:val="21"/>
              </w:rPr>
              <w:t>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国</w:t>
            </w:r>
            <w:proofErr w:type="gramStart"/>
            <w:r w:rsidRPr="00D12CF8">
              <w:rPr>
                <w:rFonts w:ascii="宋体" w:eastAsia="宋体" w:hAnsi="宋体" w:hint="eastAsia"/>
                <w:szCs w:val="21"/>
              </w:rPr>
              <w:t>海证券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国开证券股份有限公司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19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国寿养老</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国信证券股份有限公司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海创上海私募基金管理有限公司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和基投资</w:t>
            </w:r>
            <w:proofErr w:type="gramEnd"/>
            <w:r w:rsidRPr="00D12CF8">
              <w:rPr>
                <w:rFonts w:ascii="宋体" w:eastAsia="宋体" w:hAnsi="宋体" w:hint="eastAsia"/>
                <w:szCs w:val="21"/>
              </w:rPr>
              <w:t>基金管理</w:t>
            </w:r>
            <w:r w:rsidRPr="00D12CF8">
              <w:rPr>
                <w:rFonts w:ascii="宋体" w:eastAsia="宋体" w:hAnsi="宋体"/>
                <w:szCs w:val="21"/>
              </w:rPr>
              <w:t>(苏州)有限公司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红昌资产</w:t>
            </w:r>
            <w:proofErr w:type="gramEnd"/>
            <w:r w:rsidRPr="00D12CF8">
              <w:rPr>
                <w:rFonts w:ascii="宋体" w:eastAsia="宋体" w:hAnsi="宋体" w:hint="eastAsia"/>
                <w:szCs w:val="21"/>
              </w:rPr>
              <w:t>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华安证券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华</w:t>
            </w:r>
            <w:proofErr w:type="gramStart"/>
            <w:r w:rsidRPr="00D12CF8">
              <w:rPr>
                <w:rFonts w:ascii="宋体" w:eastAsia="宋体" w:hAnsi="宋体" w:hint="eastAsia"/>
                <w:szCs w:val="21"/>
              </w:rPr>
              <w:t>福证券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华泰证券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华夏基金</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汇添富基金</w:t>
            </w:r>
            <w:proofErr w:type="gramEnd"/>
            <w:r w:rsidRPr="00D12CF8">
              <w:rPr>
                <w:rFonts w:ascii="宋体" w:eastAsia="宋体" w:hAnsi="宋体" w:hint="eastAsia"/>
                <w:szCs w:val="21"/>
              </w:rPr>
              <w:t>管理股份有限公司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29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江苏乾融管理咨询有限公司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金元证券股份有限公司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晋江壹点</w:t>
            </w:r>
            <w:proofErr w:type="gramStart"/>
            <w:r w:rsidRPr="00D12CF8">
              <w:rPr>
                <w:rFonts w:ascii="宋体" w:eastAsia="宋体" w:hAnsi="宋体" w:hint="eastAsia"/>
                <w:szCs w:val="21"/>
              </w:rPr>
              <w:t>纳锦资管</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旌</w:t>
            </w:r>
            <w:proofErr w:type="gramEnd"/>
            <w:r w:rsidRPr="00D12CF8">
              <w:rPr>
                <w:rFonts w:ascii="宋体" w:eastAsia="宋体" w:hAnsi="宋体" w:hint="eastAsia"/>
                <w:szCs w:val="21"/>
              </w:rPr>
              <w:t>安投资管理有限公司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民生证券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乾</w:t>
            </w:r>
            <w:proofErr w:type="gramStart"/>
            <w:r w:rsidRPr="00D12CF8">
              <w:rPr>
                <w:rFonts w:ascii="宋体" w:eastAsia="宋体" w:hAnsi="宋体" w:hint="eastAsia"/>
                <w:szCs w:val="21"/>
              </w:rPr>
              <w:t>惕</w:t>
            </w:r>
            <w:proofErr w:type="gramEnd"/>
            <w:r w:rsidRPr="00D12CF8">
              <w:rPr>
                <w:rFonts w:ascii="宋体" w:eastAsia="宋体" w:hAnsi="宋体" w:hint="eastAsia"/>
                <w:szCs w:val="21"/>
              </w:rPr>
              <w:t>投资</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青鼎资产</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泉果基金</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仁桥</w:t>
            </w:r>
            <w:r w:rsidRPr="00D12CF8">
              <w:rPr>
                <w:rFonts w:ascii="宋体" w:eastAsia="宋体" w:hAnsi="宋体"/>
                <w:szCs w:val="21"/>
              </w:rPr>
              <w:t>(北京)资产管理有限公司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睿胜投资</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39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上海处</w:t>
            </w:r>
            <w:proofErr w:type="gramStart"/>
            <w:r w:rsidRPr="00D12CF8">
              <w:rPr>
                <w:rFonts w:ascii="宋体" w:eastAsia="宋体" w:hAnsi="宋体" w:hint="eastAsia"/>
                <w:szCs w:val="21"/>
              </w:rPr>
              <w:t>厚沁慕基金资理</w:t>
            </w:r>
            <w:proofErr w:type="gramEnd"/>
            <w:r w:rsidRPr="00D12CF8">
              <w:rPr>
                <w:rFonts w:ascii="宋体" w:eastAsia="宋体" w:hAnsi="宋体" w:hint="eastAsia"/>
                <w:szCs w:val="21"/>
              </w:rPr>
              <w:t>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上海合远私募基金管理有限公司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lastRenderedPageBreak/>
              <w:t>41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上海朴易资产管理有限公司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申万宏</w:t>
            </w:r>
            <w:proofErr w:type="gramEnd"/>
            <w:r w:rsidRPr="00D12CF8">
              <w:rPr>
                <w:rFonts w:ascii="宋体" w:eastAsia="宋体" w:hAnsi="宋体" w:hint="eastAsia"/>
                <w:szCs w:val="21"/>
              </w:rPr>
              <w:t>源</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深圳丞毅投资有限公司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深圳亘泰投资管理有限公司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深圳市怀德医疗健康管理有限公司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深圳市新同方投资管理有限公司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深圳兴亿投资有限公司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拾贝投资管理（北京）有限公司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49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苏州众行远</w:t>
            </w:r>
            <w:proofErr w:type="gramEnd"/>
            <w:r w:rsidRPr="00D12CF8">
              <w:rPr>
                <w:rFonts w:ascii="宋体" w:eastAsia="宋体" w:hAnsi="宋体" w:hint="eastAsia"/>
                <w:szCs w:val="21"/>
              </w:rPr>
              <w:t>私募基金管理有限公司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天风证券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西部证券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西藏万青投资管理有限公司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西藏源乘投资管理有限公司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野村东方国际证券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银河证券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甬兴证券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友谊时光科技股份有限公司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源</w:t>
            </w:r>
            <w:proofErr w:type="gramStart"/>
            <w:r w:rsidRPr="00D12CF8">
              <w:rPr>
                <w:rFonts w:ascii="宋体" w:eastAsia="宋体" w:hAnsi="宋体" w:hint="eastAsia"/>
                <w:szCs w:val="21"/>
              </w:rPr>
              <w:t>峰基金</w:t>
            </w:r>
            <w:proofErr w:type="gramEnd"/>
            <w:r w:rsidRPr="00D12CF8">
              <w:rPr>
                <w:rFonts w:ascii="宋体" w:eastAsia="宋体" w:hAnsi="宋体" w:hint="eastAsia"/>
                <w:szCs w:val="21"/>
              </w:rPr>
              <w:t>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59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长安国际信托股份有限公司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长城财富保险资产管理股份有限公司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长江证券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招商证券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招银理财有限责任公司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浙江龙航资产管理有限公司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proofErr w:type="gramStart"/>
            <w:r w:rsidRPr="00D12CF8">
              <w:rPr>
                <w:rFonts w:ascii="宋体" w:eastAsia="宋体" w:hAnsi="宋体" w:hint="eastAsia"/>
                <w:szCs w:val="21"/>
              </w:rPr>
              <w:t>浙商证券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66</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中国民生银行</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67</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中国人</w:t>
            </w:r>
            <w:proofErr w:type="gramStart"/>
            <w:r w:rsidRPr="00D12CF8">
              <w:rPr>
                <w:rFonts w:ascii="宋体" w:eastAsia="宋体" w:hAnsi="宋体" w:hint="eastAsia"/>
                <w:szCs w:val="21"/>
              </w:rPr>
              <w:t>保资产</w:t>
            </w:r>
            <w:proofErr w:type="gramEnd"/>
            <w:r w:rsidRPr="00D12CF8">
              <w:rPr>
                <w:rFonts w:ascii="宋体" w:eastAsia="宋体" w:hAnsi="宋体" w:hint="eastAsia"/>
                <w:szCs w:val="21"/>
              </w:rPr>
              <w:t>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68</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中航证券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69</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中金公司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70</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中泰证券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71</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中新</w:t>
            </w:r>
            <w:proofErr w:type="gramStart"/>
            <w:r w:rsidRPr="00D12CF8">
              <w:rPr>
                <w:rFonts w:ascii="宋体" w:eastAsia="宋体" w:hAnsi="宋体" w:hint="eastAsia"/>
                <w:szCs w:val="21"/>
              </w:rPr>
              <w:t>融创资本</w:t>
            </w:r>
            <w:proofErr w:type="gramEnd"/>
            <w:r w:rsidRPr="00D12CF8">
              <w:rPr>
                <w:rFonts w:ascii="宋体" w:eastAsia="宋体" w:hAnsi="宋体" w:hint="eastAsia"/>
                <w:szCs w:val="21"/>
              </w:rPr>
              <w:t>管理有限公司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72</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w:t>
            </w:r>
            <w:proofErr w:type="gramStart"/>
            <w:r w:rsidRPr="00D12CF8">
              <w:rPr>
                <w:rFonts w:ascii="宋体" w:eastAsia="宋体" w:hAnsi="宋体" w:hint="eastAsia"/>
                <w:szCs w:val="21"/>
              </w:rPr>
              <w:t>信建投证券</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73</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中信证券</w:t>
            </w:r>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74</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中银</w:t>
            </w:r>
            <w:proofErr w:type="gramStart"/>
            <w:r w:rsidRPr="00D12CF8">
              <w:rPr>
                <w:rFonts w:ascii="宋体" w:eastAsia="宋体" w:hAnsi="宋体" w:hint="eastAsia"/>
                <w:szCs w:val="21"/>
              </w:rPr>
              <w:t>国际资管</w:t>
            </w:r>
            <w:proofErr w:type="gramEnd"/>
          </w:p>
        </w:tc>
      </w:tr>
      <w:tr w:rsidR="00D12CF8" w:rsidRPr="00D12CF8" w:rsidTr="00D12CF8">
        <w:trPr>
          <w:trHeight w:val="270"/>
        </w:trPr>
        <w:tc>
          <w:tcPr>
            <w:tcW w:w="1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12CF8" w:rsidRPr="00D12CF8" w:rsidRDefault="00D12CF8" w:rsidP="00D12CF8">
            <w:pPr>
              <w:jc w:val="center"/>
              <w:rPr>
                <w:rFonts w:ascii="宋体" w:eastAsia="宋体" w:hAnsi="宋体" w:cs="宋体"/>
                <w:szCs w:val="21"/>
              </w:rPr>
            </w:pPr>
            <w:r w:rsidRPr="00D12CF8">
              <w:rPr>
                <w:rFonts w:ascii="宋体" w:eastAsia="宋体" w:hAnsi="宋体"/>
                <w:szCs w:val="21"/>
              </w:rPr>
              <w:t>75</w:t>
            </w:r>
          </w:p>
        </w:tc>
        <w:tc>
          <w:tcPr>
            <w:tcW w:w="6763" w:type="dxa"/>
            <w:tcBorders>
              <w:top w:val="single" w:sz="4" w:space="0" w:color="000000"/>
              <w:left w:val="single" w:sz="4" w:space="0" w:color="000000"/>
              <w:bottom w:val="single" w:sz="4" w:space="0" w:color="000000"/>
              <w:right w:val="single" w:sz="4" w:space="0" w:color="000000"/>
            </w:tcBorders>
            <w:shd w:val="clear" w:color="auto" w:fill="auto"/>
            <w:noWrap/>
          </w:tcPr>
          <w:p w:rsidR="00D12CF8" w:rsidRPr="00D12CF8" w:rsidRDefault="00D12CF8" w:rsidP="00C84A4C">
            <w:pPr>
              <w:rPr>
                <w:rFonts w:ascii="宋体" w:eastAsia="宋体" w:hAnsi="宋体"/>
                <w:szCs w:val="21"/>
              </w:rPr>
            </w:pPr>
            <w:r w:rsidRPr="00D12CF8">
              <w:rPr>
                <w:rFonts w:ascii="宋体" w:eastAsia="宋体" w:hAnsi="宋体" w:hint="eastAsia"/>
                <w:szCs w:val="21"/>
              </w:rPr>
              <w:t>中</w:t>
            </w:r>
            <w:proofErr w:type="gramStart"/>
            <w:r w:rsidRPr="00D12CF8">
              <w:rPr>
                <w:rFonts w:ascii="宋体" w:eastAsia="宋体" w:hAnsi="宋体" w:hint="eastAsia"/>
                <w:szCs w:val="21"/>
              </w:rPr>
              <w:t>邮证券</w:t>
            </w:r>
            <w:proofErr w:type="gramEnd"/>
          </w:p>
        </w:tc>
      </w:tr>
    </w:tbl>
    <w:p w:rsidR="00C806D5" w:rsidRDefault="00C806D5">
      <w:pPr>
        <w:widowControl/>
        <w:jc w:val="left"/>
        <w:rPr>
          <w:b/>
          <w:sz w:val="24"/>
          <w:szCs w:val="24"/>
        </w:rPr>
      </w:pPr>
    </w:p>
    <w:sectPr w:rsidR="00C80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YzU4MzBkMWExZWFmZDljOGNmZjQyZTFjYWU2YjIifQ=="/>
  </w:docVars>
  <w:rsids>
    <w:rsidRoot w:val="00915840"/>
    <w:rsid w:val="000010C5"/>
    <w:rsid w:val="00003534"/>
    <w:rsid w:val="0000539E"/>
    <w:rsid w:val="00006FF4"/>
    <w:rsid w:val="00011AC7"/>
    <w:rsid w:val="00016D17"/>
    <w:rsid w:val="00017345"/>
    <w:rsid w:val="00017F36"/>
    <w:rsid w:val="000237B0"/>
    <w:rsid w:val="00030B16"/>
    <w:rsid w:val="00035D93"/>
    <w:rsid w:val="00035F71"/>
    <w:rsid w:val="000409BA"/>
    <w:rsid w:val="00050A8F"/>
    <w:rsid w:val="00054F33"/>
    <w:rsid w:val="00056D38"/>
    <w:rsid w:val="00057A48"/>
    <w:rsid w:val="000606BA"/>
    <w:rsid w:val="00071B55"/>
    <w:rsid w:val="0007575A"/>
    <w:rsid w:val="00076021"/>
    <w:rsid w:val="00076E99"/>
    <w:rsid w:val="000813AC"/>
    <w:rsid w:val="00084A54"/>
    <w:rsid w:val="00085371"/>
    <w:rsid w:val="00094210"/>
    <w:rsid w:val="00096EFA"/>
    <w:rsid w:val="000A175C"/>
    <w:rsid w:val="000A4AFA"/>
    <w:rsid w:val="000A4F9B"/>
    <w:rsid w:val="000A546D"/>
    <w:rsid w:val="000A74C3"/>
    <w:rsid w:val="000B6998"/>
    <w:rsid w:val="000B6E8D"/>
    <w:rsid w:val="000C654C"/>
    <w:rsid w:val="000E4635"/>
    <w:rsid w:val="00100983"/>
    <w:rsid w:val="0011067F"/>
    <w:rsid w:val="00111455"/>
    <w:rsid w:val="00115F09"/>
    <w:rsid w:val="0012082F"/>
    <w:rsid w:val="001223A2"/>
    <w:rsid w:val="0012710F"/>
    <w:rsid w:val="00130BB4"/>
    <w:rsid w:val="00136FE9"/>
    <w:rsid w:val="00144AF1"/>
    <w:rsid w:val="00146EA8"/>
    <w:rsid w:val="00150BC7"/>
    <w:rsid w:val="00155C52"/>
    <w:rsid w:val="00156773"/>
    <w:rsid w:val="00171309"/>
    <w:rsid w:val="001746A3"/>
    <w:rsid w:val="00174F51"/>
    <w:rsid w:val="00177E51"/>
    <w:rsid w:val="00190408"/>
    <w:rsid w:val="001B2FB6"/>
    <w:rsid w:val="001B3224"/>
    <w:rsid w:val="001B464D"/>
    <w:rsid w:val="001C0124"/>
    <w:rsid w:val="001C490B"/>
    <w:rsid w:val="001C66B4"/>
    <w:rsid w:val="001D4C7A"/>
    <w:rsid w:val="001D6D30"/>
    <w:rsid w:val="001E4C68"/>
    <w:rsid w:val="001E7C99"/>
    <w:rsid w:val="001F295C"/>
    <w:rsid w:val="001F4A4D"/>
    <w:rsid w:val="001F6979"/>
    <w:rsid w:val="00203869"/>
    <w:rsid w:val="00204AE1"/>
    <w:rsid w:val="00210F63"/>
    <w:rsid w:val="002111F7"/>
    <w:rsid w:val="00214215"/>
    <w:rsid w:val="002170AE"/>
    <w:rsid w:val="00222DC0"/>
    <w:rsid w:val="0023651A"/>
    <w:rsid w:val="00243493"/>
    <w:rsid w:val="002454D9"/>
    <w:rsid w:val="00256422"/>
    <w:rsid w:val="00257F58"/>
    <w:rsid w:val="00282E17"/>
    <w:rsid w:val="0028656A"/>
    <w:rsid w:val="00287206"/>
    <w:rsid w:val="0029208A"/>
    <w:rsid w:val="002A031E"/>
    <w:rsid w:val="002A0F83"/>
    <w:rsid w:val="002C2F43"/>
    <w:rsid w:val="002C4718"/>
    <w:rsid w:val="002C7A78"/>
    <w:rsid w:val="002D4F2F"/>
    <w:rsid w:val="002D685F"/>
    <w:rsid w:val="002D7753"/>
    <w:rsid w:val="002E03A4"/>
    <w:rsid w:val="002E25A3"/>
    <w:rsid w:val="002E5DF1"/>
    <w:rsid w:val="002F2796"/>
    <w:rsid w:val="002F31C0"/>
    <w:rsid w:val="003000CE"/>
    <w:rsid w:val="003113BA"/>
    <w:rsid w:val="003147C7"/>
    <w:rsid w:val="00316683"/>
    <w:rsid w:val="0032461C"/>
    <w:rsid w:val="00324818"/>
    <w:rsid w:val="0032607E"/>
    <w:rsid w:val="00326D94"/>
    <w:rsid w:val="00336C84"/>
    <w:rsid w:val="00341431"/>
    <w:rsid w:val="003424AF"/>
    <w:rsid w:val="00350612"/>
    <w:rsid w:val="00363F83"/>
    <w:rsid w:val="0037129E"/>
    <w:rsid w:val="00372684"/>
    <w:rsid w:val="00380529"/>
    <w:rsid w:val="00381307"/>
    <w:rsid w:val="00384A67"/>
    <w:rsid w:val="003862F3"/>
    <w:rsid w:val="00391379"/>
    <w:rsid w:val="003918EF"/>
    <w:rsid w:val="00395A38"/>
    <w:rsid w:val="00395EFB"/>
    <w:rsid w:val="003A1EF9"/>
    <w:rsid w:val="003A3AF5"/>
    <w:rsid w:val="003A47A4"/>
    <w:rsid w:val="003A47F9"/>
    <w:rsid w:val="003A7241"/>
    <w:rsid w:val="003B220A"/>
    <w:rsid w:val="003C11E1"/>
    <w:rsid w:val="003C4AA8"/>
    <w:rsid w:val="003D0380"/>
    <w:rsid w:val="003D700F"/>
    <w:rsid w:val="003F3EDF"/>
    <w:rsid w:val="004023AD"/>
    <w:rsid w:val="004059F9"/>
    <w:rsid w:val="00406741"/>
    <w:rsid w:val="00411829"/>
    <w:rsid w:val="0042743E"/>
    <w:rsid w:val="00430661"/>
    <w:rsid w:val="00430AC5"/>
    <w:rsid w:val="0043605E"/>
    <w:rsid w:val="0043753C"/>
    <w:rsid w:val="00457880"/>
    <w:rsid w:val="00464DC4"/>
    <w:rsid w:val="004848C9"/>
    <w:rsid w:val="00487185"/>
    <w:rsid w:val="00493417"/>
    <w:rsid w:val="004A3A26"/>
    <w:rsid w:val="004A7D10"/>
    <w:rsid w:val="004B77BA"/>
    <w:rsid w:val="004C016E"/>
    <w:rsid w:val="004C770A"/>
    <w:rsid w:val="004D0E59"/>
    <w:rsid w:val="004D3313"/>
    <w:rsid w:val="004E6280"/>
    <w:rsid w:val="004E6AB8"/>
    <w:rsid w:val="00500D81"/>
    <w:rsid w:val="00504F6E"/>
    <w:rsid w:val="00507006"/>
    <w:rsid w:val="00522BE6"/>
    <w:rsid w:val="00524B86"/>
    <w:rsid w:val="005265EF"/>
    <w:rsid w:val="00540E61"/>
    <w:rsid w:val="00543798"/>
    <w:rsid w:val="00546F10"/>
    <w:rsid w:val="005556AC"/>
    <w:rsid w:val="0055758E"/>
    <w:rsid w:val="0057140C"/>
    <w:rsid w:val="005750EE"/>
    <w:rsid w:val="00580B6A"/>
    <w:rsid w:val="0059514A"/>
    <w:rsid w:val="005B1CF1"/>
    <w:rsid w:val="005B5792"/>
    <w:rsid w:val="005B6279"/>
    <w:rsid w:val="005C0516"/>
    <w:rsid w:val="005C2447"/>
    <w:rsid w:val="005C5C93"/>
    <w:rsid w:val="005C6958"/>
    <w:rsid w:val="005C71E0"/>
    <w:rsid w:val="005D4345"/>
    <w:rsid w:val="005E0FF4"/>
    <w:rsid w:val="005E45CD"/>
    <w:rsid w:val="005E4945"/>
    <w:rsid w:val="005F4BEF"/>
    <w:rsid w:val="00601A07"/>
    <w:rsid w:val="00603BB2"/>
    <w:rsid w:val="006053E4"/>
    <w:rsid w:val="00614BD1"/>
    <w:rsid w:val="00620E43"/>
    <w:rsid w:val="006240F5"/>
    <w:rsid w:val="00635BCA"/>
    <w:rsid w:val="0063647F"/>
    <w:rsid w:val="006571E3"/>
    <w:rsid w:val="00662E84"/>
    <w:rsid w:val="00666603"/>
    <w:rsid w:val="00670383"/>
    <w:rsid w:val="006714A7"/>
    <w:rsid w:val="00672C3D"/>
    <w:rsid w:val="00674E63"/>
    <w:rsid w:val="006751F9"/>
    <w:rsid w:val="00680AA8"/>
    <w:rsid w:val="00684585"/>
    <w:rsid w:val="00686CCE"/>
    <w:rsid w:val="0069201E"/>
    <w:rsid w:val="006A5D2A"/>
    <w:rsid w:val="006A6E5B"/>
    <w:rsid w:val="006C425F"/>
    <w:rsid w:val="006C66F8"/>
    <w:rsid w:val="006D1319"/>
    <w:rsid w:val="006D4217"/>
    <w:rsid w:val="006D4C2D"/>
    <w:rsid w:val="006D6948"/>
    <w:rsid w:val="006D72DD"/>
    <w:rsid w:val="006E0DF7"/>
    <w:rsid w:val="006E57AD"/>
    <w:rsid w:val="006F286E"/>
    <w:rsid w:val="00714709"/>
    <w:rsid w:val="00721861"/>
    <w:rsid w:val="007219EF"/>
    <w:rsid w:val="00723697"/>
    <w:rsid w:val="00723D79"/>
    <w:rsid w:val="0072431F"/>
    <w:rsid w:val="007263BA"/>
    <w:rsid w:val="007269DC"/>
    <w:rsid w:val="00727BB1"/>
    <w:rsid w:val="00735DE9"/>
    <w:rsid w:val="00736856"/>
    <w:rsid w:val="0074072D"/>
    <w:rsid w:val="00740F26"/>
    <w:rsid w:val="007435E5"/>
    <w:rsid w:val="007504F6"/>
    <w:rsid w:val="00756FF4"/>
    <w:rsid w:val="00757414"/>
    <w:rsid w:val="00757A5E"/>
    <w:rsid w:val="00761E3B"/>
    <w:rsid w:val="00766FD5"/>
    <w:rsid w:val="00774E34"/>
    <w:rsid w:val="00776904"/>
    <w:rsid w:val="00783632"/>
    <w:rsid w:val="007874C5"/>
    <w:rsid w:val="00796321"/>
    <w:rsid w:val="007A03D7"/>
    <w:rsid w:val="007A28DD"/>
    <w:rsid w:val="007A292D"/>
    <w:rsid w:val="007A36CF"/>
    <w:rsid w:val="007A6813"/>
    <w:rsid w:val="007B05EE"/>
    <w:rsid w:val="007B0DE3"/>
    <w:rsid w:val="007B4361"/>
    <w:rsid w:val="007B5683"/>
    <w:rsid w:val="007B5C1F"/>
    <w:rsid w:val="007B77B8"/>
    <w:rsid w:val="007C4A6A"/>
    <w:rsid w:val="007C6629"/>
    <w:rsid w:val="007D1A04"/>
    <w:rsid w:val="007D4C5F"/>
    <w:rsid w:val="007E16FD"/>
    <w:rsid w:val="007E226E"/>
    <w:rsid w:val="007E3BE0"/>
    <w:rsid w:val="007E6EB6"/>
    <w:rsid w:val="007F5638"/>
    <w:rsid w:val="007F786F"/>
    <w:rsid w:val="00803C63"/>
    <w:rsid w:val="0081131D"/>
    <w:rsid w:val="00812311"/>
    <w:rsid w:val="00816C5E"/>
    <w:rsid w:val="00817B9F"/>
    <w:rsid w:val="00824ADD"/>
    <w:rsid w:val="00840C3F"/>
    <w:rsid w:val="00845ED4"/>
    <w:rsid w:val="00852AA0"/>
    <w:rsid w:val="00866D1B"/>
    <w:rsid w:val="00874223"/>
    <w:rsid w:val="00886760"/>
    <w:rsid w:val="008A7B7F"/>
    <w:rsid w:val="008B0941"/>
    <w:rsid w:val="008B13EE"/>
    <w:rsid w:val="008B1997"/>
    <w:rsid w:val="008C1876"/>
    <w:rsid w:val="008C1CFC"/>
    <w:rsid w:val="008C23FC"/>
    <w:rsid w:val="008C3A50"/>
    <w:rsid w:val="008D4D43"/>
    <w:rsid w:val="008D7192"/>
    <w:rsid w:val="008D7621"/>
    <w:rsid w:val="008E2FDD"/>
    <w:rsid w:val="008E3265"/>
    <w:rsid w:val="008E3734"/>
    <w:rsid w:val="008F4884"/>
    <w:rsid w:val="00900039"/>
    <w:rsid w:val="00905873"/>
    <w:rsid w:val="00915840"/>
    <w:rsid w:val="0092443E"/>
    <w:rsid w:val="00940AB9"/>
    <w:rsid w:val="00956B76"/>
    <w:rsid w:val="00963450"/>
    <w:rsid w:val="00965899"/>
    <w:rsid w:val="00975AF4"/>
    <w:rsid w:val="0098016E"/>
    <w:rsid w:val="00981AD1"/>
    <w:rsid w:val="0098416E"/>
    <w:rsid w:val="00991978"/>
    <w:rsid w:val="0099443F"/>
    <w:rsid w:val="009A78AE"/>
    <w:rsid w:val="009B2EFF"/>
    <w:rsid w:val="009C1B22"/>
    <w:rsid w:val="009C5FE6"/>
    <w:rsid w:val="009C6464"/>
    <w:rsid w:val="009E00A6"/>
    <w:rsid w:val="009E6B30"/>
    <w:rsid w:val="009F0EAC"/>
    <w:rsid w:val="009F51E3"/>
    <w:rsid w:val="009F6E18"/>
    <w:rsid w:val="00A071DA"/>
    <w:rsid w:val="00A1146B"/>
    <w:rsid w:val="00A11AAF"/>
    <w:rsid w:val="00A13B98"/>
    <w:rsid w:val="00A13CAD"/>
    <w:rsid w:val="00A14C71"/>
    <w:rsid w:val="00A23C07"/>
    <w:rsid w:val="00A40412"/>
    <w:rsid w:val="00A54B2E"/>
    <w:rsid w:val="00A62397"/>
    <w:rsid w:val="00A625FB"/>
    <w:rsid w:val="00A66E85"/>
    <w:rsid w:val="00A71284"/>
    <w:rsid w:val="00A7498C"/>
    <w:rsid w:val="00A82C44"/>
    <w:rsid w:val="00A82DE5"/>
    <w:rsid w:val="00A84687"/>
    <w:rsid w:val="00A85101"/>
    <w:rsid w:val="00A87FDF"/>
    <w:rsid w:val="00A90704"/>
    <w:rsid w:val="00AA307E"/>
    <w:rsid w:val="00AA6CBF"/>
    <w:rsid w:val="00AB205B"/>
    <w:rsid w:val="00AB620E"/>
    <w:rsid w:val="00AE177F"/>
    <w:rsid w:val="00AE4E74"/>
    <w:rsid w:val="00AE530E"/>
    <w:rsid w:val="00AF040C"/>
    <w:rsid w:val="00AF0478"/>
    <w:rsid w:val="00AF0B74"/>
    <w:rsid w:val="00AF3E45"/>
    <w:rsid w:val="00AF49BF"/>
    <w:rsid w:val="00AF4B9D"/>
    <w:rsid w:val="00B0399E"/>
    <w:rsid w:val="00B107A4"/>
    <w:rsid w:val="00B136BE"/>
    <w:rsid w:val="00B20112"/>
    <w:rsid w:val="00B201E3"/>
    <w:rsid w:val="00B203B4"/>
    <w:rsid w:val="00B2522A"/>
    <w:rsid w:val="00B25A31"/>
    <w:rsid w:val="00B43F22"/>
    <w:rsid w:val="00B54175"/>
    <w:rsid w:val="00B6083B"/>
    <w:rsid w:val="00B61901"/>
    <w:rsid w:val="00B6534C"/>
    <w:rsid w:val="00B67C73"/>
    <w:rsid w:val="00B74C8A"/>
    <w:rsid w:val="00B76FE0"/>
    <w:rsid w:val="00B83F70"/>
    <w:rsid w:val="00B84B37"/>
    <w:rsid w:val="00B85119"/>
    <w:rsid w:val="00B906EB"/>
    <w:rsid w:val="00BA3F5B"/>
    <w:rsid w:val="00BB11E1"/>
    <w:rsid w:val="00BB1A83"/>
    <w:rsid w:val="00BB4439"/>
    <w:rsid w:val="00BB5AE8"/>
    <w:rsid w:val="00BC1016"/>
    <w:rsid w:val="00BC3A35"/>
    <w:rsid w:val="00BC3D91"/>
    <w:rsid w:val="00BC40A9"/>
    <w:rsid w:val="00BC65C8"/>
    <w:rsid w:val="00BE0B9C"/>
    <w:rsid w:val="00BE278B"/>
    <w:rsid w:val="00BE7E6A"/>
    <w:rsid w:val="00BF2FCC"/>
    <w:rsid w:val="00BF3DE6"/>
    <w:rsid w:val="00BF4E55"/>
    <w:rsid w:val="00C004B6"/>
    <w:rsid w:val="00C05624"/>
    <w:rsid w:val="00C12A40"/>
    <w:rsid w:val="00C12D73"/>
    <w:rsid w:val="00C13E69"/>
    <w:rsid w:val="00C212F5"/>
    <w:rsid w:val="00C21D6C"/>
    <w:rsid w:val="00C33AE4"/>
    <w:rsid w:val="00C367D3"/>
    <w:rsid w:val="00C438EA"/>
    <w:rsid w:val="00C45BE1"/>
    <w:rsid w:val="00C5661C"/>
    <w:rsid w:val="00C63213"/>
    <w:rsid w:val="00C6377C"/>
    <w:rsid w:val="00C725AE"/>
    <w:rsid w:val="00C806D5"/>
    <w:rsid w:val="00C838AA"/>
    <w:rsid w:val="00C841B1"/>
    <w:rsid w:val="00C86819"/>
    <w:rsid w:val="00C86E2B"/>
    <w:rsid w:val="00C87124"/>
    <w:rsid w:val="00C90B73"/>
    <w:rsid w:val="00CA0835"/>
    <w:rsid w:val="00CA3715"/>
    <w:rsid w:val="00CA5E3A"/>
    <w:rsid w:val="00CB0ED6"/>
    <w:rsid w:val="00CB68BF"/>
    <w:rsid w:val="00CC1B63"/>
    <w:rsid w:val="00CD2678"/>
    <w:rsid w:val="00CD74AB"/>
    <w:rsid w:val="00CF38C1"/>
    <w:rsid w:val="00CF74E1"/>
    <w:rsid w:val="00D016E0"/>
    <w:rsid w:val="00D02206"/>
    <w:rsid w:val="00D0667E"/>
    <w:rsid w:val="00D0750E"/>
    <w:rsid w:val="00D12839"/>
    <w:rsid w:val="00D12CF8"/>
    <w:rsid w:val="00D15E01"/>
    <w:rsid w:val="00D24543"/>
    <w:rsid w:val="00D24EC9"/>
    <w:rsid w:val="00D27134"/>
    <w:rsid w:val="00D2757C"/>
    <w:rsid w:val="00D27972"/>
    <w:rsid w:val="00D3574E"/>
    <w:rsid w:val="00D409E1"/>
    <w:rsid w:val="00D40A48"/>
    <w:rsid w:val="00D448A3"/>
    <w:rsid w:val="00D455D2"/>
    <w:rsid w:val="00D457A6"/>
    <w:rsid w:val="00D529B5"/>
    <w:rsid w:val="00D56E3D"/>
    <w:rsid w:val="00D66CD9"/>
    <w:rsid w:val="00D70157"/>
    <w:rsid w:val="00D76564"/>
    <w:rsid w:val="00D77963"/>
    <w:rsid w:val="00D80939"/>
    <w:rsid w:val="00D95D3F"/>
    <w:rsid w:val="00D960C2"/>
    <w:rsid w:val="00DA1D2D"/>
    <w:rsid w:val="00DA2B47"/>
    <w:rsid w:val="00DA4A52"/>
    <w:rsid w:val="00DA4B06"/>
    <w:rsid w:val="00DA56D7"/>
    <w:rsid w:val="00DB73D3"/>
    <w:rsid w:val="00DC04B9"/>
    <w:rsid w:val="00DC07B5"/>
    <w:rsid w:val="00DE08B6"/>
    <w:rsid w:val="00DF5E3D"/>
    <w:rsid w:val="00E05E79"/>
    <w:rsid w:val="00E1197F"/>
    <w:rsid w:val="00E1460A"/>
    <w:rsid w:val="00E15256"/>
    <w:rsid w:val="00E15668"/>
    <w:rsid w:val="00E1571E"/>
    <w:rsid w:val="00E211A2"/>
    <w:rsid w:val="00E25681"/>
    <w:rsid w:val="00E33D7A"/>
    <w:rsid w:val="00E46163"/>
    <w:rsid w:val="00E560EF"/>
    <w:rsid w:val="00E61A12"/>
    <w:rsid w:val="00E62A4A"/>
    <w:rsid w:val="00E6559F"/>
    <w:rsid w:val="00E71424"/>
    <w:rsid w:val="00E722B1"/>
    <w:rsid w:val="00E72E58"/>
    <w:rsid w:val="00E81E24"/>
    <w:rsid w:val="00E943C9"/>
    <w:rsid w:val="00E96E5E"/>
    <w:rsid w:val="00E96F01"/>
    <w:rsid w:val="00EA0D17"/>
    <w:rsid w:val="00EB5D2D"/>
    <w:rsid w:val="00EB6BE6"/>
    <w:rsid w:val="00EC4F71"/>
    <w:rsid w:val="00EC738C"/>
    <w:rsid w:val="00ED389E"/>
    <w:rsid w:val="00ED41BF"/>
    <w:rsid w:val="00ED494F"/>
    <w:rsid w:val="00ED69D8"/>
    <w:rsid w:val="00EE656E"/>
    <w:rsid w:val="00EE69C7"/>
    <w:rsid w:val="00EF00AA"/>
    <w:rsid w:val="00EF6E26"/>
    <w:rsid w:val="00EF7A66"/>
    <w:rsid w:val="00F04281"/>
    <w:rsid w:val="00F24429"/>
    <w:rsid w:val="00F33C6F"/>
    <w:rsid w:val="00F34A50"/>
    <w:rsid w:val="00F36FD7"/>
    <w:rsid w:val="00F4047A"/>
    <w:rsid w:val="00F40FA4"/>
    <w:rsid w:val="00F42778"/>
    <w:rsid w:val="00F46DB7"/>
    <w:rsid w:val="00F564D6"/>
    <w:rsid w:val="00F568A6"/>
    <w:rsid w:val="00F57684"/>
    <w:rsid w:val="00F66AAD"/>
    <w:rsid w:val="00F81392"/>
    <w:rsid w:val="00F814D1"/>
    <w:rsid w:val="00F83991"/>
    <w:rsid w:val="00F94F61"/>
    <w:rsid w:val="00FA4A94"/>
    <w:rsid w:val="00FA6317"/>
    <w:rsid w:val="00FB33DD"/>
    <w:rsid w:val="00FB5F39"/>
    <w:rsid w:val="00FC00E0"/>
    <w:rsid w:val="00FC012E"/>
    <w:rsid w:val="00FC4099"/>
    <w:rsid w:val="00FC5648"/>
    <w:rsid w:val="00FC622F"/>
    <w:rsid w:val="00FC659D"/>
    <w:rsid w:val="00FC685A"/>
    <w:rsid w:val="00FD4124"/>
    <w:rsid w:val="00FE220A"/>
    <w:rsid w:val="00FE2531"/>
    <w:rsid w:val="00FE6705"/>
    <w:rsid w:val="00FF01D8"/>
    <w:rsid w:val="00FF1EC1"/>
    <w:rsid w:val="00FF4C28"/>
    <w:rsid w:val="02D73FE5"/>
    <w:rsid w:val="03724869"/>
    <w:rsid w:val="03FC6917"/>
    <w:rsid w:val="0E980DF0"/>
    <w:rsid w:val="0F25330D"/>
    <w:rsid w:val="10790FE5"/>
    <w:rsid w:val="12634176"/>
    <w:rsid w:val="166167A3"/>
    <w:rsid w:val="19DE53BB"/>
    <w:rsid w:val="1C15537C"/>
    <w:rsid w:val="1E6C71A3"/>
    <w:rsid w:val="2318468D"/>
    <w:rsid w:val="23390004"/>
    <w:rsid w:val="253046F8"/>
    <w:rsid w:val="31E518FE"/>
    <w:rsid w:val="338F55A8"/>
    <w:rsid w:val="38C73A62"/>
    <w:rsid w:val="3AA07A16"/>
    <w:rsid w:val="3C834E15"/>
    <w:rsid w:val="3CAD753C"/>
    <w:rsid w:val="42BF18F3"/>
    <w:rsid w:val="444F0C91"/>
    <w:rsid w:val="4B766C25"/>
    <w:rsid w:val="4EB34849"/>
    <w:rsid w:val="4FA113E3"/>
    <w:rsid w:val="51740AA0"/>
    <w:rsid w:val="51AA3F45"/>
    <w:rsid w:val="56065FEE"/>
    <w:rsid w:val="57A62321"/>
    <w:rsid w:val="5A32124F"/>
    <w:rsid w:val="5B0D0192"/>
    <w:rsid w:val="5B111C92"/>
    <w:rsid w:val="5B445208"/>
    <w:rsid w:val="5B6B2194"/>
    <w:rsid w:val="5C93062A"/>
    <w:rsid w:val="5D292A17"/>
    <w:rsid w:val="5DE30E18"/>
    <w:rsid w:val="5E8425FB"/>
    <w:rsid w:val="611724E2"/>
    <w:rsid w:val="62B20439"/>
    <w:rsid w:val="636A2657"/>
    <w:rsid w:val="63926BBF"/>
    <w:rsid w:val="66E87218"/>
    <w:rsid w:val="675D5C43"/>
    <w:rsid w:val="67E90086"/>
    <w:rsid w:val="6AA933EA"/>
    <w:rsid w:val="6B102E01"/>
    <w:rsid w:val="6EC32CCC"/>
    <w:rsid w:val="6F15104E"/>
    <w:rsid w:val="7024623F"/>
    <w:rsid w:val="711D243B"/>
    <w:rsid w:val="716704ED"/>
    <w:rsid w:val="7361523B"/>
    <w:rsid w:val="76B353F2"/>
    <w:rsid w:val="79F3510B"/>
    <w:rsid w:val="7BA84D8C"/>
    <w:rsid w:val="7BBF0CBF"/>
    <w:rsid w:val="7CB7391D"/>
    <w:rsid w:val="7E1D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page number"/>
    <w:basedOn w:val="a0"/>
    <w:uiPriority w:val="99"/>
    <w:unhideWhenUsed/>
    <w:qFormat/>
  </w:style>
  <w:style w:type="character" w:styleId="ac">
    <w:name w:val="FollowedHyperlink"/>
    <w:basedOn w:val="a0"/>
    <w:uiPriority w:val="99"/>
    <w:semiHidden/>
    <w:unhideWhenUsed/>
    <w:qFormat/>
    <w:rPr>
      <w:color w:val="800080"/>
      <w:u w:val="single"/>
    </w:rPr>
  </w:style>
  <w:style w:type="character" w:styleId="ad">
    <w:name w:val="Emphasis"/>
    <w:basedOn w:val="a0"/>
    <w:autoRedefine/>
    <w:uiPriority w:val="20"/>
    <w:qFormat/>
    <w:rPr>
      <w:i/>
      <w:iCs/>
    </w:rPr>
  </w:style>
  <w:style w:type="character" w:styleId="ae">
    <w:name w:val="Hyperlink"/>
    <w:basedOn w:val="a0"/>
    <w:uiPriority w:val="99"/>
    <w:unhideWhenUsed/>
    <w:qFormat/>
    <w:rPr>
      <w:color w:val="0000FF"/>
      <w:u w:val="single"/>
    </w:rPr>
  </w:style>
  <w:style w:type="character" w:styleId="af">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uiPriority w:val="99"/>
    <w:qFormat/>
    <w:rPr>
      <w:sz w:val="18"/>
      <w:szCs w:val="18"/>
    </w:rPr>
  </w:style>
  <w:style w:type="character" w:styleId="af0">
    <w:name w:val="Placeholder Text"/>
    <w:basedOn w:val="a0"/>
    <w:uiPriority w:val="99"/>
    <w:semiHidden/>
    <w:qFormat/>
    <w:rPr>
      <w:color w:val="808080"/>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005Char">
    <w:name w:val="005正文 Char"/>
    <w:link w:val="005"/>
    <w:qFormat/>
    <w:locked/>
    <w:rPr>
      <w:rFonts w:ascii="Times New Roman" w:hAnsi="Times New Roman"/>
    </w:rPr>
  </w:style>
  <w:style w:type="paragraph" w:customStyle="1" w:styleId="005">
    <w:name w:val="005正文"/>
    <w:basedOn w:val="a"/>
    <w:link w:val="005Char"/>
    <w:autoRedefine/>
    <w:qFormat/>
    <w:pPr>
      <w:spacing w:beforeLines="50" w:line="360" w:lineRule="auto"/>
      <w:ind w:firstLineChars="200" w:firstLine="200"/>
    </w:pPr>
    <w:rPr>
      <w:rFonts w:ascii="Times New Roman" w:hAnsi="Times New Roman"/>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page number"/>
    <w:basedOn w:val="a0"/>
    <w:uiPriority w:val="99"/>
    <w:unhideWhenUsed/>
    <w:qFormat/>
  </w:style>
  <w:style w:type="character" w:styleId="ac">
    <w:name w:val="FollowedHyperlink"/>
    <w:basedOn w:val="a0"/>
    <w:uiPriority w:val="99"/>
    <w:semiHidden/>
    <w:unhideWhenUsed/>
    <w:qFormat/>
    <w:rPr>
      <w:color w:val="800080"/>
      <w:u w:val="single"/>
    </w:rPr>
  </w:style>
  <w:style w:type="character" w:styleId="ad">
    <w:name w:val="Emphasis"/>
    <w:basedOn w:val="a0"/>
    <w:autoRedefine/>
    <w:uiPriority w:val="20"/>
    <w:qFormat/>
    <w:rPr>
      <w:i/>
      <w:iCs/>
    </w:rPr>
  </w:style>
  <w:style w:type="character" w:styleId="ae">
    <w:name w:val="Hyperlink"/>
    <w:basedOn w:val="a0"/>
    <w:uiPriority w:val="99"/>
    <w:unhideWhenUsed/>
    <w:qFormat/>
    <w:rPr>
      <w:color w:val="0000FF"/>
      <w:u w:val="single"/>
    </w:rPr>
  </w:style>
  <w:style w:type="character" w:styleId="af">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uiPriority w:val="99"/>
    <w:qFormat/>
    <w:rPr>
      <w:sz w:val="18"/>
      <w:szCs w:val="18"/>
    </w:rPr>
  </w:style>
  <w:style w:type="character" w:styleId="af0">
    <w:name w:val="Placeholder Text"/>
    <w:basedOn w:val="a0"/>
    <w:uiPriority w:val="99"/>
    <w:semiHidden/>
    <w:qFormat/>
    <w:rPr>
      <w:color w:val="808080"/>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005Char">
    <w:name w:val="005正文 Char"/>
    <w:link w:val="005"/>
    <w:qFormat/>
    <w:locked/>
    <w:rPr>
      <w:rFonts w:ascii="Times New Roman" w:hAnsi="Times New Roman"/>
    </w:rPr>
  </w:style>
  <w:style w:type="paragraph" w:customStyle="1" w:styleId="005">
    <w:name w:val="005正文"/>
    <w:basedOn w:val="a"/>
    <w:link w:val="005Char"/>
    <w:autoRedefine/>
    <w:qFormat/>
    <w:pPr>
      <w:spacing w:beforeLines="50" w:line="360" w:lineRule="auto"/>
      <w:ind w:firstLineChars="200" w:firstLine="200"/>
    </w:pPr>
    <w:rPr>
      <w:rFonts w:ascii="Times New Roman" w:hAnsi="Times New Roman"/>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B545-9B10-478C-BAFF-781F7564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1662</Words>
  <Characters>2229</Characters>
  <Application>Microsoft Office Word</Application>
  <DocSecurity>0</DocSecurity>
  <Lines>278</Lines>
  <Paragraphs>259</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吴婷</dc:creator>
  <cp:lastModifiedBy>Administrator</cp:lastModifiedBy>
  <cp:revision>7</cp:revision>
  <cp:lastPrinted>2019-11-04T07:32:00Z</cp:lastPrinted>
  <dcterms:created xsi:type="dcterms:W3CDTF">2022-11-01T07:22:00Z</dcterms:created>
  <dcterms:modified xsi:type="dcterms:W3CDTF">2025-04-17T08:37:00Z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4AA7BA3F6EED4F2AB1E998166295E4A7_13</vt:lpwstr>
  </property>
</Properties>
</file>