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FC5C7">
      <w:pPr>
        <w:rPr>
          <w:rFonts w:hint="eastAsia" w:ascii="宋体" w:hAnsi="宋体" w:eastAsia="宋体"/>
          <w:sz w:val="28"/>
          <w:szCs w:val="28"/>
        </w:rPr>
      </w:pPr>
      <w:bookmarkStart w:id="0" w:name="_GoBack"/>
      <w:bookmarkEnd w:id="0"/>
      <w:r>
        <w:rPr>
          <w:rFonts w:hint="eastAsia" w:ascii="宋体" w:hAnsi="宋体" w:eastAsia="宋体"/>
          <w:sz w:val="28"/>
          <w:szCs w:val="28"/>
        </w:rPr>
        <w:t>证券代码：688334</w:t>
      </w:r>
      <w:r>
        <w:rPr>
          <w:rFonts w:ascii="宋体" w:hAnsi="宋体" w:eastAsia="宋体"/>
          <w:sz w:val="28"/>
          <w:szCs w:val="28"/>
        </w:rPr>
        <w:t xml:space="preserve">   </w:t>
      </w: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8"/>
          <w:szCs w:val="28"/>
        </w:rPr>
        <w:t>证券简称：西高院</w:t>
      </w:r>
    </w:p>
    <w:p w14:paraId="3E0F497E">
      <w:pPr>
        <w:jc w:val="center"/>
        <w:rPr>
          <w:rFonts w:hint="eastAsia" w:ascii="黑体" w:hAnsi="黑体" w:eastAsia="黑体"/>
          <w:b/>
          <w:bCs/>
          <w:sz w:val="36"/>
          <w:szCs w:val="36"/>
        </w:rPr>
      </w:pPr>
      <w:r>
        <w:rPr>
          <w:rFonts w:hint="eastAsia" w:ascii="黑体" w:hAnsi="黑体" w:eastAsia="黑体"/>
          <w:b/>
          <w:bCs/>
          <w:sz w:val="36"/>
          <w:szCs w:val="36"/>
        </w:rPr>
        <w:t>西安高压电器研究院股份有限公司</w:t>
      </w:r>
    </w:p>
    <w:p w14:paraId="5644089B">
      <w:pPr>
        <w:jc w:val="center"/>
        <w:rPr>
          <w:rFonts w:hint="eastAsia" w:ascii="黑体" w:hAnsi="黑体" w:eastAsia="黑体"/>
          <w:b/>
          <w:bCs/>
          <w:sz w:val="36"/>
          <w:szCs w:val="36"/>
        </w:rPr>
      </w:pPr>
      <w:r>
        <w:rPr>
          <w:rFonts w:hint="eastAsia" w:ascii="黑体" w:hAnsi="黑体" w:eastAsia="黑体"/>
          <w:b/>
          <w:bCs/>
          <w:sz w:val="36"/>
          <w:szCs w:val="36"/>
        </w:rPr>
        <w:t>投资者关系活动记录表</w:t>
      </w:r>
    </w:p>
    <w:p w14:paraId="7B8E06CE">
      <w:pPr>
        <w:ind w:firstLine="560" w:firstLineChars="200"/>
        <w:jc w:val="right"/>
        <w:rPr>
          <w:rFonts w:hint="eastAsia" w:ascii="宋体" w:hAnsi="宋体" w:eastAsia="宋体"/>
          <w:sz w:val="28"/>
          <w:szCs w:val="28"/>
        </w:rPr>
      </w:pPr>
      <w:r>
        <w:rPr>
          <w:rFonts w:hint="eastAsia" w:ascii="宋体" w:hAnsi="宋体" w:eastAsia="宋体"/>
          <w:sz w:val="28"/>
          <w:szCs w:val="28"/>
        </w:rPr>
        <w:t>编号：2</w:t>
      </w:r>
      <w:r>
        <w:rPr>
          <w:rFonts w:ascii="宋体" w:hAnsi="宋体" w:eastAsia="宋体"/>
          <w:sz w:val="28"/>
          <w:szCs w:val="28"/>
        </w:rPr>
        <w:t>02</w:t>
      </w:r>
      <w:r>
        <w:rPr>
          <w:rFonts w:hint="eastAsia" w:ascii="宋体" w:hAnsi="宋体" w:eastAsia="宋体"/>
          <w:sz w:val="28"/>
          <w:szCs w:val="28"/>
        </w:rPr>
        <w:t>5</w:t>
      </w:r>
      <w:r>
        <w:rPr>
          <w:rFonts w:ascii="宋体" w:hAnsi="宋体" w:eastAsia="宋体"/>
          <w:sz w:val="28"/>
          <w:szCs w:val="28"/>
        </w:rPr>
        <w:t>-0</w:t>
      </w:r>
      <w:r>
        <w:rPr>
          <w:rFonts w:hint="eastAsia" w:ascii="宋体" w:hAnsi="宋体" w:eastAsia="宋体"/>
          <w:sz w:val="28"/>
          <w:szCs w:val="28"/>
        </w:rPr>
        <w:t>02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740"/>
      </w:tblGrid>
      <w:tr w14:paraId="4021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980" w:type="dxa"/>
            <w:vAlign w:val="center"/>
          </w:tcPr>
          <w:p w14:paraId="7FB80A23">
            <w:pPr>
              <w:jc w:val="center"/>
              <w:rPr>
                <w:rFonts w:hint="eastAsia" w:ascii="宋体" w:hAnsi="宋体" w:eastAsia="宋体"/>
                <w:b/>
                <w:bCs/>
                <w:sz w:val="24"/>
                <w:szCs w:val="24"/>
              </w:rPr>
            </w:pPr>
            <w:r>
              <w:rPr>
                <w:rFonts w:hint="eastAsia" w:ascii="宋体" w:hAnsi="宋体" w:eastAsia="宋体"/>
                <w:b/>
                <w:bCs/>
                <w:sz w:val="24"/>
                <w:szCs w:val="24"/>
              </w:rPr>
              <w:t>投资者关系</w:t>
            </w:r>
          </w:p>
          <w:p w14:paraId="5998FFEB">
            <w:pPr>
              <w:jc w:val="center"/>
              <w:rPr>
                <w:rFonts w:hint="eastAsia" w:ascii="宋体" w:hAnsi="宋体" w:eastAsia="宋体"/>
                <w:b/>
                <w:bCs/>
                <w:sz w:val="24"/>
                <w:szCs w:val="24"/>
              </w:rPr>
            </w:pPr>
            <w:r>
              <w:rPr>
                <w:rFonts w:hint="eastAsia" w:ascii="宋体" w:hAnsi="宋体" w:eastAsia="宋体"/>
                <w:b/>
                <w:bCs/>
                <w:sz w:val="24"/>
                <w:szCs w:val="24"/>
              </w:rPr>
              <w:t>活动类别</w:t>
            </w:r>
          </w:p>
        </w:tc>
        <w:tc>
          <w:tcPr>
            <w:tcW w:w="6740" w:type="dxa"/>
            <w:vAlign w:val="center"/>
          </w:tcPr>
          <w:p w14:paraId="666B9FF5">
            <w:pPr>
              <w:rPr>
                <w:rFonts w:hint="eastAsia" w:ascii="宋体" w:hAnsi="宋体" w:eastAsia="宋体"/>
                <w:sz w:val="24"/>
                <w:szCs w:val="24"/>
              </w:rPr>
            </w:pPr>
            <w:r>
              <w:rPr>
                <w:rFonts w:hint="eastAsia" w:ascii="宋体" w:hAnsi="宋体" w:eastAsia="宋体"/>
                <w:sz w:val="24"/>
                <w:szCs w:val="24"/>
              </w:rPr>
              <w:t>√特定对象调研</w:t>
            </w:r>
            <w:r>
              <w:rPr>
                <w:rFonts w:ascii="宋体" w:hAnsi="宋体" w:eastAsia="宋体"/>
                <w:sz w:val="24"/>
                <w:szCs w:val="24"/>
              </w:rPr>
              <w:t xml:space="preserve">                □分析师会议</w:t>
            </w:r>
          </w:p>
          <w:p w14:paraId="5C7AF06B">
            <w:pPr>
              <w:rPr>
                <w:rFonts w:hint="eastAsia" w:ascii="宋体" w:hAnsi="宋体" w:eastAsia="宋体"/>
                <w:sz w:val="24"/>
                <w:szCs w:val="24"/>
              </w:rPr>
            </w:pPr>
            <w:r>
              <w:rPr>
                <w:rFonts w:hint="eastAsia" w:ascii="宋体" w:hAnsi="宋体" w:eastAsia="宋体"/>
                <w:sz w:val="24"/>
                <w:szCs w:val="24"/>
              </w:rPr>
              <w:t>□媒体采访</w:t>
            </w:r>
            <w:r>
              <w:rPr>
                <w:rFonts w:ascii="宋体" w:hAnsi="宋体" w:eastAsia="宋体"/>
                <w:sz w:val="24"/>
                <w:szCs w:val="24"/>
              </w:rPr>
              <w:t xml:space="preserve">                    □业绩说明会</w:t>
            </w:r>
          </w:p>
          <w:p w14:paraId="14CBDB7E">
            <w:pPr>
              <w:rPr>
                <w:rFonts w:hint="eastAsia" w:ascii="宋体" w:hAnsi="宋体" w:eastAsia="宋体"/>
                <w:sz w:val="24"/>
                <w:szCs w:val="24"/>
              </w:rPr>
            </w:pPr>
            <w:r>
              <w:rPr>
                <w:rFonts w:hint="eastAsia" w:ascii="宋体" w:hAnsi="宋体" w:eastAsia="宋体"/>
                <w:sz w:val="24"/>
                <w:szCs w:val="24"/>
              </w:rPr>
              <w:t>□新闻发布会</w:t>
            </w:r>
            <w:r>
              <w:rPr>
                <w:rFonts w:ascii="宋体" w:hAnsi="宋体" w:eastAsia="宋体"/>
                <w:sz w:val="24"/>
                <w:szCs w:val="24"/>
              </w:rPr>
              <w:t xml:space="preserve">                  □路演活动</w:t>
            </w:r>
          </w:p>
          <w:p w14:paraId="19F0ECF6">
            <w:pPr>
              <w:rPr>
                <w:rFonts w:hint="eastAsia" w:ascii="宋体" w:hAnsi="宋体" w:eastAsia="宋体"/>
                <w:sz w:val="24"/>
                <w:szCs w:val="24"/>
              </w:rPr>
            </w:pPr>
            <w:r>
              <w:rPr>
                <w:rFonts w:hint="eastAsia" w:ascii="宋体" w:hAnsi="宋体" w:eastAsia="宋体"/>
                <w:sz w:val="24"/>
                <w:szCs w:val="24"/>
              </w:rPr>
              <w:t>□现场参观</w:t>
            </w:r>
            <w:r>
              <w:rPr>
                <w:rFonts w:ascii="宋体" w:hAnsi="宋体" w:eastAsia="宋体"/>
                <w:sz w:val="24"/>
                <w:szCs w:val="24"/>
              </w:rPr>
              <w:t xml:space="preserve">                    □电话会议</w:t>
            </w:r>
          </w:p>
          <w:p w14:paraId="58A189D4">
            <w:pPr>
              <w:rPr>
                <w:rFonts w:hint="eastAsia" w:ascii="宋体" w:hAnsi="宋体" w:eastAsia="宋体"/>
                <w:sz w:val="24"/>
                <w:szCs w:val="24"/>
              </w:rPr>
            </w:pPr>
            <w:r>
              <w:rPr>
                <w:rFonts w:hint="eastAsia" w:ascii="宋体" w:hAnsi="宋体" w:eastAsia="宋体"/>
                <w:sz w:val="24"/>
                <w:szCs w:val="24"/>
              </w:rPr>
              <w:t>□其他</w:t>
            </w:r>
          </w:p>
        </w:tc>
      </w:tr>
      <w:tr w14:paraId="301C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14:paraId="235C8CAD">
            <w:pPr>
              <w:jc w:val="center"/>
              <w:rPr>
                <w:rFonts w:hint="eastAsia" w:ascii="宋体" w:hAnsi="宋体" w:eastAsia="宋体"/>
                <w:b/>
                <w:bCs/>
                <w:sz w:val="24"/>
                <w:szCs w:val="24"/>
              </w:rPr>
            </w:pPr>
            <w:r>
              <w:rPr>
                <w:rFonts w:hint="eastAsia" w:ascii="宋体" w:hAnsi="宋体" w:eastAsia="宋体"/>
                <w:b/>
                <w:bCs/>
                <w:sz w:val="24"/>
                <w:szCs w:val="24"/>
              </w:rPr>
              <w:t>参与单位名称</w:t>
            </w:r>
          </w:p>
        </w:tc>
        <w:tc>
          <w:tcPr>
            <w:tcW w:w="6740" w:type="dxa"/>
            <w:vAlign w:val="center"/>
          </w:tcPr>
          <w:p w14:paraId="15934455">
            <w:pPr>
              <w:rPr>
                <w:rFonts w:hint="eastAsia" w:ascii="宋体" w:hAnsi="宋体" w:eastAsia="宋体"/>
                <w:sz w:val="24"/>
                <w:szCs w:val="24"/>
              </w:rPr>
            </w:pPr>
            <w:r>
              <w:rPr>
                <w:rFonts w:hint="eastAsia" w:ascii="宋体" w:hAnsi="宋体" w:eastAsia="宋体"/>
                <w:sz w:val="24"/>
                <w:szCs w:val="24"/>
              </w:rPr>
              <w:t>太平洋证券股份有限公司</w:t>
            </w:r>
          </w:p>
          <w:p w14:paraId="62FF9F99">
            <w:pPr>
              <w:rPr>
                <w:rFonts w:hint="eastAsia" w:ascii="宋体" w:hAnsi="宋体" w:eastAsia="宋体"/>
                <w:sz w:val="24"/>
                <w:szCs w:val="24"/>
              </w:rPr>
            </w:pPr>
            <w:r>
              <w:rPr>
                <w:rFonts w:ascii="宋体" w:hAnsi="宋体" w:eastAsia="宋体"/>
                <w:sz w:val="24"/>
                <w:szCs w:val="24"/>
              </w:rPr>
              <w:t>工银瑞信基金管理有限公司</w:t>
            </w:r>
          </w:p>
          <w:p w14:paraId="7CB11E3F">
            <w:pPr>
              <w:rPr>
                <w:rFonts w:hint="eastAsia" w:ascii="宋体" w:hAnsi="宋体" w:eastAsia="宋体"/>
                <w:sz w:val="24"/>
                <w:szCs w:val="24"/>
              </w:rPr>
            </w:pPr>
            <w:r>
              <w:rPr>
                <w:rFonts w:ascii="宋体" w:hAnsi="宋体" w:eastAsia="宋体"/>
                <w:sz w:val="24"/>
                <w:szCs w:val="24"/>
              </w:rPr>
              <w:t>金鹰基金管理有限公司</w:t>
            </w:r>
          </w:p>
          <w:p w14:paraId="5F769C14">
            <w:pPr>
              <w:rPr>
                <w:rFonts w:hint="eastAsia" w:ascii="宋体" w:hAnsi="宋体" w:eastAsia="宋体"/>
                <w:sz w:val="24"/>
                <w:szCs w:val="24"/>
              </w:rPr>
            </w:pPr>
            <w:r>
              <w:rPr>
                <w:rFonts w:ascii="宋体" w:hAnsi="宋体" w:eastAsia="宋体"/>
                <w:sz w:val="24"/>
                <w:szCs w:val="24"/>
              </w:rPr>
              <w:t>鹏华基金管理有限公司</w:t>
            </w:r>
          </w:p>
          <w:p w14:paraId="6A5D7C81">
            <w:pPr>
              <w:rPr>
                <w:rFonts w:hint="eastAsia" w:ascii="宋体" w:hAnsi="宋体" w:eastAsia="宋体"/>
                <w:sz w:val="24"/>
                <w:szCs w:val="24"/>
              </w:rPr>
            </w:pPr>
            <w:r>
              <w:rPr>
                <w:rFonts w:ascii="宋体" w:hAnsi="宋体" w:eastAsia="宋体"/>
                <w:sz w:val="24"/>
                <w:szCs w:val="24"/>
              </w:rPr>
              <w:t>长城基金管理有限公司</w:t>
            </w:r>
          </w:p>
          <w:p w14:paraId="303D4962">
            <w:pPr>
              <w:rPr>
                <w:rFonts w:hint="eastAsia" w:ascii="宋体" w:hAnsi="宋体" w:eastAsia="宋体"/>
                <w:sz w:val="24"/>
                <w:szCs w:val="24"/>
              </w:rPr>
            </w:pPr>
            <w:r>
              <w:rPr>
                <w:rFonts w:ascii="宋体" w:hAnsi="宋体" w:eastAsia="宋体"/>
                <w:sz w:val="24"/>
                <w:szCs w:val="24"/>
              </w:rPr>
              <w:t>泰昇私募基金管理有限公司</w:t>
            </w:r>
          </w:p>
          <w:p w14:paraId="7F970904">
            <w:pPr>
              <w:rPr>
                <w:rFonts w:hint="eastAsia" w:ascii="宋体" w:hAnsi="宋体" w:eastAsia="宋体"/>
                <w:sz w:val="24"/>
                <w:szCs w:val="24"/>
              </w:rPr>
            </w:pPr>
            <w:r>
              <w:rPr>
                <w:rFonts w:hint="eastAsia" w:ascii="宋体" w:hAnsi="宋体" w:eastAsia="宋体"/>
                <w:sz w:val="24"/>
                <w:szCs w:val="24"/>
              </w:rPr>
              <w:t>广发证券股份有限公司</w:t>
            </w:r>
          </w:p>
          <w:p w14:paraId="20943C33">
            <w:pPr>
              <w:rPr>
                <w:rFonts w:hint="eastAsia" w:ascii="宋体" w:hAnsi="宋体" w:eastAsia="宋体"/>
                <w:sz w:val="24"/>
                <w:szCs w:val="24"/>
              </w:rPr>
            </w:pPr>
            <w:r>
              <w:rPr>
                <w:rFonts w:hint="eastAsia" w:ascii="宋体" w:hAnsi="宋体" w:eastAsia="宋体"/>
                <w:sz w:val="24"/>
                <w:szCs w:val="24"/>
              </w:rPr>
              <w:t>平安基金管理有限公司</w:t>
            </w:r>
          </w:p>
          <w:p w14:paraId="01D889D1">
            <w:pPr>
              <w:rPr>
                <w:rFonts w:hint="eastAsia" w:ascii="宋体" w:hAnsi="宋体" w:eastAsia="宋体"/>
                <w:sz w:val="24"/>
                <w:szCs w:val="24"/>
              </w:rPr>
            </w:pPr>
            <w:r>
              <w:rPr>
                <w:rFonts w:hint="eastAsia" w:ascii="宋体" w:hAnsi="宋体" w:eastAsia="宋体"/>
                <w:sz w:val="24"/>
                <w:szCs w:val="24"/>
              </w:rPr>
              <w:t>交银施罗德基金管理有限公司</w:t>
            </w:r>
          </w:p>
          <w:p w14:paraId="7BF2D017">
            <w:pPr>
              <w:rPr>
                <w:rFonts w:hint="eastAsia" w:ascii="宋体" w:hAnsi="宋体" w:eastAsia="宋体"/>
                <w:sz w:val="24"/>
                <w:szCs w:val="24"/>
              </w:rPr>
            </w:pPr>
            <w:r>
              <w:rPr>
                <w:rFonts w:hint="eastAsia" w:ascii="宋体" w:hAnsi="宋体" w:eastAsia="宋体"/>
                <w:sz w:val="24"/>
                <w:szCs w:val="24"/>
              </w:rPr>
              <w:t>华商基金管理有限公司</w:t>
            </w:r>
          </w:p>
          <w:p w14:paraId="38F91F55">
            <w:pPr>
              <w:rPr>
                <w:rFonts w:hint="eastAsia" w:ascii="宋体" w:hAnsi="宋体" w:eastAsia="宋体"/>
                <w:sz w:val="24"/>
                <w:szCs w:val="24"/>
              </w:rPr>
            </w:pPr>
            <w:r>
              <w:rPr>
                <w:rFonts w:hint="eastAsia" w:ascii="宋体" w:hAnsi="宋体" w:eastAsia="宋体"/>
                <w:sz w:val="24"/>
                <w:szCs w:val="24"/>
              </w:rPr>
              <w:t>华泰证券股份有限公司</w:t>
            </w:r>
          </w:p>
          <w:p w14:paraId="4DCBC73E">
            <w:pPr>
              <w:rPr>
                <w:rFonts w:hint="eastAsia" w:ascii="宋体" w:hAnsi="宋体" w:eastAsia="宋体"/>
                <w:sz w:val="24"/>
                <w:szCs w:val="24"/>
              </w:rPr>
            </w:pPr>
            <w:r>
              <w:rPr>
                <w:rFonts w:hint="eastAsia" w:ascii="宋体" w:hAnsi="宋体" w:eastAsia="宋体"/>
                <w:sz w:val="24"/>
                <w:szCs w:val="24"/>
              </w:rPr>
              <w:t>上海证券报社有限公司</w:t>
            </w:r>
          </w:p>
        </w:tc>
      </w:tr>
      <w:tr w14:paraId="2A70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14:paraId="29380DD3">
            <w:pPr>
              <w:jc w:val="center"/>
              <w:rPr>
                <w:rFonts w:hint="eastAsia" w:ascii="宋体" w:hAnsi="宋体" w:eastAsia="宋体"/>
                <w:b/>
                <w:bCs/>
                <w:sz w:val="24"/>
                <w:szCs w:val="24"/>
              </w:rPr>
            </w:pPr>
            <w:r>
              <w:rPr>
                <w:rFonts w:hint="eastAsia" w:ascii="宋体" w:hAnsi="宋体" w:eastAsia="宋体"/>
                <w:b/>
                <w:bCs/>
                <w:sz w:val="24"/>
                <w:szCs w:val="24"/>
              </w:rPr>
              <w:t>会议时间</w:t>
            </w:r>
          </w:p>
        </w:tc>
        <w:tc>
          <w:tcPr>
            <w:tcW w:w="6740" w:type="dxa"/>
            <w:vAlign w:val="center"/>
          </w:tcPr>
          <w:p w14:paraId="41CE5760">
            <w:pPr>
              <w:rPr>
                <w:rFonts w:hint="eastAsia" w:ascii="宋体" w:hAnsi="宋体" w:eastAsia="宋体"/>
                <w:sz w:val="24"/>
                <w:szCs w:val="24"/>
              </w:rPr>
            </w:pPr>
            <w:r>
              <w:rPr>
                <w:rFonts w:ascii="宋体" w:hAnsi="宋体" w:eastAsia="宋体"/>
                <w:sz w:val="24"/>
                <w:szCs w:val="24"/>
                <w:highlight w:val="none"/>
              </w:rPr>
              <w:t>202</w:t>
            </w:r>
            <w:r>
              <w:rPr>
                <w:rFonts w:hint="eastAsia" w:ascii="宋体" w:hAnsi="宋体" w:eastAsia="宋体"/>
                <w:sz w:val="24"/>
                <w:szCs w:val="24"/>
                <w:highlight w:val="none"/>
              </w:rPr>
              <w:t>5</w:t>
            </w:r>
            <w:r>
              <w:rPr>
                <w:rFonts w:ascii="宋体" w:hAnsi="宋体" w:eastAsia="宋体"/>
                <w:sz w:val="24"/>
                <w:szCs w:val="24"/>
                <w:highlight w:val="none"/>
              </w:rPr>
              <w:t>年</w:t>
            </w:r>
            <w:r>
              <w:rPr>
                <w:rFonts w:hint="eastAsia" w:ascii="宋体" w:hAnsi="宋体" w:eastAsia="宋体"/>
                <w:sz w:val="24"/>
                <w:szCs w:val="24"/>
                <w:highlight w:val="none"/>
              </w:rPr>
              <w:t>4</w:t>
            </w:r>
            <w:r>
              <w:rPr>
                <w:rFonts w:ascii="宋体" w:hAnsi="宋体" w:eastAsia="宋体"/>
                <w:sz w:val="24"/>
                <w:szCs w:val="24"/>
                <w:highlight w:val="none"/>
              </w:rPr>
              <w:t>月</w:t>
            </w:r>
            <w:r>
              <w:rPr>
                <w:rFonts w:hint="eastAsia" w:ascii="宋体" w:hAnsi="宋体" w:eastAsia="宋体"/>
                <w:sz w:val="24"/>
                <w:szCs w:val="24"/>
                <w:highlight w:val="none"/>
                <w:lang w:val="en-US" w:eastAsia="zh-CN"/>
              </w:rPr>
              <w:t>24</w:t>
            </w:r>
            <w:r>
              <w:rPr>
                <w:rFonts w:ascii="宋体" w:hAnsi="宋体" w:eastAsia="宋体"/>
                <w:sz w:val="24"/>
                <w:szCs w:val="24"/>
                <w:highlight w:val="none"/>
              </w:rPr>
              <w:t>日</w:t>
            </w:r>
          </w:p>
        </w:tc>
      </w:tr>
      <w:tr w14:paraId="2C29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14:paraId="2A72C254">
            <w:pPr>
              <w:jc w:val="center"/>
              <w:rPr>
                <w:rFonts w:hint="eastAsia" w:ascii="宋体" w:hAnsi="宋体" w:eastAsia="宋体"/>
                <w:b/>
                <w:bCs/>
                <w:sz w:val="24"/>
                <w:szCs w:val="24"/>
              </w:rPr>
            </w:pPr>
            <w:r>
              <w:rPr>
                <w:rFonts w:hint="eastAsia" w:ascii="宋体" w:hAnsi="宋体" w:eastAsia="宋体"/>
                <w:b/>
                <w:bCs/>
                <w:sz w:val="24"/>
                <w:szCs w:val="24"/>
              </w:rPr>
              <w:t>会议地点</w:t>
            </w:r>
          </w:p>
        </w:tc>
        <w:tc>
          <w:tcPr>
            <w:tcW w:w="6740" w:type="dxa"/>
            <w:vAlign w:val="center"/>
          </w:tcPr>
          <w:p w14:paraId="4310C1C5">
            <w:pPr>
              <w:rPr>
                <w:rFonts w:hint="eastAsia" w:ascii="宋体" w:hAnsi="宋体" w:eastAsia="宋体"/>
                <w:sz w:val="24"/>
                <w:szCs w:val="24"/>
              </w:rPr>
            </w:pPr>
            <w:r>
              <w:rPr>
                <w:rFonts w:hint="eastAsia" w:ascii="宋体" w:hAnsi="宋体" w:eastAsia="宋体"/>
                <w:sz w:val="24"/>
                <w:szCs w:val="24"/>
              </w:rPr>
              <w:t>西高院会议室</w:t>
            </w:r>
          </w:p>
        </w:tc>
      </w:tr>
      <w:tr w14:paraId="090F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80" w:type="dxa"/>
            <w:vAlign w:val="center"/>
          </w:tcPr>
          <w:p w14:paraId="17E15081">
            <w:pPr>
              <w:jc w:val="center"/>
              <w:rPr>
                <w:rFonts w:hint="eastAsia" w:ascii="宋体" w:hAnsi="宋体" w:eastAsia="宋体"/>
                <w:b/>
                <w:bCs/>
                <w:sz w:val="24"/>
                <w:szCs w:val="24"/>
              </w:rPr>
            </w:pPr>
            <w:r>
              <w:rPr>
                <w:rFonts w:hint="eastAsia" w:ascii="宋体" w:hAnsi="宋体" w:eastAsia="宋体"/>
                <w:b/>
                <w:bCs/>
                <w:sz w:val="24"/>
                <w:szCs w:val="24"/>
              </w:rPr>
              <w:t>公司接待人员</w:t>
            </w:r>
          </w:p>
        </w:tc>
        <w:tc>
          <w:tcPr>
            <w:tcW w:w="6740" w:type="dxa"/>
            <w:vAlign w:val="center"/>
          </w:tcPr>
          <w:p w14:paraId="64F7EC66">
            <w:pPr>
              <w:rPr>
                <w:rFonts w:hint="eastAsia" w:ascii="宋体" w:hAnsi="宋体" w:eastAsia="宋体"/>
                <w:sz w:val="24"/>
                <w:szCs w:val="24"/>
              </w:rPr>
            </w:pPr>
            <w:r>
              <w:rPr>
                <w:rFonts w:hint="eastAsia" w:ascii="宋体" w:hAnsi="宋体" w:eastAsia="宋体"/>
                <w:sz w:val="24"/>
                <w:szCs w:val="24"/>
              </w:rPr>
              <w:t>董事会秘书 王辉</w:t>
            </w:r>
          </w:p>
          <w:p w14:paraId="7DB64AE4">
            <w:pPr>
              <w:rPr>
                <w:rFonts w:hint="eastAsia" w:ascii="宋体" w:hAnsi="宋体" w:eastAsia="宋体"/>
                <w:sz w:val="24"/>
                <w:szCs w:val="24"/>
              </w:rPr>
            </w:pPr>
            <w:r>
              <w:rPr>
                <w:rFonts w:hint="eastAsia" w:ascii="宋体" w:hAnsi="宋体" w:eastAsia="宋体"/>
                <w:sz w:val="24"/>
                <w:szCs w:val="24"/>
              </w:rPr>
              <w:t>证券事务代表 韩瑞</w:t>
            </w:r>
          </w:p>
          <w:p w14:paraId="572EA098">
            <w:pPr>
              <w:rPr>
                <w:rFonts w:hint="eastAsia" w:ascii="宋体" w:hAnsi="宋体" w:eastAsia="宋体"/>
                <w:sz w:val="24"/>
                <w:szCs w:val="24"/>
              </w:rPr>
            </w:pPr>
            <w:r>
              <w:rPr>
                <w:rFonts w:hint="eastAsia" w:ascii="宋体" w:hAnsi="宋体" w:eastAsia="宋体"/>
                <w:sz w:val="24"/>
                <w:szCs w:val="24"/>
              </w:rPr>
              <w:t>证券事务专员 王译涵</w:t>
            </w:r>
          </w:p>
        </w:tc>
      </w:tr>
      <w:tr w14:paraId="794B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980" w:type="dxa"/>
            <w:vAlign w:val="center"/>
          </w:tcPr>
          <w:p w14:paraId="45B87E5E">
            <w:pPr>
              <w:jc w:val="center"/>
              <w:rPr>
                <w:rFonts w:hint="eastAsia" w:ascii="宋体" w:hAnsi="宋体" w:eastAsia="宋体"/>
                <w:b/>
                <w:bCs/>
                <w:sz w:val="24"/>
                <w:szCs w:val="24"/>
              </w:rPr>
            </w:pPr>
            <w:r>
              <w:rPr>
                <w:rFonts w:hint="eastAsia" w:ascii="宋体" w:hAnsi="宋体" w:eastAsia="宋体"/>
                <w:b/>
                <w:bCs/>
                <w:sz w:val="24"/>
                <w:szCs w:val="24"/>
              </w:rPr>
              <w:t>投资者关系活动主要内容介绍</w:t>
            </w:r>
          </w:p>
        </w:tc>
        <w:tc>
          <w:tcPr>
            <w:tcW w:w="6740" w:type="dxa"/>
            <w:vAlign w:val="center"/>
          </w:tcPr>
          <w:p w14:paraId="510E7FF5">
            <w:pPr>
              <w:ind w:firstLine="482" w:firstLineChars="200"/>
              <w:rPr>
                <w:rFonts w:hint="eastAsia" w:ascii="宋体" w:hAnsi="宋体" w:eastAsia="宋体"/>
                <w:sz w:val="24"/>
                <w:szCs w:val="24"/>
              </w:rPr>
            </w:pPr>
            <w:r>
              <w:rPr>
                <w:rFonts w:hint="eastAsia" w:ascii="宋体" w:hAnsi="宋体" w:eastAsia="宋体"/>
                <w:b/>
                <w:bCs/>
                <w:sz w:val="24"/>
                <w:szCs w:val="24"/>
              </w:rPr>
              <w:t>第一部分</w:t>
            </w:r>
            <w:r>
              <w:rPr>
                <w:rFonts w:hint="eastAsia" w:ascii="宋体" w:hAnsi="宋体" w:eastAsia="宋体"/>
                <w:sz w:val="24"/>
                <w:szCs w:val="24"/>
              </w:rPr>
              <w:t>：公司2024年年度及2025年一季度经营情况说明，介绍公司概况、核心技术、市场拓展、业务发展、市值管理等；</w:t>
            </w:r>
          </w:p>
          <w:p w14:paraId="118B4D72">
            <w:pPr>
              <w:ind w:firstLine="482" w:firstLineChars="200"/>
              <w:rPr>
                <w:rFonts w:hint="eastAsia" w:ascii="宋体" w:hAnsi="宋体" w:eastAsia="宋体"/>
                <w:sz w:val="24"/>
                <w:szCs w:val="24"/>
              </w:rPr>
            </w:pPr>
            <w:r>
              <w:rPr>
                <w:rFonts w:hint="eastAsia" w:ascii="宋体" w:hAnsi="宋体" w:eastAsia="宋体"/>
                <w:b/>
                <w:bCs/>
                <w:sz w:val="24"/>
                <w:szCs w:val="24"/>
              </w:rPr>
              <w:t>第二部分</w:t>
            </w:r>
            <w:r>
              <w:rPr>
                <w:rFonts w:hint="eastAsia" w:ascii="宋体" w:hAnsi="宋体" w:eastAsia="宋体"/>
                <w:sz w:val="24"/>
                <w:szCs w:val="24"/>
              </w:rPr>
              <w:t>：问答环节</w:t>
            </w:r>
          </w:p>
          <w:p w14:paraId="23DC1D3E">
            <w:pPr>
              <w:ind w:firstLine="480" w:firstLineChars="200"/>
              <w:rPr>
                <w:rFonts w:hint="eastAsia" w:ascii="宋体" w:hAnsi="宋体" w:eastAsia="宋体"/>
                <w:sz w:val="24"/>
                <w:szCs w:val="24"/>
              </w:rPr>
            </w:pPr>
            <w:r>
              <w:rPr>
                <w:rFonts w:hint="eastAsia" w:ascii="宋体" w:hAnsi="宋体" w:eastAsia="宋体"/>
                <w:sz w:val="24"/>
                <w:szCs w:val="24"/>
              </w:rPr>
              <w:t>问题1：公司未来发展如何布局？</w:t>
            </w:r>
          </w:p>
          <w:p w14:paraId="104396FE">
            <w:pPr>
              <w:ind w:firstLine="480" w:firstLineChars="200"/>
              <w:rPr>
                <w:rFonts w:hint="eastAsia" w:ascii="宋体" w:hAnsi="宋体" w:eastAsia="宋体"/>
                <w:sz w:val="24"/>
                <w:szCs w:val="24"/>
              </w:rPr>
            </w:pPr>
            <w:r>
              <w:rPr>
                <w:rFonts w:hint="eastAsia" w:ascii="宋体" w:hAnsi="宋体" w:eastAsia="宋体"/>
                <w:sz w:val="24"/>
                <w:szCs w:val="24"/>
              </w:rPr>
              <w:t xml:space="preserve">答：西高院紧扣国家"双碳"战略与新型能源体系建设机遇，围绕电网投资升级与清洁能源发展布局，构筑全方位立体化的发展矩阵。在技术层面，企业聚焦绿色安全高效可控的技术方向，加速攻关"卡脖子"技术瓶颈，通过新品研发迭代释放创新动能，同步拓展检验检测等技术服务场景，形成产业技术升级的核心支撑。面向2030年，公司将建成具有国际影响力的电气装备智慧服务平台，实现高中低压全领域产品覆盖，深度融合智能化数字化手段构建服务生态。依托国企改革深化契机，企业正在强化科技研发、市场开拓、国际经营、综合管理四大核心能力，既巩固高压电器与试验检测的传统优势，又延伸布局新能源认证等新兴赛道，通过"五地联动"战略协同开拓海内外市场。未来将以高质量发展成效，持续回报股东期待，在构建全球能源互联网新格局中打造技术驱动型现代服务领军企业。 </w:t>
            </w:r>
          </w:p>
          <w:p w14:paraId="48D0E512">
            <w:pPr>
              <w:ind w:firstLine="480" w:firstLineChars="200"/>
              <w:rPr>
                <w:rFonts w:hint="eastAsia" w:ascii="宋体" w:hAnsi="宋体" w:eastAsia="宋体"/>
                <w:sz w:val="24"/>
                <w:szCs w:val="24"/>
              </w:rPr>
            </w:pPr>
            <w:r>
              <w:rPr>
                <w:rFonts w:hint="eastAsia" w:ascii="宋体" w:hAnsi="宋体" w:eastAsia="宋体"/>
                <w:sz w:val="24"/>
                <w:szCs w:val="24"/>
              </w:rPr>
              <w:t>问题2：相比同行业公司，公司核心竞争力有哪些？</w:t>
            </w:r>
          </w:p>
          <w:p w14:paraId="2E08FB39">
            <w:pPr>
              <w:ind w:firstLine="480" w:firstLineChars="200"/>
              <w:rPr>
                <w:rFonts w:hint="eastAsia" w:ascii="宋体" w:hAnsi="宋体" w:eastAsia="宋体"/>
                <w:sz w:val="24"/>
                <w:szCs w:val="24"/>
              </w:rPr>
            </w:pPr>
            <w:r>
              <w:rPr>
                <w:rFonts w:hint="eastAsia" w:ascii="宋体" w:hAnsi="宋体" w:eastAsia="宋体"/>
                <w:sz w:val="24"/>
                <w:szCs w:val="24"/>
              </w:rPr>
              <w:t>答：西高院依托6个国家级检测中心与8个国家级科研平台，构建电气设备领域顶级技术认证体系，是13个IEC技术委员会对口单位以及</w:t>
            </w:r>
            <w:r>
              <w:rPr>
                <w:rFonts w:hint="eastAsia" w:ascii="宋体" w:hAnsi="宋体" w:eastAsia="宋体"/>
                <w:sz w:val="24"/>
                <w:szCs w:val="24"/>
                <w:highlight w:val="none"/>
              </w:rPr>
              <w:t>1</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个</w:t>
            </w:r>
            <w:r>
              <w:rPr>
                <w:rFonts w:hint="eastAsia" w:ascii="宋体" w:hAnsi="宋体" w:eastAsia="宋体"/>
                <w:sz w:val="24"/>
                <w:szCs w:val="24"/>
                <w:highlight w:val="none"/>
                <w:lang w:val="en-US" w:eastAsia="zh-CN"/>
              </w:rPr>
              <w:t>国家</w:t>
            </w:r>
            <w:r>
              <w:rPr>
                <w:rFonts w:hint="eastAsia" w:ascii="宋体" w:hAnsi="宋体" w:eastAsia="宋体"/>
                <w:sz w:val="24"/>
                <w:szCs w:val="24"/>
                <w:highlight w:val="none"/>
              </w:rPr>
              <w:t>标委会秘书处</w:t>
            </w:r>
            <w:r>
              <w:rPr>
                <w:rFonts w:hint="eastAsia" w:ascii="宋体" w:hAnsi="宋体" w:eastAsia="宋体"/>
                <w:sz w:val="24"/>
                <w:szCs w:val="24"/>
                <w:highlight w:val="none"/>
                <w:lang w:val="en-US" w:eastAsia="zh-CN"/>
              </w:rPr>
              <w:t>和2个行业标委会秘书处</w:t>
            </w:r>
            <w:r>
              <w:rPr>
                <w:rFonts w:hint="eastAsia" w:ascii="宋体" w:hAnsi="宋体" w:eastAsia="宋体"/>
                <w:sz w:val="24"/>
                <w:szCs w:val="24"/>
                <w:highlight w:val="none"/>
              </w:rPr>
              <w:t>，确立行业话语权。通过"领军人才引进-复合型人才梯队-股权激励"机制打造高效研发团队，结合全生命周期项目管理体系和跨部门协作机制，保障创新</w:t>
            </w:r>
            <w:r>
              <w:rPr>
                <w:rFonts w:hint="eastAsia" w:ascii="宋体" w:hAnsi="宋体" w:eastAsia="宋体"/>
                <w:sz w:val="24"/>
                <w:szCs w:val="24"/>
              </w:rPr>
              <w:t>效能。公司通过长期的行业技术积累，已形成了电气设备产品标准研究与验证技术、高电压大电流计量技术、高压开关检测技术、绕组类设备检测技术、特高压及以下直流输电换流阀检测技术、绝缘子避雷器检测技术、电力电容器检测技术、电气设备关键性能核心技术、电气设备制造行业智能化工程成套技术等9大项主要核心技术，并已实现高质量科技成果转化，相关技术均已在公司大批量生产服务中得到运用。2024年内更取得国家科学技术进步奖，开辟输变电碳足迹评价新赛道，加速数智化转型，持续巩固技术优势。</w:t>
            </w:r>
          </w:p>
          <w:p w14:paraId="45BDABA0">
            <w:pPr>
              <w:ind w:firstLine="480" w:firstLineChars="200"/>
              <w:rPr>
                <w:rFonts w:hint="eastAsia" w:ascii="宋体" w:hAnsi="宋体" w:eastAsia="宋体"/>
                <w:sz w:val="24"/>
                <w:szCs w:val="24"/>
              </w:rPr>
            </w:pPr>
            <w:r>
              <w:rPr>
                <w:rFonts w:hint="eastAsia" w:ascii="宋体" w:hAnsi="宋体" w:eastAsia="宋体"/>
                <w:sz w:val="24"/>
                <w:szCs w:val="24"/>
              </w:rPr>
              <w:t>问题3：标准的修订周期通常是多久？</w:t>
            </w:r>
          </w:p>
          <w:p w14:paraId="24EA5B84">
            <w:pPr>
              <w:ind w:firstLine="480" w:firstLineChars="200"/>
              <w:rPr>
                <w:rFonts w:hint="eastAsia" w:ascii="宋体" w:hAnsi="宋体" w:eastAsia="宋体"/>
                <w:sz w:val="24"/>
                <w:szCs w:val="24"/>
              </w:rPr>
            </w:pPr>
            <w:r>
              <w:rPr>
                <w:rFonts w:hint="eastAsia" w:ascii="宋体" w:hAnsi="宋体" w:eastAsia="宋体"/>
                <w:sz w:val="24"/>
                <w:szCs w:val="24"/>
              </w:rPr>
              <w:t>答：行业标准的修订周期通常为3-5年，这一频率并非固定，而是与技术演进和应用需求紧密挂钩。随着新技术、新材料、新工艺的快速发展，标准需通过动态调整机制保持其先进性与适用性。例如，在新能源、智能电网等前沿领域，技术迭代速度较快，相关标准可能缩短修订周期以匹配产业创新步伐。</w:t>
            </w:r>
          </w:p>
          <w:p w14:paraId="63F79D68">
            <w:pPr>
              <w:ind w:firstLine="480" w:firstLineChars="200"/>
              <w:rPr>
                <w:rFonts w:hint="eastAsia" w:ascii="宋体" w:hAnsi="宋体" w:eastAsia="宋体"/>
                <w:sz w:val="24"/>
                <w:szCs w:val="24"/>
              </w:rPr>
            </w:pPr>
            <w:r>
              <w:rPr>
                <w:rFonts w:hint="eastAsia" w:ascii="宋体" w:hAnsi="宋体" w:eastAsia="宋体"/>
                <w:sz w:val="24"/>
                <w:szCs w:val="24"/>
              </w:rPr>
              <w:t>问题4：新设立厦门公司的目的和意义是什么？</w:t>
            </w:r>
          </w:p>
          <w:p w14:paraId="19E1CFAB">
            <w:pPr>
              <w:ind w:firstLine="480" w:firstLineChars="200"/>
              <w:rPr>
                <w:rFonts w:hint="eastAsia" w:ascii="宋体" w:hAnsi="宋体" w:eastAsia="宋体"/>
                <w:sz w:val="24"/>
                <w:szCs w:val="24"/>
              </w:rPr>
            </w:pPr>
            <w:r>
              <w:rPr>
                <w:rFonts w:hint="eastAsia" w:ascii="宋体" w:hAnsi="宋体" w:eastAsia="宋体"/>
                <w:sz w:val="24"/>
                <w:szCs w:val="24"/>
              </w:rPr>
              <w:t>答：2025年3月，西高院新设立控股子公司西高院（厦门）电气研究院有限公司，定位为兼具检测服务能力的新型研发机构。西高院作为国内输变电装备检测领域龙头企业，拥有先进的试验检测技术以及研发技术，此次设立厦门公司能够有助于完善相关产业链条，支撑新能源和输配电产业发展，在当地开展面向输配电及新能源领域的技术服务和科技成果转化业务，利用厦门产业聚集优势，及对科研、检测服务的高需求，先期开展新能源领域电池电性能、环境、安全性试验，输配电设备领域电容器投切、一二次融合等特殊性试验，用电侧直流开关试验，以及输配电设备相关研发业务，补足西高院在东南沿海地区布局的空白。西高院将以厦门地区为基础，进一步辐射江西赣州、浙南温州、广东惠州、深圳等东南沿海新能源及输配电产业聚集区域，有效扩大检测业务市场布局，有力补充西高院“多地联动、一体化协同”的战略格局。</w:t>
            </w:r>
          </w:p>
          <w:p w14:paraId="65ED9040">
            <w:pPr>
              <w:ind w:firstLine="480" w:firstLineChars="200"/>
              <w:rPr>
                <w:rFonts w:hint="eastAsia" w:ascii="宋体" w:hAnsi="宋体" w:eastAsia="宋体"/>
                <w:sz w:val="24"/>
                <w:szCs w:val="24"/>
              </w:rPr>
            </w:pPr>
            <w:r>
              <w:rPr>
                <w:rFonts w:hint="eastAsia" w:ascii="宋体" w:hAnsi="宋体" w:eastAsia="宋体"/>
                <w:sz w:val="24"/>
                <w:szCs w:val="24"/>
              </w:rPr>
              <w:t>问题5：作为电工行业首家CNAS认可的温室气体核查机构，公司在绿色低碳领域有何具体实践？如何通过技术助力实现“双碳”目标？</w:t>
            </w:r>
          </w:p>
          <w:p w14:paraId="4E4F8579">
            <w:pPr>
              <w:ind w:firstLine="480" w:firstLineChars="200"/>
              <w:rPr>
                <w:rFonts w:hint="eastAsia" w:ascii="宋体" w:hAnsi="宋体" w:eastAsia="宋体"/>
                <w:sz w:val="24"/>
                <w:szCs w:val="24"/>
              </w:rPr>
            </w:pPr>
            <w:r>
              <w:rPr>
                <w:rFonts w:hint="eastAsia" w:ascii="宋体" w:hAnsi="宋体" w:eastAsia="宋体"/>
                <w:sz w:val="24"/>
                <w:szCs w:val="24"/>
              </w:rPr>
              <w:t>答：西高院作为电工行业首家CNAS认可的温室气体核查机构，通过提供组织及产品碳足迹核查服务增强了行业透明度。在绿色低碳领域，公司积极研发环保型电气装备，推动输变电装备绿色升级，并开展碳足迹评价研究以开辟新赛道。此外，公司还通过技术攻关、标准引领和服务创新，全力支持国家“双碳”目标的实现。</w:t>
            </w:r>
          </w:p>
          <w:p w14:paraId="4453FCD0">
            <w:pPr>
              <w:ind w:firstLine="480" w:firstLineChars="200"/>
              <w:rPr>
                <w:rFonts w:hint="eastAsia" w:ascii="宋体" w:hAnsi="宋体" w:eastAsia="宋体"/>
                <w:sz w:val="24"/>
                <w:szCs w:val="24"/>
              </w:rPr>
            </w:pPr>
            <w:r>
              <w:rPr>
                <w:rFonts w:hint="eastAsia" w:ascii="宋体" w:hAnsi="宋体" w:eastAsia="宋体"/>
                <w:sz w:val="24"/>
                <w:szCs w:val="24"/>
              </w:rPr>
              <w:t>问题6：海外市场成为西高院新业绩增长极。公司如何通过标准输出推动中国电力装备“走出去”？</w:t>
            </w:r>
          </w:p>
          <w:p w14:paraId="70E00FFC">
            <w:pPr>
              <w:ind w:firstLine="480" w:firstLineChars="200"/>
              <w:rPr>
                <w:rFonts w:ascii="宋体" w:hAnsi="宋体" w:eastAsia="宋体"/>
                <w:sz w:val="24"/>
                <w:szCs w:val="24"/>
              </w:rPr>
            </w:pPr>
            <w:r>
              <w:rPr>
                <w:rFonts w:hint="eastAsia" w:ascii="宋体" w:hAnsi="宋体" w:eastAsia="宋体"/>
                <w:sz w:val="24"/>
                <w:szCs w:val="24"/>
              </w:rPr>
              <w:t>答：2024年公司成为中国唯一获沙特电力公司SEC和迪拜水电局DEWA认可的实验室，试验报告可直接应用于沙特及阿联酋迪拜项目，极大拓宽了市场准入，提升了品牌影响力。同时，西高院积极参加国际电力展会，与终端用户交流，与TUV莱茵等技术机构合作，推动技术交流。响应国家“一带一路”战略，公司在东南亚、中东等地完成多项检测任务，扩展GOST俄标检测项目，助力国产设备出口。西高院是13个IEC技术委员会对口单位，在国际电工委员会等国际组织中占据重要地位，目前已主持或参与制定89余项涵盖输电、变电及配电领域电气设备的国际标准，显著提升了中国电力装备行业的国际影响力。</w:t>
            </w:r>
          </w:p>
          <w:p w14:paraId="5D99749F">
            <w:pPr>
              <w:ind w:firstLine="480" w:firstLineChars="200"/>
              <w:rPr>
                <w:rFonts w:hint="eastAsia" w:ascii="宋体" w:hAnsi="宋体" w:eastAsia="宋体"/>
                <w:sz w:val="24"/>
                <w:szCs w:val="24"/>
              </w:rPr>
            </w:pPr>
            <w:r>
              <w:rPr>
                <w:rFonts w:hint="eastAsia" w:ascii="宋体" w:hAnsi="宋体" w:eastAsia="宋体"/>
                <w:sz w:val="24"/>
                <w:szCs w:val="24"/>
              </w:rPr>
              <w:t>问题7：公司的募投项目如何助力公司抢占市场先机？</w:t>
            </w:r>
          </w:p>
          <w:p w14:paraId="1A1D479D">
            <w:pPr>
              <w:ind w:firstLine="480" w:firstLineChars="200"/>
              <w:rPr>
                <w:rFonts w:hint="eastAsia" w:ascii="宋体" w:hAnsi="宋体" w:eastAsia="宋体"/>
                <w:sz w:val="24"/>
                <w:szCs w:val="24"/>
              </w:rPr>
            </w:pPr>
            <w:r>
              <w:rPr>
                <w:rFonts w:hint="eastAsia" w:ascii="宋体" w:hAnsi="宋体" w:eastAsia="宋体"/>
                <w:sz w:val="24"/>
                <w:szCs w:val="24"/>
              </w:rPr>
              <w:t>答：绿色电气装备关键技术研究项目：旨在推动绿色电气装备的技术研究与发展，提升公司在该领域的竞争力</w:t>
            </w:r>
            <w:r>
              <w:rPr>
                <w:rFonts w:hint="eastAsia" w:ascii="宋体" w:hAnsi="宋体" w:eastAsia="宋体"/>
                <w:sz w:val="24"/>
                <w:szCs w:val="24"/>
                <w:lang w:eastAsia="zh-CN"/>
              </w:rPr>
              <w:t>；</w:t>
            </w:r>
            <w:r>
              <w:rPr>
                <w:rFonts w:hint="eastAsia" w:ascii="宋体" w:hAnsi="宋体" w:eastAsia="宋体"/>
                <w:sz w:val="24"/>
                <w:szCs w:val="24"/>
              </w:rPr>
              <w:t>输配电装备技术公共服务平台建设项目：旨在构建输配电装备技术公共服务平台，提供技术研发、测试、认证等一站式服务</w:t>
            </w:r>
            <w:r>
              <w:rPr>
                <w:rFonts w:hint="eastAsia" w:ascii="宋体" w:hAnsi="宋体" w:eastAsia="宋体"/>
                <w:sz w:val="24"/>
                <w:szCs w:val="24"/>
                <w:lang w:eastAsia="zh-CN"/>
              </w:rPr>
              <w:t>；</w:t>
            </w:r>
            <w:r>
              <w:rPr>
                <w:rFonts w:hint="eastAsia" w:ascii="宋体" w:hAnsi="宋体" w:eastAsia="宋体"/>
                <w:sz w:val="24"/>
                <w:szCs w:val="24"/>
              </w:rPr>
              <w:t>立足电力系统新型电气装备及新需求检测能力改造提升项目：旨在提升公司对新型电气装备及新需求的检测能力，满足市场不断变化的需求</w:t>
            </w:r>
            <w:r>
              <w:rPr>
                <w:rFonts w:hint="eastAsia" w:ascii="宋体" w:hAnsi="宋体" w:eastAsia="宋体"/>
                <w:sz w:val="24"/>
                <w:szCs w:val="24"/>
                <w:lang w:eastAsia="zh-CN"/>
              </w:rPr>
              <w:t>；</w:t>
            </w:r>
            <w:r>
              <w:rPr>
                <w:rFonts w:hint="eastAsia" w:ascii="宋体" w:hAnsi="宋体" w:eastAsia="宋体"/>
                <w:sz w:val="24"/>
                <w:szCs w:val="24"/>
              </w:rPr>
              <w:t>面向新能源系统的电气装备检测能力建设项目：旨在建设面向新能源系统的电气装备检测能力，适应新能源领域的发展需求</w:t>
            </w:r>
            <w:r>
              <w:rPr>
                <w:rFonts w:hint="eastAsia" w:ascii="宋体" w:hAnsi="宋体" w:eastAsia="宋体"/>
                <w:sz w:val="24"/>
                <w:szCs w:val="24"/>
                <w:lang w:eastAsia="zh-CN"/>
              </w:rPr>
              <w:t>；</w:t>
            </w:r>
            <w:r>
              <w:rPr>
                <w:rFonts w:hint="eastAsia" w:ascii="宋体" w:hAnsi="宋体" w:eastAsia="宋体"/>
                <w:sz w:val="24"/>
                <w:szCs w:val="24"/>
              </w:rPr>
              <w:t>输配电产业先进计量测试创新中心建设项目：旨在建设先进的计量测试创新中心，推动输配电产业的计量测试技术进步</w:t>
            </w:r>
            <w:r>
              <w:rPr>
                <w:rFonts w:hint="eastAsia" w:ascii="宋体" w:hAnsi="宋体" w:eastAsia="宋体"/>
                <w:sz w:val="24"/>
                <w:szCs w:val="24"/>
                <w:lang w:eastAsia="zh-CN"/>
              </w:rPr>
              <w:t>；</w:t>
            </w:r>
            <w:r>
              <w:rPr>
                <w:rFonts w:hint="eastAsia" w:ascii="宋体" w:hAnsi="宋体" w:eastAsia="宋体"/>
                <w:sz w:val="24"/>
                <w:szCs w:val="24"/>
              </w:rPr>
              <w:t>新型环保变压器关键技术研究与检测基地建设（沈阳）项目：旨在研究新型环保变压器的关键技术，并建设检测基地进行产品检测。</w:t>
            </w:r>
          </w:p>
          <w:p w14:paraId="0A19DB2B">
            <w:pPr>
              <w:ind w:firstLine="480" w:firstLineChars="200"/>
              <w:rPr>
                <w:rFonts w:hint="eastAsia" w:ascii="宋体" w:hAnsi="宋体" w:eastAsia="宋体"/>
                <w:sz w:val="24"/>
                <w:szCs w:val="24"/>
              </w:rPr>
            </w:pPr>
            <w:r>
              <w:rPr>
                <w:rFonts w:hint="eastAsia" w:ascii="宋体" w:hAnsi="宋体" w:eastAsia="宋体"/>
                <w:sz w:val="24"/>
                <w:szCs w:val="24"/>
              </w:rPr>
              <w:t>这六个募投项目围绕公司的主营业务和战略发展方向展开，通过技术创新、产品研发、市场拓展和检测基地建设等方面的综合提升，助力公司抢占了市场先机，提升了公司的技术实力、服务能力和市场竞争力。</w:t>
            </w:r>
          </w:p>
        </w:tc>
      </w:tr>
      <w:tr w14:paraId="61B5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80" w:type="dxa"/>
            <w:vAlign w:val="center"/>
          </w:tcPr>
          <w:p w14:paraId="3ACF6405">
            <w:pPr>
              <w:jc w:val="center"/>
              <w:rPr>
                <w:rFonts w:hint="eastAsia" w:ascii="宋体" w:hAnsi="宋体" w:eastAsia="宋体"/>
                <w:b/>
                <w:bCs/>
                <w:sz w:val="24"/>
                <w:szCs w:val="24"/>
              </w:rPr>
            </w:pPr>
            <w:r>
              <w:rPr>
                <w:rFonts w:hint="eastAsia" w:ascii="宋体" w:hAnsi="宋体" w:eastAsia="宋体"/>
                <w:b/>
                <w:bCs/>
                <w:sz w:val="24"/>
                <w:szCs w:val="24"/>
              </w:rPr>
              <w:t>附件清单</w:t>
            </w:r>
          </w:p>
          <w:p w14:paraId="5A25711D">
            <w:pPr>
              <w:jc w:val="center"/>
              <w:rPr>
                <w:rFonts w:hint="eastAsia" w:ascii="宋体" w:hAnsi="宋体" w:eastAsia="宋体"/>
                <w:b/>
                <w:bCs/>
                <w:sz w:val="24"/>
                <w:szCs w:val="24"/>
              </w:rPr>
            </w:pPr>
            <w:r>
              <w:rPr>
                <w:rFonts w:hint="eastAsia" w:ascii="宋体" w:hAnsi="宋体" w:eastAsia="宋体"/>
                <w:b/>
                <w:bCs/>
                <w:sz w:val="24"/>
                <w:szCs w:val="24"/>
              </w:rPr>
              <w:t>（如有）</w:t>
            </w:r>
          </w:p>
        </w:tc>
        <w:tc>
          <w:tcPr>
            <w:tcW w:w="6740" w:type="dxa"/>
            <w:vAlign w:val="center"/>
          </w:tcPr>
          <w:p w14:paraId="26B8CA8C">
            <w:pPr>
              <w:rPr>
                <w:rFonts w:hint="eastAsia" w:ascii="宋体" w:hAnsi="宋体" w:eastAsia="宋体"/>
                <w:sz w:val="24"/>
                <w:szCs w:val="24"/>
              </w:rPr>
            </w:pPr>
            <w:r>
              <w:rPr>
                <w:rFonts w:hint="eastAsia" w:ascii="宋体" w:hAnsi="宋体" w:eastAsia="宋体"/>
                <w:sz w:val="24"/>
                <w:szCs w:val="24"/>
              </w:rPr>
              <w:t>无</w:t>
            </w:r>
          </w:p>
        </w:tc>
      </w:tr>
      <w:tr w14:paraId="5A03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14:paraId="5F6A9563">
            <w:pPr>
              <w:jc w:val="center"/>
              <w:rPr>
                <w:rFonts w:hint="eastAsia" w:ascii="宋体" w:hAnsi="宋体" w:eastAsia="宋体"/>
                <w:b/>
                <w:bCs/>
                <w:sz w:val="24"/>
                <w:szCs w:val="24"/>
              </w:rPr>
            </w:pPr>
            <w:r>
              <w:rPr>
                <w:rFonts w:hint="eastAsia" w:ascii="宋体" w:hAnsi="宋体" w:eastAsia="宋体"/>
                <w:b/>
                <w:bCs/>
                <w:sz w:val="24"/>
                <w:szCs w:val="24"/>
              </w:rPr>
              <w:t>日期</w:t>
            </w:r>
          </w:p>
        </w:tc>
        <w:tc>
          <w:tcPr>
            <w:tcW w:w="6740" w:type="dxa"/>
            <w:vAlign w:val="center"/>
          </w:tcPr>
          <w:p w14:paraId="2F05F448">
            <w:pPr>
              <w:rPr>
                <w:rFonts w:hint="eastAsia" w:ascii="宋体" w:hAnsi="宋体" w:eastAsia="宋体"/>
                <w:sz w:val="24"/>
                <w:szCs w:val="24"/>
              </w:rPr>
            </w:pPr>
            <w:r>
              <w:rPr>
                <w:rFonts w:hint="eastAsia" w:ascii="宋体" w:hAnsi="宋体" w:eastAsia="宋体"/>
                <w:sz w:val="24"/>
                <w:szCs w:val="24"/>
                <w:highlight w:val="none"/>
              </w:rPr>
              <w:t>2</w:t>
            </w:r>
            <w:r>
              <w:rPr>
                <w:rFonts w:ascii="宋体" w:hAnsi="宋体" w:eastAsia="宋体"/>
                <w:sz w:val="24"/>
                <w:szCs w:val="24"/>
                <w:highlight w:val="none"/>
              </w:rPr>
              <w:t>02</w:t>
            </w:r>
            <w:r>
              <w:rPr>
                <w:rFonts w:hint="eastAsia" w:ascii="宋体" w:hAnsi="宋体" w:eastAsia="宋体"/>
                <w:sz w:val="24"/>
                <w:szCs w:val="24"/>
                <w:highlight w:val="none"/>
              </w:rPr>
              <w:t>5年4月</w:t>
            </w:r>
            <w:r>
              <w:rPr>
                <w:rFonts w:hint="eastAsia" w:ascii="宋体" w:hAnsi="宋体" w:eastAsia="宋体"/>
                <w:sz w:val="24"/>
                <w:szCs w:val="24"/>
                <w:highlight w:val="none"/>
                <w:lang w:val="en-US" w:eastAsia="zh-CN"/>
              </w:rPr>
              <w:t>25</w:t>
            </w:r>
            <w:r>
              <w:rPr>
                <w:rFonts w:hint="eastAsia" w:ascii="宋体" w:hAnsi="宋体" w:eastAsia="宋体"/>
                <w:sz w:val="24"/>
                <w:szCs w:val="24"/>
                <w:highlight w:val="none"/>
              </w:rPr>
              <w:t>日</w:t>
            </w:r>
          </w:p>
        </w:tc>
      </w:tr>
      <w:tr w14:paraId="00D3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1980" w:type="dxa"/>
            <w:vAlign w:val="center"/>
          </w:tcPr>
          <w:p w14:paraId="65247C49">
            <w:pPr>
              <w:jc w:val="center"/>
              <w:rPr>
                <w:rFonts w:hint="eastAsia" w:ascii="宋体" w:hAnsi="宋体" w:eastAsia="宋体"/>
                <w:b/>
                <w:bCs/>
                <w:sz w:val="24"/>
                <w:szCs w:val="24"/>
              </w:rPr>
            </w:pPr>
            <w:r>
              <w:rPr>
                <w:rFonts w:hint="eastAsia" w:ascii="宋体" w:hAnsi="宋体" w:eastAsia="宋体"/>
                <w:b/>
                <w:bCs/>
                <w:sz w:val="24"/>
                <w:szCs w:val="24"/>
              </w:rPr>
              <w:t>备注</w:t>
            </w:r>
          </w:p>
        </w:tc>
        <w:tc>
          <w:tcPr>
            <w:tcW w:w="6740" w:type="dxa"/>
            <w:vAlign w:val="center"/>
          </w:tcPr>
          <w:p w14:paraId="77C846A9">
            <w:pPr>
              <w:ind w:firstLine="480" w:firstLineChars="200"/>
              <w:rPr>
                <w:rFonts w:hint="eastAsia" w:ascii="宋体" w:hAnsi="宋体" w:eastAsia="宋体"/>
                <w:sz w:val="24"/>
                <w:szCs w:val="24"/>
              </w:rPr>
            </w:pPr>
            <w:r>
              <w:rPr>
                <w:rFonts w:hint="eastAsia" w:ascii="宋体" w:hAnsi="宋体" w:eastAsia="宋体"/>
                <w:sz w:val="24"/>
                <w:szCs w:val="24"/>
              </w:rPr>
              <w:t>公司与投资者进行了充分的交流与沟通，并严格按照公司《信息披露管理制度》等规定，保证信息披露的真实、准确、完善、及时、公平，没有出现未公开重大信息披露等情况。</w:t>
            </w:r>
          </w:p>
        </w:tc>
      </w:tr>
    </w:tbl>
    <w:p w14:paraId="2C10F54A">
      <w:pPr>
        <w:rPr>
          <w:rFonts w:hint="eastAsia" w:ascii="宋体" w:hAnsi="宋体" w:eastAsia="宋体"/>
          <w:sz w:val="28"/>
          <w:szCs w:val="28"/>
        </w:rPr>
      </w:pPr>
    </w:p>
    <w:sectPr>
      <w:pgSz w:w="11906" w:h="16838"/>
      <w:pgMar w:top="2098" w:right="1588"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JmYjdmYWJlZjU3MTUxN2I5OTkwNWFkNmY4YTZkNmIifQ=="/>
  </w:docVars>
  <w:rsids>
    <w:rsidRoot w:val="00C270E3"/>
    <w:rsid w:val="000046C0"/>
    <w:rsid w:val="00040A4D"/>
    <w:rsid w:val="0005356D"/>
    <w:rsid w:val="00056BF8"/>
    <w:rsid w:val="00114EC2"/>
    <w:rsid w:val="00166EFE"/>
    <w:rsid w:val="00171167"/>
    <w:rsid w:val="00177D31"/>
    <w:rsid w:val="001865C3"/>
    <w:rsid w:val="001D1473"/>
    <w:rsid w:val="00221C5F"/>
    <w:rsid w:val="002461AF"/>
    <w:rsid w:val="00283962"/>
    <w:rsid w:val="00285A86"/>
    <w:rsid w:val="002962AC"/>
    <w:rsid w:val="002C6800"/>
    <w:rsid w:val="003A4E0F"/>
    <w:rsid w:val="003A6336"/>
    <w:rsid w:val="003C0917"/>
    <w:rsid w:val="003D2474"/>
    <w:rsid w:val="003E2E81"/>
    <w:rsid w:val="0040719C"/>
    <w:rsid w:val="00416E60"/>
    <w:rsid w:val="004538E3"/>
    <w:rsid w:val="00472383"/>
    <w:rsid w:val="0048160F"/>
    <w:rsid w:val="004A5EAD"/>
    <w:rsid w:val="004E36FE"/>
    <w:rsid w:val="004E669E"/>
    <w:rsid w:val="004F7731"/>
    <w:rsid w:val="0058556F"/>
    <w:rsid w:val="0059368B"/>
    <w:rsid w:val="005B3284"/>
    <w:rsid w:val="005B615A"/>
    <w:rsid w:val="005D62BE"/>
    <w:rsid w:val="00610C66"/>
    <w:rsid w:val="00610EB4"/>
    <w:rsid w:val="00643CD4"/>
    <w:rsid w:val="0065798B"/>
    <w:rsid w:val="0066380B"/>
    <w:rsid w:val="00692FBB"/>
    <w:rsid w:val="006C7D12"/>
    <w:rsid w:val="006E6D82"/>
    <w:rsid w:val="00716F64"/>
    <w:rsid w:val="00732656"/>
    <w:rsid w:val="0073427C"/>
    <w:rsid w:val="00753105"/>
    <w:rsid w:val="007652EE"/>
    <w:rsid w:val="007A3408"/>
    <w:rsid w:val="007A74E8"/>
    <w:rsid w:val="007B0537"/>
    <w:rsid w:val="007B0FBC"/>
    <w:rsid w:val="007B236F"/>
    <w:rsid w:val="007C110E"/>
    <w:rsid w:val="007E730F"/>
    <w:rsid w:val="007F0CCD"/>
    <w:rsid w:val="00800E21"/>
    <w:rsid w:val="008320C7"/>
    <w:rsid w:val="00835B13"/>
    <w:rsid w:val="008400C0"/>
    <w:rsid w:val="0088426E"/>
    <w:rsid w:val="008C6317"/>
    <w:rsid w:val="008D4151"/>
    <w:rsid w:val="008F1B99"/>
    <w:rsid w:val="008F2465"/>
    <w:rsid w:val="008F763B"/>
    <w:rsid w:val="009304C5"/>
    <w:rsid w:val="00932ED3"/>
    <w:rsid w:val="00940B96"/>
    <w:rsid w:val="0096674D"/>
    <w:rsid w:val="009E7502"/>
    <w:rsid w:val="00A16331"/>
    <w:rsid w:val="00A419D9"/>
    <w:rsid w:val="00A6158B"/>
    <w:rsid w:val="00AB12FF"/>
    <w:rsid w:val="00B06BDA"/>
    <w:rsid w:val="00B209CF"/>
    <w:rsid w:val="00B2783C"/>
    <w:rsid w:val="00BB60ED"/>
    <w:rsid w:val="00BC1298"/>
    <w:rsid w:val="00BC1380"/>
    <w:rsid w:val="00BE5149"/>
    <w:rsid w:val="00C270E3"/>
    <w:rsid w:val="00C31A71"/>
    <w:rsid w:val="00C37BBA"/>
    <w:rsid w:val="00C45A18"/>
    <w:rsid w:val="00C90ECD"/>
    <w:rsid w:val="00CC41C9"/>
    <w:rsid w:val="00CE3C96"/>
    <w:rsid w:val="00D30BFA"/>
    <w:rsid w:val="00D401B1"/>
    <w:rsid w:val="00D62015"/>
    <w:rsid w:val="00DC7531"/>
    <w:rsid w:val="00DF7AF4"/>
    <w:rsid w:val="00E02AC9"/>
    <w:rsid w:val="00E647F3"/>
    <w:rsid w:val="00E83AEA"/>
    <w:rsid w:val="00E91488"/>
    <w:rsid w:val="00E94595"/>
    <w:rsid w:val="00EB42BC"/>
    <w:rsid w:val="00EC39B4"/>
    <w:rsid w:val="00F023D3"/>
    <w:rsid w:val="00F110D5"/>
    <w:rsid w:val="00F231C3"/>
    <w:rsid w:val="00F66890"/>
    <w:rsid w:val="00F875A3"/>
    <w:rsid w:val="00FC186B"/>
    <w:rsid w:val="00FC5F92"/>
    <w:rsid w:val="00FD65CA"/>
    <w:rsid w:val="00FE542C"/>
    <w:rsid w:val="020E6E6E"/>
    <w:rsid w:val="03107D15"/>
    <w:rsid w:val="094979CB"/>
    <w:rsid w:val="098C1D28"/>
    <w:rsid w:val="0A512972"/>
    <w:rsid w:val="0A645335"/>
    <w:rsid w:val="0CBC3962"/>
    <w:rsid w:val="0CDA6DE4"/>
    <w:rsid w:val="0EA10534"/>
    <w:rsid w:val="0FDE952E"/>
    <w:rsid w:val="101B23FC"/>
    <w:rsid w:val="11F631BA"/>
    <w:rsid w:val="12B9646F"/>
    <w:rsid w:val="17F237A3"/>
    <w:rsid w:val="17F73F71"/>
    <w:rsid w:val="17FEBCD0"/>
    <w:rsid w:val="1B4B7A22"/>
    <w:rsid w:val="1BE3F572"/>
    <w:rsid w:val="1C990377"/>
    <w:rsid w:val="1EBD7328"/>
    <w:rsid w:val="22420D90"/>
    <w:rsid w:val="226C48AA"/>
    <w:rsid w:val="233AD8EE"/>
    <w:rsid w:val="23DB2F62"/>
    <w:rsid w:val="24B14E63"/>
    <w:rsid w:val="26C7C0BA"/>
    <w:rsid w:val="26EE3D85"/>
    <w:rsid w:val="2FEF313F"/>
    <w:rsid w:val="30EA3C40"/>
    <w:rsid w:val="33F37E33"/>
    <w:rsid w:val="373C4996"/>
    <w:rsid w:val="374B4FC3"/>
    <w:rsid w:val="3817149D"/>
    <w:rsid w:val="392F635C"/>
    <w:rsid w:val="39944DC2"/>
    <w:rsid w:val="3BDA652C"/>
    <w:rsid w:val="3C44208D"/>
    <w:rsid w:val="3CF659FE"/>
    <w:rsid w:val="3DDB9246"/>
    <w:rsid w:val="3FCE11F8"/>
    <w:rsid w:val="41A437BF"/>
    <w:rsid w:val="4264182A"/>
    <w:rsid w:val="429A1953"/>
    <w:rsid w:val="43973FC6"/>
    <w:rsid w:val="43E91A02"/>
    <w:rsid w:val="441A1CBF"/>
    <w:rsid w:val="44C85ABB"/>
    <w:rsid w:val="47F32DED"/>
    <w:rsid w:val="483B78DD"/>
    <w:rsid w:val="4A721FC1"/>
    <w:rsid w:val="4DA42AB6"/>
    <w:rsid w:val="51EA1DA4"/>
    <w:rsid w:val="52EA42EB"/>
    <w:rsid w:val="54C7533A"/>
    <w:rsid w:val="56FBA0E2"/>
    <w:rsid w:val="594F1212"/>
    <w:rsid w:val="59504660"/>
    <w:rsid w:val="5BED7D49"/>
    <w:rsid w:val="5FFC07EC"/>
    <w:rsid w:val="633DD9E9"/>
    <w:rsid w:val="65CA3C0E"/>
    <w:rsid w:val="65F8742B"/>
    <w:rsid w:val="67523C88"/>
    <w:rsid w:val="67FE63C0"/>
    <w:rsid w:val="68702FE3"/>
    <w:rsid w:val="6A8FE567"/>
    <w:rsid w:val="6B9B71D6"/>
    <w:rsid w:val="6BDB090C"/>
    <w:rsid w:val="6BFF233F"/>
    <w:rsid w:val="6C32D9D9"/>
    <w:rsid w:val="6CC85C91"/>
    <w:rsid w:val="6D3113B3"/>
    <w:rsid w:val="6D511FF0"/>
    <w:rsid w:val="6D5B9298"/>
    <w:rsid w:val="6DC6981E"/>
    <w:rsid w:val="6ED461E0"/>
    <w:rsid w:val="6F97E46F"/>
    <w:rsid w:val="6F9FE491"/>
    <w:rsid w:val="6FBF3981"/>
    <w:rsid w:val="6FD9C051"/>
    <w:rsid w:val="6FDB3796"/>
    <w:rsid w:val="6FDBDDB7"/>
    <w:rsid w:val="6FDF191F"/>
    <w:rsid w:val="70313C65"/>
    <w:rsid w:val="73E7449E"/>
    <w:rsid w:val="74DD3DBD"/>
    <w:rsid w:val="77FF2E67"/>
    <w:rsid w:val="78A13CF9"/>
    <w:rsid w:val="79D933E2"/>
    <w:rsid w:val="7A6F64D1"/>
    <w:rsid w:val="7AFB0B2B"/>
    <w:rsid w:val="7B5E0381"/>
    <w:rsid w:val="7CBD02B6"/>
    <w:rsid w:val="7D3C1C61"/>
    <w:rsid w:val="7DBE5ECE"/>
    <w:rsid w:val="7DC75389"/>
    <w:rsid w:val="7DFDED77"/>
    <w:rsid w:val="7DFE4484"/>
    <w:rsid w:val="7DFFADC4"/>
    <w:rsid w:val="7E2E4C25"/>
    <w:rsid w:val="7E9DDF65"/>
    <w:rsid w:val="7EFF275F"/>
    <w:rsid w:val="7F374830"/>
    <w:rsid w:val="7F4BF67C"/>
    <w:rsid w:val="7F5EBB85"/>
    <w:rsid w:val="7F5F2AE5"/>
    <w:rsid w:val="7F8C7EDD"/>
    <w:rsid w:val="7FDD647D"/>
    <w:rsid w:val="7FE70140"/>
    <w:rsid w:val="7FFB1B21"/>
    <w:rsid w:val="7FFF9D67"/>
    <w:rsid w:val="8BAB36CC"/>
    <w:rsid w:val="94579E40"/>
    <w:rsid w:val="A3FC99E9"/>
    <w:rsid w:val="AB592410"/>
    <w:rsid w:val="AEDB935C"/>
    <w:rsid w:val="B7FD4844"/>
    <w:rsid w:val="B9362737"/>
    <w:rsid w:val="BBF3EFB6"/>
    <w:rsid w:val="BFEF23B2"/>
    <w:rsid w:val="BFFEA71A"/>
    <w:rsid w:val="BFFF2DF2"/>
    <w:rsid w:val="CEEF9EA1"/>
    <w:rsid w:val="CF1F5B7A"/>
    <w:rsid w:val="CFF792DC"/>
    <w:rsid w:val="D1D430E4"/>
    <w:rsid w:val="D23455C0"/>
    <w:rsid w:val="D7D7BD5E"/>
    <w:rsid w:val="DDB4591E"/>
    <w:rsid w:val="DEBFEBFB"/>
    <w:rsid w:val="DFDD9029"/>
    <w:rsid w:val="E7DFEECC"/>
    <w:rsid w:val="EDF6458E"/>
    <w:rsid w:val="EE2F872A"/>
    <w:rsid w:val="EE9F3019"/>
    <w:rsid w:val="EEF7A717"/>
    <w:rsid w:val="EFED7E8B"/>
    <w:rsid w:val="F1FD197F"/>
    <w:rsid w:val="F53FB75E"/>
    <w:rsid w:val="F5EF041C"/>
    <w:rsid w:val="F77E5AFD"/>
    <w:rsid w:val="F7D7312A"/>
    <w:rsid w:val="F7ED148F"/>
    <w:rsid w:val="F7FA8177"/>
    <w:rsid w:val="F7FDAD07"/>
    <w:rsid w:val="F9265E2D"/>
    <w:rsid w:val="FBECE6F8"/>
    <w:rsid w:val="FBF56D41"/>
    <w:rsid w:val="FC7D364C"/>
    <w:rsid w:val="FCFDA416"/>
    <w:rsid w:val="FDAAD324"/>
    <w:rsid w:val="FDAB3B14"/>
    <w:rsid w:val="FDBB1667"/>
    <w:rsid w:val="FDCD8FE3"/>
    <w:rsid w:val="FDEDAE15"/>
    <w:rsid w:val="FDEF5C9D"/>
    <w:rsid w:val="FDF9CB48"/>
    <w:rsid w:val="FE593BE3"/>
    <w:rsid w:val="FF5A6F38"/>
    <w:rsid w:val="FFB460B8"/>
    <w:rsid w:val="FFF6480B"/>
    <w:rsid w:val="FFFF0054"/>
    <w:rsid w:val="FFFFC505"/>
    <w:rsid w:val="FFFFF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annotation subject"/>
    <w:basedOn w:val="2"/>
    <w:next w:val="2"/>
    <w:link w:val="14"/>
    <w:semiHidden/>
    <w:unhideWhenUsed/>
    <w:qFormat/>
    <w:uiPriority w:val="99"/>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table" w:customStyle="1" w:styleId="12">
    <w:name w:val="网格型13"/>
    <w:basedOn w:val="6"/>
    <w:qFormat/>
    <w:uiPriority w:val="39"/>
    <w:pPr>
      <w:widowControl w:val="0"/>
      <w:adjustRightInd w:val="0"/>
      <w:snapToGrid w:val="0"/>
      <w:contextualSpacing/>
      <w:jc w:val="center"/>
    </w:pPr>
    <w:rPr>
      <w:rFonts w:eastAsia="仿宋"/>
    </w:rPr>
    <w:tblPr>
      <w:jc w:val="center"/>
      <w:tblBorders>
        <w:top w:val="double" w:color="auto" w:sz="2" w:space="0"/>
        <w:bottom w:val="double" w:color="auto" w:sz="2" w:space="0"/>
        <w:insideH w:val="single" w:color="auto" w:sz="2" w:space="0"/>
        <w:insideV w:val="single" w:color="auto" w:sz="2" w:space="0"/>
      </w:tblBorders>
    </w:tblPr>
    <w:trPr>
      <w:jc w:val="center"/>
    </w:trPr>
    <w:tcPr>
      <w:vAlign w:val="center"/>
    </w:tcPr>
  </w:style>
  <w:style w:type="character" w:customStyle="1" w:styleId="13">
    <w:name w:val="批注文字 字符"/>
    <w:basedOn w:val="8"/>
    <w:link w:val="2"/>
    <w:qFormat/>
    <w:uiPriority w:val="99"/>
    <w:rPr>
      <w:rFonts w:asciiTheme="minorHAnsi" w:hAnsiTheme="minorHAnsi" w:eastAsiaTheme="minorEastAsia" w:cstheme="minorBidi"/>
      <w:kern w:val="2"/>
      <w:sz w:val="21"/>
      <w:szCs w:val="22"/>
    </w:rPr>
  </w:style>
  <w:style w:type="character" w:customStyle="1" w:styleId="14">
    <w:name w:val="批注主题 字符"/>
    <w:basedOn w:val="13"/>
    <w:link w:val="5"/>
    <w:semiHidden/>
    <w:qFormat/>
    <w:uiPriority w:val="99"/>
    <w:rPr>
      <w:rFonts w:asciiTheme="minorHAnsi" w:hAnsiTheme="minorHAnsi" w:eastAsiaTheme="minorEastAsia" w:cstheme="minorBidi"/>
      <w:b/>
      <w:bCs/>
      <w:kern w:val="2"/>
      <w:sz w:val="21"/>
      <w:szCs w:val="22"/>
    </w:rPr>
  </w:style>
  <w:style w:type="paragraph" w:customStyle="1" w:styleId="15">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2717</Words>
  <Characters>2781</Characters>
  <Lines>24</Lines>
  <Paragraphs>7</Paragraphs>
  <TotalTime>88</TotalTime>
  <ScaleCrop>false</ScaleCrop>
  <LinksUpToDate>false</LinksUpToDate>
  <CharactersWithSpaces>2889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2025-04-25T00:49:00Z</dcterms:created>
  <dc:creator>Li Fan</dc:creator>
  <cp:lastModifiedBy>涵burger</cp:lastModifiedBy>
  <dcterms:modified xsi:type="dcterms:W3CDTF">2025-04-25T06:38:24Z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B532A5A5DB3E483B89F87B166767E421_13</vt:lpwstr>
  </property>
  <property fmtid="{D5CDD505-2E9C-101B-9397-08002B2CF9AE}" pid="4" name="KSOTemplateDocerSaveRecord">
    <vt:lpwstr>eyJoZGlkIjoiZjdiMDUxMzAzY2NlNDM5MzAyODhhYWVlZjNhMTE0MDEiLCJ1c2VySWQiOiIxNTMxOTcwNzI1In0=</vt:lpwstr>
  </property>
</Properties>
</file>