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54"/>
      </w:tblGrid>
      <w:tr w:rsidR="001603E5" w:rsidRPr="00355B69" w14:paraId="50EF5C9E" w14:textId="77777777" w:rsidTr="00564C8B">
        <w:trPr>
          <w:trHeight w:val="1975"/>
          <w:jc w:val="center"/>
        </w:trPr>
        <w:tc>
          <w:tcPr>
            <w:tcW w:w="1413"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954" w:type="dxa"/>
            <w:shd w:val="clear" w:color="auto" w:fill="auto"/>
          </w:tcPr>
          <w:p w14:paraId="7D4BD14E" w14:textId="0F89796C" w:rsidR="00FE7F1E" w:rsidRPr="006664FF" w:rsidRDefault="00F80B51">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2FC8C789" w:rsidR="00FE7F1E" w:rsidRPr="006664FF" w:rsidRDefault="00551BF4">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bookmarkStart w:id="0" w:name="_GoBack"/>
            <w:bookmarkEnd w:id="0"/>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4667EA">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75405655" w:rsidR="00FE7F1E" w:rsidRPr="003451C4" w:rsidRDefault="00CE1991" w:rsidP="00CE1991">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C8376D" w14:paraId="250DE984" w14:textId="77777777" w:rsidTr="00564C8B">
        <w:trPr>
          <w:trHeight w:val="118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9C0F1BE" w14:textId="448D2692" w:rsidR="00C8376D" w:rsidRPr="00C8376D" w:rsidRDefault="00C8376D" w:rsidP="00DF7BA3">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954" w:type="dxa"/>
            <w:tcBorders>
              <w:top w:val="single" w:sz="4" w:space="0" w:color="auto"/>
              <w:left w:val="single" w:sz="4" w:space="0" w:color="auto"/>
              <w:bottom w:val="single" w:sz="4" w:space="0" w:color="auto"/>
              <w:right w:val="single" w:sz="4" w:space="0" w:color="auto"/>
            </w:tcBorders>
            <w:vAlign w:val="center"/>
            <w:hideMark/>
          </w:tcPr>
          <w:tbl>
            <w:tblPr>
              <w:tblW w:w="6610" w:type="dxa"/>
              <w:tblLook w:val="04A0" w:firstRow="1" w:lastRow="0" w:firstColumn="1" w:lastColumn="0" w:noHBand="0" w:noVBand="1"/>
            </w:tblPr>
            <w:tblGrid>
              <w:gridCol w:w="2220"/>
              <w:gridCol w:w="1637"/>
              <w:gridCol w:w="1417"/>
              <w:gridCol w:w="1336"/>
            </w:tblGrid>
            <w:tr w:rsidR="00EC5954" w:rsidRPr="00EC5954" w14:paraId="4528FDC0" w14:textId="77777777" w:rsidTr="00564C8B">
              <w:trPr>
                <w:trHeight w:val="28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B159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BESTON VANTAGE FUND</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14:paraId="594916D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国金证券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FE9BD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钜洲投资</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39AD372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信达澳亚</w:t>
                  </w:r>
                </w:p>
              </w:tc>
            </w:tr>
            <w:tr w:rsidR="00EC5954" w:rsidRPr="00EC5954" w14:paraId="1B082991"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09B85E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Greencourt</w:t>
                  </w:r>
                </w:p>
              </w:tc>
              <w:tc>
                <w:tcPr>
                  <w:tcW w:w="1637" w:type="dxa"/>
                  <w:tcBorders>
                    <w:top w:val="nil"/>
                    <w:left w:val="nil"/>
                    <w:bottom w:val="single" w:sz="4" w:space="0" w:color="auto"/>
                    <w:right w:val="single" w:sz="4" w:space="0" w:color="auto"/>
                  </w:tcBorders>
                  <w:shd w:val="clear" w:color="auto" w:fill="auto"/>
                  <w:noWrap/>
                  <w:vAlign w:val="center"/>
                  <w:hideMark/>
                </w:tcPr>
                <w:p w14:paraId="796C5F2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国联基金</w:t>
                  </w:r>
                </w:p>
              </w:tc>
              <w:tc>
                <w:tcPr>
                  <w:tcW w:w="1417" w:type="dxa"/>
                  <w:tcBorders>
                    <w:top w:val="nil"/>
                    <w:left w:val="nil"/>
                    <w:bottom w:val="single" w:sz="4" w:space="0" w:color="auto"/>
                    <w:right w:val="single" w:sz="4" w:space="0" w:color="auto"/>
                  </w:tcBorders>
                  <w:shd w:val="clear" w:color="auto" w:fill="auto"/>
                  <w:noWrap/>
                  <w:vAlign w:val="center"/>
                  <w:hideMark/>
                </w:tcPr>
                <w:p w14:paraId="4D8C625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凯恩集团</w:t>
                  </w:r>
                </w:p>
              </w:tc>
              <w:tc>
                <w:tcPr>
                  <w:tcW w:w="1336" w:type="dxa"/>
                  <w:tcBorders>
                    <w:top w:val="nil"/>
                    <w:left w:val="nil"/>
                    <w:bottom w:val="single" w:sz="4" w:space="0" w:color="auto"/>
                    <w:right w:val="single" w:sz="4" w:space="0" w:color="auto"/>
                  </w:tcBorders>
                  <w:shd w:val="clear" w:color="auto" w:fill="auto"/>
                  <w:noWrap/>
                  <w:vAlign w:val="center"/>
                  <w:hideMark/>
                </w:tcPr>
                <w:p w14:paraId="1DA6975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信泰人寿</w:t>
                  </w:r>
                </w:p>
              </w:tc>
            </w:tr>
            <w:tr w:rsidR="00EC5954" w:rsidRPr="00EC5954" w14:paraId="4212AD72"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232F4E0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Pinpoint</w:t>
                  </w:r>
                </w:p>
              </w:tc>
              <w:tc>
                <w:tcPr>
                  <w:tcW w:w="1637" w:type="dxa"/>
                  <w:tcBorders>
                    <w:top w:val="nil"/>
                    <w:left w:val="nil"/>
                    <w:bottom w:val="single" w:sz="4" w:space="0" w:color="auto"/>
                    <w:right w:val="single" w:sz="4" w:space="0" w:color="auto"/>
                  </w:tcBorders>
                  <w:shd w:val="clear" w:color="auto" w:fill="auto"/>
                  <w:noWrap/>
                  <w:vAlign w:val="center"/>
                  <w:hideMark/>
                </w:tcPr>
                <w:p w14:paraId="68D259A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国联民生</w:t>
                  </w:r>
                </w:p>
              </w:tc>
              <w:tc>
                <w:tcPr>
                  <w:tcW w:w="1417" w:type="dxa"/>
                  <w:tcBorders>
                    <w:top w:val="nil"/>
                    <w:left w:val="nil"/>
                    <w:bottom w:val="single" w:sz="4" w:space="0" w:color="auto"/>
                    <w:right w:val="single" w:sz="4" w:space="0" w:color="auto"/>
                  </w:tcBorders>
                  <w:shd w:val="clear" w:color="auto" w:fill="auto"/>
                  <w:noWrap/>
                  <w:vAlign w:val="center"/>
                  <w:hideMark/>
                </w:tcPr>
                <w:p w14:paraId="68C580ED"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绿色发展</w:t>
                  </w:r>
                </w:p>
              </w:tc>
              <w:tc>
                <w:tcPr>
                  <w:tcW w:w="1336" w:type="dxa"/>
                  <w:tcBorders>
                    <w:top w:val="nil"/>
                    <w:left w:val="nil"/>
                    <w:bottom w:val="single" w:sz="4" w:space="0" w:color="auto"/>
                    <w:right w:val="single" w:sz="4" w:space="0" w:color="auto"/>
                  </w:tcBorders>
                  <w:shd w:val="clear" w:color="auto" w:fill="auto"/>
                  <w:noWrap/>
                  <w:vAlign w:val="center"/>
                  <w:hideMark/>
                </w:tcPr>
                <w:p w14:paraId="7BF0059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兴全基金</w:t>
                  </w:r>
                </w:p>
              </w:tc>
            </w:tr>
            <w:tr w:rsidR="00EC5954" w:rsidRPr="00EC5954" w14:paraId="14C49DC3"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194CE8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安中投资</w:t>
                  </w:r>
                </w:p>
              </w:tc>
              <w:tc>
                <w:tcPr>
                  <w:tcW w:w="1637" w:type="dxa"/>
                  <w:tcBorders>
                    <w:top w:val="nil"/>
                    <w:left w:val="nil"/>
                    <w:bottom w:val="single" w:sz="4" w:space="0" w:color="auto"/>
                    <w:right w:val="single" w:sz="4" w:space="0" w:color="auto"/>
                  </w:tcBorders>
                  <w:shd w:val="clear" w:color="auto" w:fill="auto"/>
                  <w:noWrap/>
                  <w:vAlign w:val="center"/>
                  <w:hideMark/>
                </w:tcPr>
                <w:p w14:paraId="24C4AC6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国泰基金</w:t>
                  </w:r>
                </w:p>
              </w:tc>
              <w:tc>
                <w:tcPr>
                  <w:tcW w:w="1417" w:type="dxa"/>
                  <w:tcBorders>
                    <w:top w:val="nil"/>
                    <w:left w:val="nil"/>
                    <w:bottom w:val="single" w:sz="4" w:space="0" w:color="auto"/>
                    <w:right w:val="single" w:sz="4" w:space="0" w:color="auto"/>
                  </w:tcBorders>
                  <w:shd w:val="clear" w:color="auto" w:fill="auto"/>
                  <w:noWrap/>
                  <w:vAlign w:val="center"/>
                  <w:hideMark/>
                </w:tcPr>
                <w:p w14:paraId="281783B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马可孛罗至真</w:t>
                  </w:r>
                </w:p>
              </w:tc>
              <w:tc>
                <w:tcPr>
                  <w:tcW w:w="1336" w:type="dxa"/>
                  <w:tcBorders>
                    <w:top w:val="nil"/>
                    <w:left w:val="nil"/>
                    <w:bottom w:val="single" w:sz="4" w:space="0" w:color="auto"/>
                    <w:right w:val="single" w:sz="4" w:space="0" w:color="auto"/>
                  </w:tcBorders>
                  <w:shd w:val="clear" w:color="auto" w:fill="auto"/>
                  <w:noWrap/>
                  <w:vAlign w:val="center"/>
                  <w:hideMark/>
                </w:tcPr>
                <w:p w14:paraId="29253DE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兴业基金</w:t>
                  </w:r>
                </w:p>
              </w:tc>
            </w:tr>
            <w:tr w:rsidR="00EC5954" w:rsidRPr="00EC5954" w14:paraId="3354CC6D"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5E5095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北京泓澄</w:t>
                  </w:r>
                </w:p>
              </w:tc>
              <w:tc>
                <w:tcPr>
                  <w:tcW w:w="1637" w:type="dxa"/>
                  <w:tcBorders>
                    <w:top w:val="nil"/>
                    <w:left w:val="nil"/>
                    <w:bottom w:val="single" w:sz="4" w:space="0" w:color="auto"/>
                    <w:right w:val="single" w:sz="4" w:space="0" w:color="auto"/>
                  </w:tcBorders>
                  <w:shd w:val="clear" w:color="auto" w:fill="auto"/>
                  <w:noWrap/>
                  <w:vAlign w:val="center"/>
                  <w:hideMark/>
                </w:tcPr>
                <w:p w14:paraId="4EA3739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国泰君安</w:t>
                  </w:r>
                </w:p>
              </w:tc>
              <w:tc>
                <w:tcPr>
                  <w:tcW w:w="1417" w:type="dxa"/>
                  <w:tcBorders>
                    <w:top w:val="nil"/>
                    <w:left w:val="nil"/>
                    <w:bottom w:val="single" w:sz="4" w:space="0" w:color="auto"/>
                    <w:right w:val="single" w:sz="4" w:space="0" w:color="auto"/>
                  </w:tcBorders>
                  <w:shd w:val="clear" w:color="auto" w:fill="auto"/>
                  <w:noWrap/>
                  <w:vAlign w:val="center"/>
                  <w:hideMark/>
                </w:tcPr>
                <w:p w14:paraId="6F95674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诺安基金</w:t>
                  </w:r>
                </w:p>
              </w:tc>
              <w:tc>
                <w:tcPr>
                  <w:tcW w:w="1336" w:type="dxa"/>
                  <w:tcBorders>
                    <w:top w:val="nil"/>
                    <w:left w:val="nil"/>
                    <w:bottom w:val="single" w:sz="4" w:space="0" w:color="auto"/>
                    <w:right w:val="single" w:sz="4" w:space="0" w:color="auto"/>
                  </w:tcBorders>
                  <w:shd w:val="clear" w:color="auto" w:fill="auto"/>
                  <w:noWrap/>
                  <w:vAlign w:val="center"/>
                  <w:hideMark/>
                </w:tcPr>
                <w:p w14:paraId="51A7F45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兴业证券</w:t>
                  </w:r>
                </w:p>
              </w:tc>
            </w:tr>
            <w:tr w:rsidR="00EC5954" w:rsidRPr="00EC5954" w14:paraId="4F71BB24"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73334E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北信瑞丰</w:t>
                  </w:r>
                </w:p>
              </w:tc>
              <w:tc>
                <w:tcPr>
                  <w:tcW w:w="1637" w:type="dxa"/>
                  <w:tcBorders>
                    <w:top w:val="nil"/>
                    <w:left w:val="nil"/>
                    <w:bottom w:val="single" w:sz="4" w:space="0" w:color="auto"/>
                    <w:right w:val="single" w:sz="4" w:space="0" w:color="auto"/>
                  </w:tcBorders>
                  <w:shd w:val="clear" w:color="auto" w:fill="auto"/>
                  <w:noWrap/>
                  <w:vAlign w:val="center"/>
                  <w:hideMark/>
                </w:tcPr>
                <w:p w14:paraId="6280A04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国投瑞银</w:t>
                  </w:r>
                </w:p>
              </w:tc>
              <w:tc>
                <w:tcPr>
                  <w:tcW w:w="1417" w:type="dxa"/>
                  <w:tcBorders>
                    <w:top w:val="nil"/>
                    <w:left w:val="nil"/>
                    <w:bottom w:val="single" w:sz="4" w:space="0" w:color="auto"/>
                    <w:right w:val="single" w:sz="4" w:space="0" w:color="auto"/>
                  </w:tcBorders>
                  <w:shd w:val="clear" w:color="auto" w:fill="auto"/>
                  <w:noWrap/>
                  <w:vAlign w:val="center"/>
                  <w:hideMark/>
                </w:tcPr>
                <w:p w14:paraId="7B91F6B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鹏华基金</w:t>
                  </w:r>
                </w:p>
              </w:tc>
              <w:tc>
                <w:tcPr>
                  <w:tcW w:w="1336" w:type="dxa"/>
                  <w:tcBorders>
                    <w:top w:val="nil"/>
                    <w:left w:val="nil"/>
                    <w:bottom w:val="single" w:sz="4" w:space="0" w:color="auto"/>
                    <w:right w:val="single" w:sz="4" w:space="0" w:color="auto"/>
                  </w:tcBorders>
                  <w:shd w:val="clear" w:color="auto" w:fill="auto"/>
                  <w:noWrap/>
                  <w:vAlign w:val="center"/>
                  <w:hideMark/>
                </w:tcPr>
                <w:p w14:paraId="29B2E7C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兴银理财</w:t>
                  </w:r>
                </w:p>
              </w:tc>
            </w:tr>
            <w:tr w:rsidR="00EC5954" w:rsidRPr="00EC5954" w14:paraId="17BB822D"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92540B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博道基金</w:t>
                  </w:r>
                </w:p>
              </w:tc>
              <w:tc>
                <w:tcPr>
                  <w:tcW w:w="1637" w:type="dxa"/>
                  <w:tcBorders>
                    <w:top w:val="nil"/>
                    <w:left w:val="nil"/>
                    <w:bottom w:val="single" w:sz="4" w:space="0" w:color="auto"/>
                    <w:right w:val="single" w:sz="4" w:space="0" w:color="auto"/>
                  </w:tcBorders>
                  <w:shd w:val="clear" w:color="auto" w:fill="auto"/>
                  <w:noWrap/>
                  <w:vAlign w:val="center"/>
                  <w:hideMark/>
                </w:tcPr>
                <w:p w14:paraId="0530E19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国投证券</w:t>
                  </w:r>
                </w:p>
              </w:tc>
              <w:tc>
                <w:tcPr>
                  <w:tcW w:w="1417" w:type="dxa"/>
                  <w:tcBorders>
                    <w:top w:val="nil"/>
                    <w:left w:val="nil"/>
                    <w:bottom w:val="single" w:sz="4" w:space="0" w:color="auto"/>
                    <w:right w:val="single" w:sz="4" w:space="0" w:color="auto"/>
                  </w:tcBorders>
                  <w:shd w:val="clear" w:color="auto" w:fill="auto"/>
                  <w:noWrap/>
                  <w:vAlign w:val="center"/>
                  <w:hideMark/>
                </w:tcPr>
                <w:p w14:paraId="3F4AEBF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平安基金</w:t>
                  </w:r>
                </w:p>
              </w:tc>
              <w:tc>
                <w:tcPr>
                  <w:tcW w:w="1336" w:type="dxa"/>
                  <w:tcBorders>
                    <w:top w:val="nil"/>
                    <w:left w:val="nil"/>
                    <w:bottom w:val="single" w:sz="4" w:space="0" w:color="auto"/>
                    <w:right w:val="single" w:sz="4" w:space="0" w:color="auto"/>
                  </w:tcBorders>
                  <w:shd w:val="clear" w:color="auto" w:fill="auto"/>
                  <w:noWrap/>
                  <w:vAlign w:val="center"/>
                  <w:hideMark/>
                </w:tcPr>
                <w:p w14:paraId="384A5C1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幸福阶乘</w:t>
                  </w:r>
                </w:p>
              </w:tc>
            </w:tr>
            <w:tr w:rsidR="00EC5954" w:rsidRPr="00EC5954" w14:paraId="2D63C3C0"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0F7DA51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博时基金</w:t>
                  </w:r>
                </w:p>
              </w:tc>
              <w:tc>
                <w:tcPr>
                  <w:tcW w:w="1637" w:type="dxa"/>
                  <w:tcBorders>
                    <w:top w:val="nil"/>
                    <w:left w:val="nil"/>
                    <w:bottom w:val="single" w:sz="4" w:space="0" w:color="auto"/>
                    <w:right w:val="single" w:sz="4" w:space="0" w:color="auto"/>
                  </w:tcBorders>
                  <w:shd w:val="clear" w:color="auto" w:fill="auto"/>
                  <w:noWrap/>
                  <w:vAlign w:val="center"/>
                  <w:hideMark/>
                </w:tcPr>
                <w:p w14:paraId="6232DAF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国信证券</w:t>
                  </w:r>
                </w:p>
              </w:tc>
              <w:tc>
                <w:tcPr>
                  <w:tcW w:w="1417" w:type="dxa"/>
                  <w:tcBorders>
                    <w:top w:val="nil"/>
                    <w:left w:val="nil"/>
                    <w:bottom w:val="single" w:sz="4" w:space="0" w:color="auto"/>
                    <w:right w:val="single" w:sz="4" w:space="0" w:color="auto"/>
                  </w:tcBorders>
                  <w:shd w:val="clear" w:color="auto" w:fill="auto"/>
                  <w:noWrap/>
                  <w:vAlign w:val="center"/>
                  <w:hideMark/>
                </w:tcPr>
                <w:p w14:paraId="5407026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平安证券</w:t>
                  </w:r>
                </w:p>
              </w:tc>
              <w:tc>
                <w:tcPr>
                  <w:tcW w:w="1336" w:type="dxa"/>
                  <w:tcBorders>
                    <w:top w:val="nil"/>
                    <w:left w:val="nil"/>
                    <w:bottom w:val="single" w:sz="4" w:space="0" w:color="auto"/>
                    <w:right w:val="single" w:sz="4" w:space="0" w:color="auto"/>
                  </w:tcBorders>
                  <w:shd w:val="clear" w:color="auto" w:fill="auto"/>
                  <w:noWrap/>
                  <w:vAlign w:val="center"/>
                  <w:hideMark/>
                </w:tcPr>
                <w:p w14:paraId="2BF33C7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晓扬科技</w:t>
                  </w:r>
                </w:p>
              </w:tc>
            </w:tr>
            <w:tr w:rsidR="00EC5954" w:rsidRPr="00EC5954" w14:paraId="7C915FA7"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75975C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财通基金</w:t>
                  </w:r>
                </w:p>
              </w:tc>
              <w:tc>
                <w:tcPr>
                  <w:tcW w:w="1637" w:type="dxa"/>
                  <w:tcBorders>
                    <w:top w:val="nil"/>
                    <w:left w:val="nil"/>
                    <w:bottom w:val="single" w:sz="4" w:space="0" w:color="auto"/>
                    <w:right w:val="single" w:sz="4" w:space="0" w:color="auto"/>
                  </w:tcBorders>
                  <w:shd w:val="clear" w:color="auto" w:fill="auto"/>
                  <w:noWrap/>
                  <w:vAlign w:val="center"/>
                  <w:hideMark/>
                </w:tcPr>
                <w:p w14:paraId="6E07B1F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国信自营</w:t>
                  </w:r>
                </w:p>
              </w:tc>
              <w:tc>
                <w:tcPr>
                  <w:tcW w:w="1417" w:type="dxa"/>
                  <w:tcBorders>
                    <w:top w:val="nil"/>
                    <w:left w:val="nil"/>
                    <w:bottom w:val="single" w:sz="4" w:space="0" w:color="auto"/>
                    <w:right w:val="single" w:sz="4" w:space="0" w:color="auto"/>
                  </w:tcBorders>
                  <w:shd w:val="clear" w:color="auto" w:fill="auto"/>
                  <w:noWrap/>
                  <w:vAlign w:val="center"/>
                  <w:hideMark/>
                </w:tcPr>
                <w:p w14:paraId="384297A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平安资产</w:t>
                  </w:r>
                </w:p>
              </w:tc>
              <w:tc>
                <w:tcPr>
                  <w:tcW w:w="1336" w:type="dxa"/>
                  <w:tcBorders>
                    <w:top w:val="nil"/>
                    <w:left w:val="nil"/>
                    <w:bottom w:val="single" w:sz="4" w:space="0" w:color="auto"/>
                    <w:right w:val="single" w:sz="4" w:space="0" w:color="auto"/>
                  </w:tcBorders>
                  <w:shd w:val="clear" w:color="auto" w:fill="auto"/>
                  <w:noWrap/>
                  <w:vAlign w:val="center"/>
                  <w:hideMark/>
                </w:tcPr>
                <w:p w14:paraId="6DC0127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玄卜投资</w:t>
                  </w:r>
                </w:p>
              </w:tc>
            </w:tr>
            <w:tr w:rsidR="00EC5954" w:rsidRPr="00EC5954" w14:paraId="56800451"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00F96C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财通证券</w:t>
                  </w:r>
                </w:p>
              </w:tc>
              <w:tc>
                <w:tcPr>
                  <w:tcW w:w="1637" w:type="dxa"/>
                  <w:tcBorders>
                    <w:top w:val="nil"/>
                    <w:left w:val="nil"/>
                    <w:bottom w:val="single" w:sz="4" w:space="0" w:color="auto"/>
                    <w:right w:val="single" w:sz="4" w:space="0" w:color="auto"/>
                  </w:tcBorders>
                  <w:shd w:val="clear" w:color="auto" w:fill="auto"/>
                  <w:noWrap/>
                  <w:vAlign w:val="center"/>
                  <w:hideMark/>
                </w:tcPr>
                <w:p w14:paraId="21176B8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果行育德</w:t>
                  </w:r>
                </w:p>
              </w:tc>
              <w:tc>
                <w:tcPr>
                  <w:tcW w:w="1417" w:type="dxa"/>
                  <w:tcBorders>
                    <w:top w:val="nil"/>
                    <w:left w:val="nil"/>
                    <w:bottom w:val="single" w:sz="4" w:space="0" w:color="auto"/>
                    <w:right w:val="single" w:sz="4" w:space="0" w:color="auto"/>
                  </w:tcBorders>
                  <w:shd w:val="clear" w:color="auto" w:fill="auto"/>
                  <w:noWrap/>
                  <w:vAlign w:val="center"/>
                  <w:hideMark/>
                </w:tcPr>
                <w:p w14:paraId="1A84751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浦银安盛</w:t>
                  </w:r>
                </w:p>
              </w:tc>
              <w:tc>
                <w:tcPr>
                  <w:tcW w:w="1336" w:type="dxa"/>
                  <w:tcBorders>
                    <w:top w:val="nil"/>
                    <w:left w:val="nil"/>
                    <w:bottom w:val="single" w:sz="4" w:space="0" w:color="auto"/>
                    <w:right w:val="single" w:sz="4" w:space="0" w:color="auto"/>
                  </w:tcBorders>
                  <w:shd w:val="clear" w:color="auto" w:fill="auto"/>
                  <w:noWrap/>
                  <w:vAlign w:val="center"/>
                  <w:hideMark/>
                </w:tcPr>
                <w:p w14:paraId="668D519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循远资产</w:t>
                  </w:r>
                </w:p>
              </w:tc>
            </w:tr>
            <w:tr w:rsidR="00EC5954" w:rsidRPr="00EC5954" w14:paraId="1580030F"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083277F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财通资管</w:t>
                  </w:r>
                </w:p>
              </w:tc>
              <w:tc>
                <w:tcPr>
                  <w:tcW w:w="1637" w:type="dxa"/>
                  <w:tcBorders>
                    <w:top w:val="nil"/>
                    <w:left w:val="nil"/>
                    <w:bottom w:val="single" w:sz="4" w:space="0" w:color="auto"/>
                    <w:right w:val="single" w:sz="4" w:space="0" w:color="auto"/>
                  </w:tcBorders>
                  <w:shd w:val="clear" w:color="auto" w:fill="auto"/>
                  <w:noWrap/>
                  <w:vAlign w:val="center"/>
                  <w:hideMark/>
                </w:tcPr>
                <w:p w14:paraId="132FE3D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海富通</w:t>
                  </w:r>
                </w:p>
              </w:tc>
              <w:tc>
                <w:tcPr>
                  <w:tcW w:w="1417" w:type="dxa"/>
                  <w:tcBorders>
                    <w:top w:val="nil"/>
                    <w:left w:val="nil"/>
                    <w:bottom w:val="single" w:sz="4" w:space="0" w:color="auto"/>
                    <w:right w:val="single" w:sz="4" w:space="0" w:color="auto"/>
                  </w:tcBorders>
                  <w:shd w:val="clear" w:color="auto" w:fill="auto"/>
                  <w:noWrap/>
                  <w:vAlign w:val="center"/>
                  <w:hideMark/>
                </w:tcPr>
                <w:p w14:paraId="2F457F8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瀑布资产</w:t>
                  </w:r>
                </w:p>
              </w:tc>
              <w:tc>
                <w:tcPr>
                  <w:tcW w:w="1336" w:type="dxa"/>
                  <w:tcBorders>
                    <w:top w:val="nil"/>
                    <w:left w:val="nil"/>
                    <w:bottom w:val="single" w:sz="4" w:space="0" w:color="auto"/>
                    <w:right w:val="single" w:sz="4" w:space="0" w:color="auto"/>
                  </w:tcBorders>
                  <w:shd w:val="clear" w:color="auto" w:fill="auto"/>
                  <w:noWrap/>
                  <w:vAlign w:val="center"/>
                  <w:hideMark/>
                </w:tcPr>
                <w:p w14:paraId="183A73F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易川资产</w:t>
                  </w:r>
                </w:p>
              </w:tc>
            </w:tr>
            <w:tr w:rsidR="00EC5954" w:rsidRPr="00EC5954" w14:paraId="6AE2ECF8"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B0203A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长城财富</w:t>
                  </w:r>
                </w:p>
              </w:tc>
              <w:tc>
                <w:tcPr>
                  <w:tcW w:w="1637" w:type="dxa"/>
                  <w:tcBorders>
                    <w:top w:val="nil"/>
                    <w:left w:val="nil"/>
                    <w:bottom w:val="single" w:sz="4" w:space="0" w:color="auto"/>
                    <w:right w:val="single" w:sz="4" w:space="0" w:color="auto"/>
                  </w:tcBorders>
                  <w:shd w:val="clear" w:color="auto" w:fill="auto"/>
                  <w:noWrap/>
                  <w:vAlign w:val="center"/>
                  <w:hideMark/>
                </w:tcPr>
                <w:p w14:paraId="475225A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海通证券</w:t>
                  </w:r>
                </w:p>
              </w:tc>
              <w:tc>
                <w:tcPr>
                  <w:tcW w:w="1417" w:type="dxa"/>
                  <w:tcBorders>
                    <w:top w:val="nil"/>
                    <w:left w:val="nil"/>
                    <w:bottom w:val="single" w:sz="4" w:space="0" w:color="auto"/>
                    <w:right w:val="single" w:sz="4" w:space="0" w:color="auto"/>
                  </w:tcBorders>
                  <w:shd w:val="clear" w:color="auto" w:fill="auto"/>
                  <w:noWrap/>
                  <w:vAlign w:val="center"/>
                  <w:hideMark/>
                </w:tcPr>
                <w:p w14:paraId="357A924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前海富喜</w:t>
                  </w:r>
                </w:p>
              </w:tc>
              <w:tc>
                <w:tcPr>
                  <w:tcW w:w="1336" w:type="dxa"/>
                  <w:tcBorders>
                    <w:top w:val="nil"/>
                    <w:left w:val="nil"/>
                    <w:bottom w:val="single" w:sz="4" w:space="0" w:color="auto"/>
                    <w:right w:val="single" w:sz="4" w:space="0" w:color="auto"/>
                  </w:tcBorders>
                  <w:shd w:val="clear" w:color="auto" w:fill="auto"/>
                  <w:noWrap/>
                  <w:vAlign w:val="center"/>
                  <w:hideMark/>
                </w:tcPr>
                <w:p w14:paraId="3A4B03F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易方达</w:t>
                  </w:r>
                </w:p>
              </w:tc>
            </w:tr>
            <w:tr w:rsidR="00EC5954" w:rsidRPr="00EC5954" w14:paraId="19F6E70E"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1EA9DDA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长城证券</w:t>
                  </w:r>
                </w:p>
              </w:tc>
              <w:tc>
                <w:tcPr>
                  <w:tcW w:w="1637" w:type="dxa"/>
                  <w:tcBorders>
                    <w:top w:val="nil"/>
                    <w:left w:val="nil"/>
                    <w:bottom w:val="single" w:sz="4" w:space="0" w:color="auto"/>
                    <w:right w:val="single" w:sz="4" w:space="0" w:color="auto"/>
                  </w:tcBorders>
                  <w:shd w:val="clear" w:color="auto" w:fill="auto"/>
                  <w:noWrap/>
                  <w:vAlign w:val="center"/>
                  <w:hideMark/>
                </w:tcPr>
                <w:p w14:paraId="75AA322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杭州玖龙</w:t>
                  </w:r>
                </w:p>
              </w:tc>
              <w:tc>
                <w:tcPr>
                  <w:tcW w:w="1417" w:type="dxa"/>
                  <w:tcBorders>
                    <w:top w:val="nil"/>
                    <w:left w:val="nil"/>
                    <w:bottom w:val="single" w:sz="4" w:space="0" w:color="auto"/>
                    <w:right w:val="single" w:sz="4" w:space="0" w:color="auto"/>
                  </w:tcBorders>
                  <w:shd w:val="clear" w:color="auto" w:fill="auto"/>
                  <w:noWrap/>
                  <w:vAlign w:val="center"/>
                  <w:hideMark/>
                </w:tcPr>
                <w:p w14:paraId="1D52E91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前海锐意</w:t>
                  </w:r>
                </w:p>
              </w:tc>
              <w:tc>
                <w:tcPr>
                  <w:tcW w:w="1336" w:type="dxa"/>
                  <w:tcBorders>
                    <w:top w:val="nil"/>
                    <w:left w:val="nil"/>
                    <w:bottom w:val="single" w:sz="4" w:space="0" w:color="auto"/>
                    <w:right w:val="single" w:sz="4" w:space="0" w:color="auto"/>
                  </w:tcBorders>
                  <w:shd w:val="clear" w:color="auto" w:fill="auto"/>
                  <w:noWrap/>
                  <w:vAlign w:val="center"/>
                  <w:hideMark/>
                </w:tcPr>
                <w:p w14:paraId="10C613E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永赢基金</w:t>
                  </w:r>
                </w:p>
              </w:tc>
            </w:tr>
            <w:tr w:rsidR="00EC5954" w:rsidRPr="00EC5954" w14:paraId="6C818D92"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300ABEE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长江证券</w:t>
                  </w:r>
                </w:p>
              </w:tc>
              <w:tc>
                <w:tcPr>
                  <w:tcW w:w="1637" w:type="dxa"/>
                  <w:tcBorders>
                    <w:top w:val="nil"/>
                    <w:left w:val="nil"/>
                    <w:bottom w:val="single" w:sz="4" w:space="0" w:color="auto"/>
                    <w:right w:val="single" w:sz="4" w:space="0" w:color="auto"/>
                  </w:tcBorders>
                  <w:shd w:val="clear" w:color="auto" w:fill="auto"/>
                  <w:noWrap/>
                  <w:vAlign w:val="center"/>
                  <w:hideMark/>
                </w:tcPr>
                <w:p w14:paraId="274A945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浩成资产</w:t>
                  </w:r>
                </w:p>
              </w:tc>
              <w:tc>
                <w:tcPr>
                  <w:tcW w:w="1417" w:type="dxa"/>
                  <w:tcBorders>
                    <w:top w:val="nil"/>
                    <w:left w:val="nil"/>
                    <w:bottom w:val="single" w:sz="4" w:space="0" w:color="auto"/>
                    <w:right w:val="single" w:sz="4" w:space="0" w:color="auto"/>
                  </w:tcBorders>
                  <w:shd w:val="clear" w:color="auto" w:fill="auto"/>
                  <w:noWrap/>
                  <w:vAlign w:val="center"/>
                  <w:hideMark/>
                </w:tcPr>
                <w:p w14:paraId="7328863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山西证券</w:t>
                  </w:r>
                </w:p>
              </w:tc>
              <w:tc>
                <w:tcPr>
                  <w:tcW w:w="1336" w:type="dxa"/>
                  <w:tcBorders>
                    <w:top w:val="nil"/>
                    <w:left w:val="nil"/>
                    <w:bottom w:val="single" w:sz="4" w:space="0" w:color="auto"/>
                    <w:right w:val="single" w:sz="4" w:space="0" w:color="auto"/>
                  </w:tcBorders>
                  <w:shd w:val="clear" w:color="auto" w:fill="auto"/>
                  <w:noWrap/>
                  <w:vAlign w:val="center"/>
                  <w:hideMark/>
                </w:tcPr>
                <w:p w14:paraId="74B2054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甬兴证券</w:t>
                  </w:r>
                </w:p>
              </w:tc>
            </w:tr>
            <w:tr w:rsidR="00EC5954" w:rsidRPr="00EC5954" w14:paraId="746569F6"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412101F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长信基金</w:t>
                  </w:r>
                </w:p>
              </w:tc>
              <w:tc>
                <w:tcPr>
                  <w:tcW w:w="1637" w:type="dxa"/>
                  <w:tcBorders>
                    <w:top w:val="nil"/>
                    <w:left w:val="nil"/>
                    <w:bottom w:val="single" w:sz="4" w:space="0" w:color="auto"/>
                    <w:right w:val="single" w:sz="4" w:space="0" w:color="auto"/>
                  </w:tcBorders>
                  <w:shd w:val="clear" w:color="auto" w:fill="auto"/>
                  <w:noWrap/>
                  <w:vAlign w:val="center"/>
                  <w:hideMark/>
                </w:tcPr>
                <w:p w14:paraId="2A55382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红石榴</w:t>
                  </w:r>
                </w:p>
              </w:tc>
              <w:tc>
                <w:tcPr>
                  <w:tcW w:w="1417" w:type="dxa"/>
                  <w:tcBorders>
                    <w:top w:val="nil"/>
                    <w:left w:val="nil"/>
                    <w:bottom w:val="single" w:sz="4" w:space="0" w:color="auto"/>
                    <w:right w:val="single" w:sz="4" w:space="0" w:color="auto"/>
                  </w:tcBorders>
                  <w:shd w:val="clear" w:color="auto" w:fill="auto"/>
                  <w:noWrap/>
                  <w:vAlign w:val="center"/>
                  <w:hideMark/>
                </w:tcPr>
                <w:p w14:paraId="2258C8D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上海从容</w:t>
                  </w:r>
                </w:p>
              </w:tc>
              <w:tc>
                <w:tcPr>
                  <w:tcW w:w="1336" w:type="dxa"/>
                  <w:tcBorders>
                    <w:top w:val="nil"/>
                    <w:left w:val="nil"/>
                    <w:bottom w:val="single" w:sz="4" w:space="0" w:color="auto"/>
                    <w:right w:val="single" w:sz="4" w:space="0" w:color="auto"/>
                  </w:tcBorders>
                  <w:shd w:val="clear" w:color="auto" w:fill="auto"/>
                  <w:noWrap/>
                  <w:vAlign w:val="center"/>
                  <w:hideMark/>
                </w:tcPr>
                <w:p w14:paraId="431E170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誉辉资本</w:t>
                  </w:r>
                </w:p>
              </w:tc>
            </w:tr>
            <w:tr w:rsidR="00EC5954" w:rsidRPr="00EC5954" w14:paraId="67CAAAC0"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19EF21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重阳投资</w:t>
                  </w:r>
                </w:p>
              </w:tc>
              <w:tc>
                <w:tcPr>
                  <w:tcW w:w="1637" w:type="dxa"/>
                  <w:tcBorders>
                    <w:top w:val="nil"/>
                    <w:left w:val="nil"/>
                    <w:bottom w:val="single" w:sz="4" w:space="0" w:color="auto"/>
                    <w:right w:val="single" w:sz="4" w:space="0" w:color="auto"/>
                  </w:tcBorders>
                  <w:shd w:val="clear" w:color="auto" w:fill="auto"/>
                  <w:noWrap/>
                  <w:vAlign w:val="center"/>
                  <w:hideMark/>
                </w:tcPr>
                <w:p w14:paraId="79BA093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泓德基金</w:t>
                  </w:r>
                </w:p>
              </w:tc>
              <w:tc>
                <w:tcPr>
                  <w:tcW w:w="1417" w:type="dxa"/>
                  <w:tcBorders>
                    <w:top w:val="nil"/>
                    <w:left w:val="nil"/>
                    <w:bottom w:val="single" w:sz="4" w:space="0" w:color="auto"/>
                    <w:right w:val="single" w:sz="4" w:space="0" w:color="auto"/>
                  </w:tcBorders>
                  <w:shd w:val="clear" w:color="auto" w:fill="auto"/>
                  <w:noWrap/>
                  <w:vAlign w:val="center"/>
                  <w:hideMark/>
                </w:tcPr>
                <w:p w14:paraId="71013B8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上海方物</w:t>
                  </w:r>
                </w:p>
              </w:tc>
              <w:tc>
                <w:tcPr>
                  <w:tcW w:w="1336" w:type="dxa"/>
                  <w:tcBorders>
                    <w:top w:val="nil"/>
                    <w:left w:val="nil"/>
                    <w:bottom w:val="single" w:sz="4" w:space="0" w:color="auto"/>
                    <w:right w:val="single" w:sz="4" w:space="0" w:color="auto"/>
                  </w:tcBorders>
                  <w:shd w:val="clear" w:color="auto" w:fill="auto"/>
                  <w:noWrap/>
                  <w:vAlign w:val="center"/>
                  <w:hideMark/>
                </w:tcPr>
                <w:p w14:paraId="5754B5A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原点资产</w:t>
                  </w:r>
                </w:p>
              </w:tc>
            </w:tr>
            <w:tr w:rsidR="00EC5954" w:rsidRPr="00EC5954" w14:paraId="74132327"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505801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创华投资</w:t>
                  </w:r>
                </w:p>
              </w:tc>
              <w:tc>
                <w:tcPr>
                  <w:tcW w:w="1637" w:type="dxa"/>
                  <w:tcBorders>
                    <w:top w:val="nil"/>
                    <w:left w:val="nil"/>
                    <w:bottom w:val="single" w:sz="4" w:space="0" w:color="auto"/>
                    <w:right w:val="single" w:sz="4" w:space="0" w:color="auto"/>
                  </w:tcBorders>
                  <w:shd w:val="clear" w:color="auto" w:fill="auto"/>
                  <w:noWrap/>
                  <w:vAlign w:val="center"/>
                  <w:hideMark/>
                </w:tcPr>
                <w:p w14:paraId="1F0F9AE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鸿竹资产</w:t>
                  </w:r>
                </w:p>
              </w:tc>
              <w:tc>
                <w:tcPr>
                  <w:tcW w:w="1417" w:type="dxa"/>
                  <w:tcBorders>
                    <w:top w:val="nil"/>
                    <w:left w:val="nil"/>
                    <w:bottom w:val="single" w:sz="4" w:space="0" w:color="auto"/>
                    <w:right w:val="single" w:sz="4" w:space="0" w:color="auto"/>
                  </w:tcBorders>
                  <w:shd w:val="clear" w:color="auto" w:fill="auto"/>
                  <w:noWrap/>
                  <w:vAlign w:val="center"/>
                  <w:hideMark/>
                </w:tcPr>
                <w:p w14:paraId="34B600E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上海瀚伦</w:t>
                  </w:r>
                </w:p>
              </w:tc>
              <w:tc>
                <w:tcPr>
                  <w:tcW w:w="1336" w:type="dxa"/>
                  <w:tcBorders>
                    <w:top w:val="nil"/>
                    <w:left w:val="nil"/>
                    <w:bottom w:val="single" w:sz="4" w:space="0" w:color="auto"/>
                    <w:right w:val="single" w:sz="4" w:space="0" w:color="auto"/>
                  </w:tcBorders>
                  <w:shd w:val="clear" w:color="auto" w:fill="auto"/>
                  <w:noWrap/>
                  <w:vAlign w:val="center"/>
                  <w:hideMark/>
                </w:tcPr>
                <w:p w14:paraId="454E9E1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云禧投资</w:t>
                  </w:r>
                </w:p>
              </w:tc>
            </w:tr>
            <w:tr w:rsidR="00EC5954" w:rsidRPr="00EC5954" w14:paraId="3B2C091A"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1D3890B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创金合信</w:t>
                  </w:r>
                </w:p>
              </w:tc>
              <w:tc>
                <w:tcPr>
                  <w:tcW w:w="1637" w:type="dxa"/>
                  <w:tcBorders>
                    <w:top w:val="nil"/>
                    <w:left w:val="nil"/>
                    <w:bottom w:val="single" w:sz="4" w:space="0" w:color="auto"/>
                    <w:right w:val="single" w:sz="4" w:space="0" w:color="auto"/>
                  </w:tcBorders>
                  <w:shd w:val="clear" w:color="auto" w:fill="auto"/>
                  <w:noWrap/>
                  <w:vAlign w:val="center"/>
                  <w:hideMark/>
                </w:tcPr>
                <w:p w14:paraId="1E14BEE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华安证券</w:t>
                  </w:r>
                </w:p>
              </w:tc>
              <w:tc>
                <w:tcPr>
                  <w:tcW w:w="1417" w:type="dxa"/>
                  <w:tcBorders>
                    <w:top w:val="nil"/>
                    <w:left w:val="nil"/>
                    <w:bottom w:val="single" w:sz="4" w:space="0" w:color="auto"/>
                    <w:right w:val="single" w:sz="4" w:space="0" w:color="auto"/>
                  </w:tcBorders>
                  <w:shd w:val="clear" w:color="auto" w:fill="auto"/>
                  <w:noWrap/>
                  <w:vAlign w:val="center"/>
                  <w:hideMark/>
                </w:tcPr>
                <w:p w14:paraId="1CED935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上海季胜</w:t>
                  </w:r>
                </w:p>
              </w:tc>
              <w:tc>
                <w:tcPr>
                  <w:tcW w:w="1336" w:type="dxa"/>
                  <w:tcBorders>
                    <w:top w:val="nil"/>
                    <w:left w:val="nil"/>
                    <w:bottom w:val="single" w:sz="4" w:space="0" w:color="auto"/>
                    <w:right w:val="single" w:sz="4" w:space="0" w:color="auto"/>
                  </w:tcBorders>
                  <w:shd w:val="clear" w:color="auto" w:fill="auto"/>
                  <w:noWrap/>
                  <w:vAlign w:val="center"/>
                  <w:hideMark/>
                </w:tcPr>
                <w:p w14:paraId="613B4DF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招商基金</w:t>
                  </w:r>
                </w:p>
              </w:tc>
            </w:tr>
            <w:tr w:rsidR="00EC5954" w:rsidRPr="00EC5954" w14:paraId="7D03046A"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2365FFA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淳厚基金</w:t>
                  </w:r>
                </w:p>
              </w:tc>
              <w:tc>
                <w:tcPr>
                  <w:tcW w:w="1637" w:type="dxa"/>
                  <w:tcBorders>
                    <w:top w:val="nil"/>
                    <w:left w:val="nil"/>
                    <w:bottom w:val="single" w:sz="4" w:space="0" w:color="auto"/>
                    <w:right w:val="single" w:sz="4" w:space="0" w:color="auto"/>
                  </w:tcBorders>
                  <w:shd w:val="clear" w:color="auto" w:fill="auto"/>
                  <w:noWrap/>
                  <w:vAlign w:val="center"/>
                  <w:hideMark/>
                </w:tcPr>
                <w:p w14:paraId="1B0CFE3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华创证券</w:t>
                  </w:r>
                </w:p>
              </w:tc>
              <w:tc>
                <w:tcPr>
                  <w:tcW w:w="1417" w:type="dxa"/>
                  <w:tcBorders>
                    <w:top w:val="nil"/>
                    <w:left w:val="nil"/>
                    <w:bottom w:val="single" w:sz="4" w:space="0" w:color="auto"/>
                    <w:right w:val="single" w:sz="4" w:space="0" w:color="auto"/>
                  </w:tcBorders>
                  <w:shd w:val="clear" w:color="auto" w:fill="auto"/>
                  <w:noWrap/>
                  <w:vAlign w:val="center"/>
                  <w:hideMark/>
                </w:tcPr>
                <w:p w14:paraId="5C8129F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上海景领</w:t>
                  </w:r>
                </w:p>
              </w:tc>
              <w:tc>
                <w:tcPr>
                  <w:tcW w:w="1336" w:type="dxa"/>
                  <w:tcBorders>
                    <w:top w:val="nil"/>
                    <w:left w:val="nil"/>
                    <w:bottom w:val="single" w:sz="4" w:space="0" w:color="auto"/>
                    <w:right w:val="single" w:sz="4" w:space="0" w:color="auto"/>
                  </w:tcBorders>
                  <w:shd w:val="clear" w:color="auto" w:fill="auto"/>
                  <w:noWrap/>
                  <w:vAlign w:val="center"/>
                  <w:hideMark/>
                </w:tcPr>
                <w:p w14:paraId="6233EC7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招商证券</w:t>
                  </w:r>
                </w:p>
              </w:tc>
            </w:tr>
            <w:tr w:rsidR="00EC5954" w:rsidRPr="00EC5954" w14:paraId="6F67A8BC"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7CD546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大家资产</w:t>
                  </w:r>
                </w:p>
              </w:tc>
              <w:tc>
                <w:tcPr>
                  <w:tcW w:w="1637" w:type="dxa"/>
                  <w:tcBorders>
                    <w:top w:val="nil"/>
                    <w:left w:val="nil"/>
                    <w:bottom w:val="single" w:sz="4" w:space="0" w:color="auto"/>
                    <w:right w:val="single" w:sz="4" w:space="0" w:color="auto"/>
                  </w:tcBorders>
                  <w:shd w:val="clear" w:color="auto" w:fill="auto"/>
                  <w:noWrap/>
                  <w:vAlign w:val="center"/>
                  <w:hideMark/>
                </w:tcPr>
                <w:p w14:paraId="1B2B39CD"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华创资管</w:t>
                  </w:r>
                </w:p>
              </w:tc>
              <w:tc>
                <w:tcPr>
                  <w:tcW w:w="1417" w:type="dxa"/>
                  <w:tcBorders>
                    <w:top w:val="nil"/>
                    <w:left w:val="nil"/>
                    <w:bottom w:val="single" w:sz="4" w:space="0" w:color="auto"/>
                    <w:right w:val="single" w:sz="4" w:space="0" w:color="auto"/>
                  </w:tcBorders>
                  <w:shd w:val="clear" w:color="auto" w:fill="auto"/>
                  <w:noWrap/>
                  <w:vAlign w:val="center"/>
                  <w:hideMark/>
                </w:tcPr>
                <w:p w14:paraId="64552D3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上海钦沐</w:t>
                  </w:r>
                </w:p>
              </w:tc>
              <w:tc>
                <w:tcPr>
                  <w:tcW w:w="1336" w:type="dxa"/>
                  <w:tcBorders>
                    <w:top w:val="nil"/>
                    <w:left w:val="nil"/>
                    <w:bottom w:val="single" w:sz="4" w:space="0" w:color="auto"/>
                    <w:right w:val="single" w:sz="4" w:space="0" w:color="auto"/>
                  </w:tcBorders>
                  <w:shd w:val="clear" w:color="auto" w:fill="auto"/>
                  <w:noWrap/>
                  <w:vAlign w:val="center"/>
                  <w:hideMark/>
                </w:tcPr>
                <w:p w14:paraId="32B546B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招银理财</w:t>
                  </w:r>
                </w:p>
              </w:tc>
            </w:tr>
            <w:tr w:rsidR="00EC5954" w:rsidRPr="00EC5954" w14:paraId="42E80F9F"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6C1199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东北证券</w:t>
                  </w:r>
                </w:p>
              </w:tc>
              <w:tc>
                <w:tcPr>
                  <w:tcW w:w="1637" w:type="dxa"/>
                  <w:tcBorders>
                    <w:top w:val="nil"/>
                    <w:left w:val="nil"/>
                    <w:bottom w:val="single" w:sz="4" w:space="0" w:color="auto"/>
                    <w:right w:val="single" w:sz="4" w:space="0" w:color="auto"/>
                  </w:tcBorders>
                  <w:shd w:val="clear" w:color="auto" w:fill="auto"/>
                  <w:noWrap/>
                  <w:vAlign w:val="center"/>
                  <w:hideMark/>
                </w:tcPr>
                <w:p w14:paraId="68FFF29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华金证券</w:t>
                  </w:r>
                </w:p>
              </w:tc>
              <w:tc>
                <w:tcPr>
                  <w:tcW w:w="1417" w:type="dxa"/>
                  <w:tcBorders>
                    <w:top w:val="nil"/>
                    <w:left w:val="nil"/>
                    <w:bottom w:val="single" w:sz="4" w:space="0" w:color="auto"/>
                    <w:right w:val="single" w:sz="4" w:space="0" w:color="auto"/>
                  </w:tcBorders>
                  <w:shd w:val="clear" w:color="auto" w:fill="auto"/>
                  <w:noWrap/>
                  <w:vAlign w:val="center"/>
                  <w:hideMark/>
                </w:tcPr>
                <w:p w14:paraId="3E0AC6B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上海彤源</w:t>
                  </w:r>
                </w:p>
              </w:tc>
              <w:tc>
                <w:tcPr>
                  <w:tcW w:w="1336" w:type="dxa"/>
                  <w:tcBorders>
                    <w:top w:val="nil"/>
                    <w:left w:val="nil"/>
                    <w:bottom w:val="single" w:sz="4" w:space="0" w:color="auto"/>
                    <w:right w:val="single" w:sz="4" w:space="0" w:color="auto"/>
                  </w:tcBorders>
                  <w:shd w:val="clear" w:color="auto" w:fill="auto"/>
                  <w:noWrap/>
                  <w:vAlign w:val="center"/>
                  <w:hideMark/>
                </w:tcPr>
                <w:p w14:paraId="3E75A92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浙商证券</w:t>
                  </w:r>
                </w:p>
              </w:tc>
            </w:tr>
            <w:tr w:rsidR="00EC5954" w:rsidRPr="00EC5954" w14:paraId="04FAA53F"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BAC0C4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东莞证券</w:t>
                  </w:r>
                </w:p>
              </w:tc>
              <w:tc>
                <w:tcPr>
                  <w:tcW w:w="1637" w:type="dxa"/>
                  <w:tcBorders>
                    <w:top w:val="nil"/>
                    <w:left w:val="nil"/>
                    <w:bottom w:val="single" w:sz="4" w:space="0" w:color="auto"/>
                    <w:right w:val="single" w:sz="4" w:space="0" w:color="auto"/>
                  </w:tcBorders>
                  <w:shd w:val="clear" w:color="auto" w:fill="auto"/>
                  <w:noWrap/>
                  <w:vAlign w:val="center"/>
                  <w:hideMark/>
                </w:tcPr>
                <w:p w14:paraId="726088A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华美国际</w:t>
                  </w:r>
                </w:p>
              </w:tc>
              <w:tc>
                <w:tcPr>
                  <w:tcW w:w="1417" w:type="dxa"/>
                  <w:tcBorders>
                    <w:top w:val="nil"/>
                    <w:left w:val="nil"/>
                    <w:bottom w:val="single" w:sz="4" w:space="0" w:color="auto"/>
                    <w:right w:val="single" w:sz="4" w:space="0" w:color="auto"/>
                  </w:tcBorders>
                  <w:shd w:val="clear" w:color="auto" w:fill="auto"/>
                  <w:noWrap/>
                  <w:vAlign w:val="center"/>
                  <w:hideMark/>
                </w:tcPr>
                <w:p w14:paraId="7C67BF6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上海行知</w:t>
                  </w:r>
                </w:p>
              </w:tc>
              <w:tc>
                <w:tcPr>
                  <w:tcW w:w="1336" w:type="dxa"/>
                  <w:tcBorders>
                    <w:top w:val="nil"/>
                    <w:left w:val="nil"/>
                    <w:bottom w:val="single" w:sz="4" w:space="0" w:color="auto"/>
                    <w:right w:val="single" w:sz="4" w:space="0" w:color="auto"/>
                  </w:tcBorders>
                  <w:shd w:val="clear" w:color="auto" w:fill="auto"/>
                  <w:noWrap/>
                  <w:vAlign w:val="center"/>
                  <w:hideMark/>
                </w:tcPr>
                <w:p w14:paraId="332747C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中庚基金</w:t>
                  </w:r>
                </w:p>
              </w:tc>
            </w:tr>
            <w:tr w:rsidR="00EC5954" w:rsidRPr="00EC5954" w14:paraId="1185FE41"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1EA21B9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东吴基金</w:t>
                  </w:r>
                </w:p>
              </w:tc>
              <w:tc>
                <w:tcPr>
                  <w:tcW w:w="1637" w:type="dxa"/>
                  <w:tcBorders>
                    <w:top w:val="nil"/>
                    <w:left w:val="nil"/>
                    <w:bottom w:val="single" w:sz="4" w:space="0" w:color="auto"/>
                    <w:right w:val="single" w:sz="4" w:space="0" w:color="auto"/>
                  </w:tcBorders>
                  <w:shd w:val="clear" w:color="auto" w:fill="auto"/>
                  <w:noWrap/>
                  <w:vAlign w:val="center"/>
                  <w:hideMark/>
                </w:tcPr>
                <w:p w14:paraId="4C08F7B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华杉投资</w:t>
                  </w:r>
                </w:p>
              </w:tc>
              <w:tc>
                <w:tcPr>
                  <w:tcW w:w="1417" w:type="dxa"/>
                  <w:tcBorders>
                    <w:top w:val="nil"/>
                    <w:left w:val="nil"/>
                    <w:bottom w:val="single" w:sz="4" w:space="0" w:color="auto"/>
                    <w:right w:val="single" w:sz="4" w:space="0" w:color="auto"/>
                  </w:tcBorders>
                  <w:shd w:val="clear" w:color="auto" w:fill="auto"/>
                  <w:noWrap/>
                  <w:vAlign w:val="center"/>
                  <w:hideMark/>
                </w:tcPr>
                <w:p w14:paraId="0F1450D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上海悦溪</w:t>
                  </w:r>
                </w:p>
              </w:tc>
              <w:tc>
                <w:tcPr>
                  <w:tcW w:w="1336" w:type="dxa"/>
                  <w:tcBorders>
                    <w:top w:val="nil"/>
                    <w:left w:val="nil"/>
                    <w:bottom w:val="single" w:sz="4" w:space="0" w:color="auto"/>
                    <w:right w:val="single" w:sz="4" w:space="0" w:color="auto"/>
                  </w:tcBorders>
                  <w:shd w:val="clear" w:color="auto" w:fill="auto"/>
                  <w:noWrap/>
                  <w:vAlign w:val="center"/>
                  <w:hideMark/>
                </w:tcPr>
                <w:p w14:paraId="196D4F4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中金公司</w:t>
                  </w:r>
                </w:p>
              </w:tc>
            </w:tr>
            <w:tr w:rsidR="00EC5954" w:rsidRPr="00EC5954" w14:paraId="25F7266B"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C77B95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东吴证券</w:t>
                  </w:r>
                </w:p>
              </w:tc>
              <w:tc>
                <w:tcPr>
                  <w:tcW w:w="1637" w:type="dxa"/>
                  <w:tcBorders>
                    <w:top w:val="nil"/>
                    <w:left w:val="nil"/>
                    <w:bottom w:val="single" w:sz="4" w:space="0" w:color="auto"/>
                    <w:right w:val="single" w:sz="4" w:space="0" w:color="auto"/>
                  </w:tcBorders>
                  <w:shd w:val="clear" w:color="auto" w:fill="auto"/>
                  <w:noWrap/>
                  <w:vAlign w:val="center"/>
                  <w:hideMark/>
                </w:tcPr>
                <w:p w14:paraId="780DFB2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华泰证券</w:t>
                  </w:r>
                </w:p>
              </w:tc>
              <w:tc>
                <w:tcPr>
                  <w:tcW w:w="1417" w:type="dxa"/>
                  <w:tcBorders>
                    <w:top w:val="nil"/>
                    <w:left w:val="nil"/>
                    <w:bottom w:val="single" w:sz="4" w:space="0" w:color="auto"/>
                    <w:right w:val="single" w:sz="4" w:space="0" w:color="auto"/>
                  </w:tcBorders>
                  <w:shd w:val="clear" w:color="auto" w:fill="auto"/>
                  <w:noWrap/>
                  <w:vAlign w:val="center"/>
                  <w:hideMark/>
                </w:tcPr>
                <w:p w14:paraId="4B68B1A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上海证券</w:t>
                  </w:r>
                </w:p>
              </w:tc>
              <w:tc>
                <w:tcPr>
                  <w:tcW w:w="1336" w:type="dxa"/>
                  <w:tcBorders>
                    <w:top w:val="nil"/>
                    <w:left w:val="nil"/>
                    <w:bottom w:val="single" w:sz="4" w:space="0" w:color="auto"/>
                    <w:right w:val="single" w:sz="4" w:space="0" w:color="auto"/>
                  </w:tcBorders>
                  <w:shd w:val="clear" w:color="auto" w:fill="auto"/>
                  <w:noWrap/>
                  <w:vAlign w:val="center"/>
                  <w:hideMark/>
                </w:tcPr>
                <w:p w14:paraId="0A742D3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中金资管</w:t>
                  </w:r>
                </w:p>
              </w:tc>
            </w:tr>
            <w:tr w:rsidR="00EC5954" w:rsidRPr="00EC5954" w14:paraId="665C1979"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15899A6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东兴基金</w:t>
                  </w:r>
                </w:p>
              </w:tc>
              <w:tc>
                <w:tcPr>
                  <w:tcW w:w="1637" w:type="dxa"/>
                  <w:tcBorders>
                    <w:top w:val="nil"/>
                    <w:left w:val="nil"/>
                    <w:bottom w:val="single" w:sz="4" w:space="0" w:color="auto"/>
                    <w:right w:val="single" w:sz="4" w:space="0" w:color="auto"/>
                  </w:tcBorders>
                  <w:shd w:val="clear" w:color="auto" w:fill="auto"/>
                  <w:noWrap/>
                  <w:vAlign w:val="center"/>
                  <w:hideMark/>
                </w:tcPr>
                <w:p w14:paraId="5AF46E5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华西证券</w:t>
                  </w:r>
                </w:p>
              </w:tc>
              <w:tc>
                <w:tcPr>
                  <w:tcW w:w="1417" w:type="dxa"/>
                  <w:tcBorders>
                    <w:top w:val="nil"/>
                    <w:left w:val="nil"/>
                    <w:bottom w:val="single" w:sz="4" w:space="0" w:color="auto"/>
                    <w:right w:val="single" w:sz="4" w:space="0" w:color="auto"/>
                  </w:tcBorders>
                  <w:shd w:val="clear" w:color="auto" w:fill="auto"/>
                  <w:noWrap/>
                  <w:vAlign w:val="center"/>
                  <w:hideMark/>
                </w:tcPr>
                <w:p w14:paraId="6E39665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申万宏源</w:t>
                  </w:r>
                </w:p>
              </w:tc>
              <w:tc>
                <w:tcPr>
                  <w:tcW w:w="1336" w:type="dxa"/>
                  <w:tcBorders>
                    <w:top w:val="nil"/>
                    <w:left w:val="nil"/>
                    <w:bottom w:val="single" w:sz="4" w:space="0" w:color="auto"/>
                    <w:right w:val="single" w:sz="4" w:space="0" w:color="auto"/>
                  </w:tcBorders>
                  <w:shd w:val="clear" w:color="auto" w:fill="auto"/>
                  <w:noWrap/>
                  <w:vAlign w:val="center"/>
                  <w:hideMark/>
                </w:tcPr>
                <w:p w14:paraId="2B1882B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中略投资</w:t>
                  </w:r>
                </w:p>
              </w:tc>
            </w:tr>
            <w:tr w:rsidR="00EC5954" w:rsidRPr="00EC5954" w14:paraId="5ACE9793"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64A131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富国基金</w:t>
                  </w:r>
                </w:p>
              </w:tc>
              <w:tc>
                <w:tcPr>
                  <w:tcW w:w="1637" w:type="dxa"/>
                  <w:tcBorders>
                    <w:top w:val="nil"/>
                    <w:left w:val="nil"/>
                    <w:bottom w:val="single" w:sz="4" w:space="0" w:color="auto"/>
                    <w:right w:val="single" w:sz="4" w:space="0" w:color="auto"/>
                  </w:tcBorders>
                  <w:shd w:val="clear" w:color="auto" w:fill="auto"/>
                  <w:noWrap/>
                  <w:vAlign w:val="center"/>
                  <w:hideMark/>
                </w:tcPr>
                <w:p w14:paraId="12CC4FC6"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华夏复利</w:t>
                  </w:r>
                </w:p>
              </w:tc>
              <w:tc>
                <w:tcPr>
                  <w:tcW w:w="1417" w:type="dxa"/>
                  <w:tcBorders>
                    <w:top w:val="nil"/>
                    <w:left w:val="nil"/>
                    <w:bottom w:val="single" w:sz="4" w:space="0" w:color="auto"/>
                    <w:right w:val="single" w:sz="4" w:space="0" w:color="auto"/>
                  </w:tcBorders>
                  <w:shd w:val="clear" w:color="auto" w:fill="auto"/>
                  <w:noWrap/>
                  <w:vAlign w:val="center"/>
                  <w:hideMark/>
                </w:tcPr>
                <w:p w14:paraId="431D2BB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神农投资</w:t>
                  </w:r>
                </w:p>
              </w:tc>
              <w:tc>
                <w:tcPr>
                  <w:tcW w:w="1336" w:type="dxa"/>
                  <w:tcBorders>
                    <w:top w:val="nil"/>
                    <w:left w:val="nil"/>
                    <w:bottom w:val="single" w:sz="4" w:space="0" w:color="auto"/>
                    <w:right w:val="single" w:sz="4" w:space="0" w:color="auto"/>
                  </w:tcBorders>
                  <w:shd w:val="clear" w:color="auto" w:fill="auto"/>
                  <w:noWrap/>
                  <w:vAlign w:val="center"/>
                  <w:hideMark/>
                </w:tcPr>
                <w:p w14:paraId="512385BD"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中泰证券</w:t>
                  </w:r>
                </w:p>
              </w:tc>
            </w:tr>
            <w:tr w:rsidR="00EC5954" w:rsidRPr="00EC5954" w14:paraId="4AB317F2"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4299BC2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工银瑞信</w:t>
                  </w:r>
                </w:p>
              </w:tc>
              <w:tc>
                <w:tcPr>
                  <w:tcW w:w="1637" w:type="dxa"/>
                  <w:tcBorders>
                    <w:top w:val="nil"/>
                    <w:left w:val="nil"/>
                    <w:bottom w:val="single" w:sz="4" w:space="0" w:color="auto"/>
                    <w:right w:val="single" w:sz="4" w:space="0" w:color="auto"/>
                  </w:tcBorders>
                  <w:shd w:val="clear" w:color="auto" w:fill="auto"/>
                  <w:noWrap/>
                  <w:vAlign w:val="center"/>
                  <w:hideMark/>
                </w:tcPr>
                <w:p w14:paraId="1ED4885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华夏基金(香港)</w:t>
                  </w:r>
                </w:p>
              </w:tc>
              <w:tc>
                <w:tcPr>
                  <w:tcW w:w="1417" w:type="dxa"/>
                  <w:tcBorders>
                    <w:top w:val="nil"/>
                    <w:left w:val="nil"/>
                    <w:bottom w:val="single" w:sz="4" w:space="0" w:color="auto"/>
                    <w:right w:val="single" w:sz="4" w:space="0" w:color="auto"/>
                  </w:tcBorders>
                  <w:shd w:val="clear" w:color="auto" w:fill="auto"/>
                  <w:noWrap/>
                  <w:vAlign w:val="center"/>
                  <w:hideMark/>
                </w:tcPr>
                <w:p w14:paraId="5A7EB5A9"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世纪前沿</w:t>
                  </w:r>
                </w:p>
              </w:tc>
              <w:tc>
                <w:tcPr>
                  <w:tcW w:w="1336" w:type="dxa"/>
                  <w:tcBorders>
                    <w:top w:val="nil"/>
                    <w:left w:val="nil"/>
                    <w:bottom w:val="single" w:sz="4" w:space="0" w:color="auto"/>
                    <w:right w:val="single" w:sz="4" w:space="0" w:color="auto"/>
                  </w:tcBorders>
                  <w:shd w:val="clear" w:color="auto" w:fill="auto"/>
                  <w:noWrap/>
                  <w:vAlign w:val="center"/>
                  <w:hideMark/>
                </w:tcPr>
                <w:p w14:paraId="4A0C089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中信保诚</w:t>
                  </w:r>
                </w:p>
              </w:tc>
            </w:tr>
            <w:tr w:rsidR="00EC5954" w:rsidRPr="00EC5954" w14:paraId="6A424279"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3AA7F7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光大保德信</w:t>
                  </w:r>
                </w:p>
              </w:tc>
              <w:tc>
                <w:tcPr>
                  <w:tcW w:w="1637" w:type="dxa"/>
                  <w:tcBorders>
                    <w:top w:val="nil"/>
                    <w:left w:val="nil"/>
                    <w:bottom w:val="single" w:sz="4" w:space="0" w:color="auto"/>
                    <w:right w:val="single" w:sz="4" w:space="0" w:color="auto"/>
                  </w:tcBorders>
                  <w:shd w:val="clear" w:color="auto" w:fill="auto"/>
                  <w:noWrap/>
                  <w:vAlign w:val="center"/>
                  <w:hideMark/>
                </w:tcPr>
                <w:p w14:paraId="4EEA0A2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汇金并购</w:t>
                  </w:r>
                </w:p>
              </w:tc>
              <w:tc>
                <w:tcPr>
                  <w:tcW w:w="1417" w:type="dxa"/>
                  <w:tcBorders>
                    <w:top w:val="nil"/>
                    <w:left w:val="nil"/>
                    <w:bottom w:val="single" w:sz="4" w:space="0" w:color="auto"/>
                    <w:right w:val="single" w:sz="4" w:space="0" w:color="auto"/>
                  </w:tcBorders>
                  <w:shd w:val="clear" w:color="auto" w:fill="auto"/>
                  <w:noWrap/>
                  <w:vAlign w:val="center"/>
                  <w:hideMark/>
                </w:tcPr>
                <w:p w14:paraId="0394139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太平养老</w:t>
                  </w:r>
                </w:p>
              </w:tc>
              <w:tc>
                <w:tcPr>
                  <w:tcW w:w="1336" w:type="dxa"/>
                  <w:tcBorders>
                    <w:top w:val="nil"/>
                    <w:left w:val="nil"/>
                    <w:bottom w:val="single" w:sz="4" w:space="0" w:color="auto"/>
                    <w:right w:val="single" w:sz="4" w:space="0" w:color="auto"/>
                  </w:tcBorders>
                  <w:shd w:val="clear" w:color="auto" w:fill="auto"/>
                  <w:noWrap/>
                  <w:vAlign w:val="center"/>
                  <w:hideMark/>
                </w:tcPr>
                <w:p w14:paraId="62BF919E"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中信建投</w:t>
                  </w:r>
                </w:p>
              </w:tc>
            </w:tr>
            <w:tr w:rsidR="00EC5954" w:rsidRPr="00EC5954" w14:paraId="155EC5C7"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0AFD014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lastRenderedPageBreak/>
                    <w:t>广东正圆</w:t>
                  </w:r>
                </w:p>
              </w:tc>
              <w:tc>
                <w:tcPr>
                  <w:tcW w:w="1637" w:type="dxa"/>
                  <w:tcBorders>
                    <w:top w:val="nil"/>
                    <w:left w:val="nil"/>
                    <w:bottom w:val="single" w:sz="4" w:space="0" w:color="auto"/>
                    <w:right w:val="single" w:sz="4" w:space="0" w:color="auto"/>
                  </w:tcBorders>
                  <w:shd w:val="clear" w:color="auto" w:fill="auto"/>
                  <w:noWrap/>
                  <w:vAlign w:val="center"/>
                  <w:hideMark/>
                </w:tcPr>
                <w:p w14:paraId="272630F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汇泉基金</w:t>
                  </w:r>
                </w:p>
              </w:tc>
              <w:tc>
                <w:tcPr>
                  <w:tcW w:w="1417" w:type="dxa"/>
                  <w:tcBorders>
                    <w:top w:val="nil"/>
                    <w:left w:val="nil"/>
                    <w:bottom w:val="single" w:sz="4" w:space="0" w:color="auto"/>
                    <w:right w:val="single" w:sz="4" w:space="0" w:color="auto"/>
                  </w:tcBorders>
                  <w:shd w:val="clear" w:color="auto" w:fill="auto"/>
                  <w:noWrap/>
                  <w:vAlign w:val="center"/>
                  <w:hideMark/>
                </w:tcPr>
                <w:p w14:paraId="7F326F5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泰康资产</w:t>
                  </w:r>
                </w:p>
              </w:tc>
              <w:tc>
                <w:tcPr>
                  <w:tcW w:w="1336" w:type="dxa"/>
                  <w:tcBorders>
                    <w:top w:val="nil"/>
                    <w:left w:val="nil"/>
                    <w:bottom w:val="single" w:sz="4" w:space="0" w:color="auto"/>
                    <w:right w:val="single" w:sz="4" w:space="0" w:color="auto"/>
                  </w:tcBorders>
                  <w:shd w:val="clear" w:color="auto" w:fill="auto"/>
                  <w:noWrap/>
                  <w:vAlign w:val="center"/>
                  <w:hideMark/>
                </w:tcPr>
                <w:p w14:paraId="4CE5579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中信证券</w:t>
                  </w:r>
                </w:p>
              </w:tc>
            </w:tr>
            <w:tr w:rsidR="00EC5954" w:rsidRPr="00EC5954" w14:paraId="37615AD2"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FD62F6B"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广发证券</w:t>
                  </w:r>
                </w:p>
              </w:tc>
              <w:tc>
                <w:tcPr>
                  <w:tcW w:w="1637" w:type="dxa"/>
                  <w:tcBorders>
                    <w:top w:val="nil"/>
                    <w:left w:val="nil"/>
                    <w:bottom w:val="single" w:sz="4" w:space="0" w:color="auto"/>
                    <w:right w:val="single" w:sz="4" w:space="0" w:color="auto"/>
                  </w:tcBorders>
                  <w:shd w:val="clear" w:color="auto" w:fill="auto"/>
                  <w:noWrap/>
                  <w:vAlign w:val="center"/>
                  <w:hideMark/>
                </w:tcPr>
                <w:p w14:paraId="06E60AB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基明资产</w:t>
                  </w:r>
                </w:p>
              </w:tc>
              <w:tc>
                <w:tcPr>
                  <w:tcW w:w="1417" w:type="dxa"/>
                  <w:tcBorders>
                    <w:top w:val="nil"/>
                    <w:left w:val="nil"/>
                    <w:bottom w:val="single" w:sz="4" w:space="0" w:color="auto"/>
                    <w:right w:val="single" w:sz="4" w:space="0" w:color="auto"/>
                  </w:tcBorders>
                  <w:shd w:val="clear" w:color="auto" w:fill="auto"/>
                  <w:noWrap/>
                  <w:vAlign w:val="center"/>
                  <w:hideMark/>
                </w:tcPr>
                <w:p w14:paraId="4234F4A7"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泰信基金</w:t>
                  </w:r>
                </w:p>
              </w:tc>
              <w:tc>
                <w:tcPr>
                  <w:tcW w:w="1336" w:type="dxa"/>
                  <w:tcBorders>
                    <w:top w:val="nil"/>
                    <w:left w:val="nil"/>
                    <w:bottom w:val="single" w:sz="4" w:space="0" w:color="auto"/>
                    <w:right w:val="single" w:sz="4" w:space="0" w:color="auto"/>
                  </w:tcBorders>
                  <w:shd w:val="clear" w:color="auto" w:fill="auto"/>
                  <w:noWrap/>
                  <w:vAlign w:val="center"/>
                  <w:hideMark/>
                </w:tcPr>
                <w:p w14:paraId="049A8808"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中信资管</w:t>
                  </w:r>
                </w:p>
              </w:tc>
            </w:tr>
            <w:tr w:rsidR="00EC5954" w:rsidRPr="00EC5954" w14:paraId="32ECE034"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2CE601C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广发资管</w:t>
                  </w:r>
                </w:p>
              </w:tc>
              <w:tc>
                <w:tcPr>
                  <w:tcW w:w="1637" w:type="dxa"/>
                  <w:tcBorders>
                    <w:top w:val="nil"/>
                    <w:left w:val="nil"/>
                    <w:bottom w:val="single" w:sz="4" w:space="0" w:color="auto"/>
                    <w:right w:val="single" w:sz="4" w:space="0" w:color="auto"/>
                  </w:tcBorders>
                  <w:shd w:val="clear" w:color="auto" w:fill="auto"/>
                  <w:noWrap/>
                  <w:vAlign w:val="center"/>
                  <w:hideMark/>
                </w:tcPr>
                <w:p w14:paraId="0EE01BA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嘉实基金</w:t>
                  </w:r>
                </w:p>
              </w:tc>
              <w:tc>
                <w:tcPr>
                  <w:tcW w:w="1417" w:type="dxa"/>
                  <w:tcBorders>
                    <w:top w:val="nil"/>
                    <w:left w:val="nil"/>
                    <w:bottom w:val="single" w:sz="4" w:space="0" w:color="auto"/>
                    <w:right w:val="single" w:sz="4" w:space="0" w:color="auto"/>
                  </w:tcBorders>
                  <w:shd w:val="clear" w:color="auto" w:fill="auto"/>
                  <w:noWrap/>
                  <w:vAlign w:val="center"/>
                  <w:hideMark/>
                </w:tcPr>
                <w:p w14:paraId="4692552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彤源投资</w:t>
                  </w:r>
                </w:p>
              </w:tc>
              <w:tc>
                <w:tcPr>
                  <w:tcW w:w="1336" w:type="dxa"/>
                  <w:tcBorders>
                    <w:top w:val="nil"/>
                    <w:left w:val="nil"/>
                    <w:bottom w:val="single" w:sz="4" w:space="0" w:color="auto"/>
                    <w:right w:val="single" w:sz="4" w:space="0" w:color="auto"/>
                  </w:tcBorders>
                  <w:shd w:val="clear" w:color="auto" w:fill="auto"/>
                  <w:noWrap/>
                  <w:vAlign w:val="center"/>
                  <w:hideMark/>
                </w:tcPr>
                <w:p w14:paraId="76DA61F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中银证券</w:t>
                  </w:r>
                </w:p>
              </w:tc>
            </w:tr>
            <w:tr w:rsidR="00EC5954" w:rsidRPr="00EC5954" w14:paraId="74720DEB" w14:textId="77777777" w:rsidTr="00564C8B">
              <w:trPr>
                <w:trHeight w:val="52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461E97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广西深圳</w:t>
                  </w:r>
                  <w:r w:rsidRPr="00EC5954">
                    <w:rPr>
                      <w:rFonts w:ascii="宋体" w:eastAsia="宋体" w:hAnsi="宋体" w:cs="宋体" w:hint="eastAsia"/>
                      <w:color w:val="000000"/>
                      <w:kern w:val="0"/>
                      <w:sz w:val="20"/>
                      <w:szCs w:val="20"/>
                    </w:rPr>
                    <w:br/>
                    <w:t>产业合作中心</w:t>
                  </w:r>
                </w:p>
              </w:tc>
              <w:tc>
                <w:tcPr>
                  <w:tcW w:w="1637" w:type="dxa"/>
                  <w:tcBorders>
                    <w:top w:val="nil"/>
                    <w:left w:val="nil"/>
                    <w:bottom w:val="single" w:sz="4" w:space="0" w:color="auto"/>
                    <w:right w:val="single" w:sz="4" w:space="0" w:color="auto"/>
                  </w:tcBorders>
                  <w:shd w:val="clear" w:color="auto" w:fill="auto"/>
                  <w:noWrap/>
                  <w:vAlign w:val="center"/>
                  <w:hideMark/>
                </w:tcPr>
                <w:p w14:paraId="7B45FAAD"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建信资产</w:t>
                  </w:r>
                </w:p>
              </w:tc>
              <w:tc>
                <w:tcPr>
                  <w:tcW w:w="1417" w:type="dxa"/>
                  <w:tcBorders>
                    <w:top w:val="nil"/>
                    <w:left w:val="nil"/>
                    <w:bottom w:val="single" w:sz="4" w:space="0" w:color="auto"/>
                    <w:right w:val="single" w:sz="4" w:space="0" w:color="auto"/>
                  </w:tcBorders>
                  <w:shd w:val="clear" w:color="auto" w:fill="auto"/>
                  <w:noWrap/>
                  <w:vAlign w:val="center"/>
                  <w:hideMark/>
                </w:tcPr>
                <w:p w14:paraId="46AEC27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西部利得</w:t>
                  </w:r>
                </w:p>
              </w:tc>
              <w:tc>
                <w:tcPr>
                  <w:tcW w:w="1336" w:type="dxa"/>
                  <w:tcBorders>
                    <w:top w:val="nil"/>
                    <w:left w:val="nil"/>
                    <w:bottom w:val="single" w:sz="4" w:space="0" w:color="auto"/>
                    <w:right w:val="single" w:sz="4" w:space="0" w:color="auto"/>
                  </w:tcBorders>
                  <w:shd w:val="clear" w:color="auto" w:fill="auto"/>
                  <w:noWrap/>
                  <w:vAlign w:val="center"/>
                  <w:hideMark/>
                </w:tcPr>
                <w:p w14:paraId="39686185"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中邮证券</w:t>
                  </w:r>
                </w:p>
              </w:tc>
            </w:tr>
            <w:tr w:rsidR="00EC5954" w:rsidRPr="00EC5954" w14:paraId="29F2BF09"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68CF21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国海证券</w:t>
                  </w:r>
                </w:p>
              </w:tc>
              <w:tc>
                <w:tcPr>
                  <w:tcW w:w="1637" w:type="dxa"/>
                  <w:tcBorders>
                    <w:top w:val="nil"/>
                    <w:left w:val="nil"/>
                    <w:bottom w:val="single" w:sz="4" w:space="0" w:color="auto"/>
                    <w:right w:val="single" w:sz="4" w:space="0" w:color="auto"/>
                  </w:tcBorders>
                  <w:shd w:val="clear" w:color="auto" w:fill="auto"/>
                  <w:noWrap/>
                  <w:vAlign w:val="center"/>
                  <w:hideMark/>
                </w:tcPr>
                <w:p w14:paraId="782F868F"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金科投资</w:t>
                  </w:r>
                </w:p>
              </w:tc>
              <w:tc>
                <w:tcPr>
                  <w:tcW w:w="1417" w:type="dxa"/>
                  <w:tcBorders>
                    <w:top w:val="nil"/>
                    <w:left w:val="nil"/>
                    <w:bottom w:val="single" w:sz="4" w:space="0" w:color="auto"/>
                    <w:right w:val="single" w:sz="4" w:space="0" w:color="auto"/>
                  </w:tcBorders>
                  <w:shd w:val="clear" w:color="auto" w:fill="auto"/>
                  <w:noWrap/>
                  <w:vAlign w:val="center"/>
                  <w:hideMark/>
                </w:tcPr>
                <w:p w14:paraId="524A1CFA"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西藏信托</w:t>
                  </w:r>
                </w:p>
              </w:tc>
              <w:tc>
                <w:tcPr>
                  <w:tcW w:w="1336" w:type="dxa"/>
                  <w:tcBorders>
                    <w:top w:val="nil"/>
                    <w:left w:val="nil"/>
                    <w:bottom w:val="single" w:sz="4" w:space="0" w:color="auto"/>
                    <w:right w:val="single" w:sz="4" w:space="0" w:color="auto"/>
                  </w:tcBorders>
                  <w:shd w:val="clear" w:color="auto" w:fill="auto"/>
                  <w:noWrap/>
                  <w:vAlign w:val="center"/>
                  <w:hideMark/>
                </w:tcPr>
                <w:p w14:paraId="00467492"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中原证券</w:t>
                  </w:r>
                </w:p>
              </w:tc>
            </w:tr>
            <w:tr w:rsidR="00EC5954" w:rsidRPr="00EC5954" w14:paraId="74469AFF"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0978660"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国华兴益</w:t>
                  </w:r>
                </w:p>
              </w:tc>
              <w:tc>
                <w:tcPr>
                  <w:tcW w:w="1637" w:type="dxa"/>
                  <w:tcBorders>
                    <w:top w:val="nil"/>
                    <w:left w:val="nil"/>
                    <w:bottom w:val="single" w:sz="4" w:space="0" w:color="auto"/>
                    <w:right w:val="single" w:sz="4" w:space="0" w:color="auto"/>
                  </w:tcBorders>
                  <w:shd w:val="clear" w:color="auto" w:fill="auto"/>
                  <w:noWrap/>
                  <w:vAlign w:val="center"/>
                  <w:hideMark/>
                </w:tcPr>
                <w:p w14:paraId="300AEB6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金信基金</w:t>
                  </w:r>
                </w:p>
              </w:tc>
              <w:tc>
                <w:tcPr>
                  <w:tcW w:w="1417" w:type="dxa"/>
                  <w:tcBorders>
                    <w:top w:val="nil"/>
                    <w:left w:val="nil"/>
                    <w:bottom w:val="single" w:sz="4" w:space="0" w:color="auto"/>
                    <w:right w:val="single" w:sz="4" w:space="0" w:color="auto"/>
                  </w:tcBorders>
                  <w:shd w:val="clear" w:color="auto" w:fill="auto"/>
                  <w:noWrap/>
                  <w:vAlign w:val="center"/>
                  <w:hideMark/>
                </w:tcPr>
                <w:p w14:paraId="2DF51EFD"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西南证券</w:t>
                  </w:r>
                </w:p>
              </w:tc>
              <w:tc>
                <w:tcPr>
                  <w:tcW w:w="1336" w:type="dxa"/>
                  <w:tcBorders>
                    <w:top w:val="nil"/>
                    <w:left w:val="nil"/>
                    <w:bottom w:val="single" w:sz="4" w:space="0" w:color="auto"/>
                    <w:right w:val="single" w:sz="4" w:space="0" w:color="auto"/>
                  </w:tcBorders>
                  <w:shd w:val="clear" w:color="auto" w:fill="auto"/>
                  <w:noWrap/>
                  <w:vAlign w:val="center"/>
                  <w:hideMark/>
                </w:tcPr>
                <w:p w14:paraId="2FB2AA93"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珠海鲸芯</w:t>
                  </w:r>
                </w:p>
              </w:tc>
            </w:tr>
            <w:tr w:rsidR="00EC5954" w:rsidRPr="00EC5954" w14:paraId="78D5DDB1" w14:textId="77777777" w:rsidTr="00564C8B">
              <w:trPr>
                <w:trHeight w:val="28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53B5216C"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国金基金</w:t>
                  </w:r>
                </w:p>
              </w:tc>
              <w:tc>
                <w:tcPr>
                  <w:tcW w:w="1637" w:type="dxa"/>
                  <w:tcBorders>
                    <w:top w:val="nil"/>
                    <w:left w:val="nil"/>
                    <w:bottom w:val="single" w:sz="4" w:space="0" w:color="auto"/>
                    <w:right w:val="single" w:sz="4" w:space="0" w:color="auto"/>
                  </w:tcBorders>
                  <w:shd w:val="clear" w:color="auto" w:fill="auto"/>
                  <w:noWrap/>
                  <w:vAlign w:val="center"/>
                  <w:hideMark/>
                </w:tcPr>
                <w:p w14:paraId="66CFFE94"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景泰利丰</w:t>
                  </w:r>
                </w:p>
              </w:tc>
              <w:tc>
                <w:tcPr>
                  <w:tcW w:w="1417" w:type="dxa"/>
                  <w:tcBorders>
                    <w:top w:val="nil"/>
                    <w:left w:val="nil"/>
                    <w:bottom w:val="single" w:sz="4" w:space="0" w:color="auto"/>
                    <w:right w:val="single" w:sz="4" w:space="0" w:color="auto"/>
                  </w:tcBorders>
                  <w:shd w:val="clear" w:color="auto" w:fill="auto"/>
                  <w:noWrap/>
                  <w:vAlign w:val="center"/>
                  <w:hideMark/>
                </w:tcPr>
                <w:p w14:paraId="54666581" w14:textId="77777777" w:rsidR="00EC5954" w:rsidRPr="00EC5954" w:rsidRDefault="00EC5954" w:rsidP="00EC5954">
                  <w:pPr>
                    <w:widowControl/>
                    <w:jc w:val="center"/>
                    <w:rPr>
                      <w:rFonts w:ascii="宋体" w:eastAsia="宋体" w:hAnsi="宋体" w:cs="宋体"/>
                      <w:color w:val="000000"/>
                      <w:kern w:val="0"/>
                      <w:sz w:val="20"/>
                      <w:szCs w:val="20"/>
                    </w:rPr>
                  </w:pPr>
                  <w:r w:rsidRPr="00EC5954">
                    <w:rPr>
                      <w:rFonts w:ascii="宋体" w:eastAsia="宋体" w:hAnsi="宋体" w:cs="宋体" w:hint="eastAsia"/>
                      <w:color w:val="000000"/>
                      <w:kern w:val="0"/>
                      <w:sz w:val="20"/>
                      <w:szCs w:val="20"/>
                    </w:rPr>
                    <w:t>橡果资产</w:t>
                  </w:r>
                </w:p>
              </w:tc>
              <w:tc>
                <w:tcPr>
                  <w:tcW w:w="1336" w:type="dxa"/>
                  <w:tcBorders>
                    <w:top w:val="nil"/>
                    <w:left w:val="nil"/>
                    <w:bottom w:val="single" w:sz="4" w:space="0" w:color="auto"/>
                    <w:right w:val="single" w:sz="4" w:space="0" w:color="auto"/>
                  </w:tcBorders>
                  <w:shd w:val="clear" w:color="auto" w:fill="auto"/>
                  <w:noWrap/>
                  <w:vAlign w:val="bottom"/>
                  <w:hideMark/>
                </w:tcPr>
                <w:p w14:paraId="7750FBB9" w14:textId="77777777" w:rsidR="00EC5954" w:rsidRPr="00EC5954" w:rsidRDefault="00EC5954" w:rsidP="00EC5954">
                  <w:pPr>
                    <w:widowControl/>
                    <w:jc w:val="left"/>
                    <w:rPr>
                      <w:rFonts w:ascii="等线" w:eastAsia="等线" w:hAnsi="等线" w:cs="宋体"/>
                      <w:color w:val="000000"/>
                      <w:kern w:val="0"/>
                      <w:sz w:val="22"/>
                    </w:rPr>
                  </w:pPr>
                  <w:r w:rsidRPr="00EC5954">
                    <w:rPr>
                      <w:rFonts w:ascii="等线" w:eastAsia="等线" w:hAnsi="等线" w:cs="宋体" w:hint="eastAsia"/>
                      <w:color w:val="000000"/>
                      <w:kern w:val="0"/>
                      <w:sz w:val="22"/>
                    </w:rPr>
                    <w:t xml:space="preserve">　</w:t>
                  </w:r>
                </w:p>
              </w:tc>
            </w:tr>
          </w:tbl>
          <w:p w14:paraId="6FAB98B2" w14:textId="77777777" w:rsidR="00C8376D" w:rsidRPr="00660EC9" w:rsidRDefault="00C8376D" w:rsidP="00DE3705">
            <w:pPr>
              <w:spacing w:line="276" w:lineRule="auto"/>
              <w:jc w:val="center"/>
              <w:rPr>
                <w:rFonts w:asciiTheme="minorEastAsia" w:hAnsiTheme="minorEastAsia"/>
              </w:rPr>
            </w:pPr>
          </w:p>
        </w:tc>
      </w:tr>
      <w:tr w:rsidR="001603E5" w:rsidRPr="006664FF" w14:paraId="2FFBFA66" w14:textId="77777777" w:rsidTr="00564C8B">
        <w:trPr>
          <w:trHeight w:val="606"/>
          <w:jc w:val="center"/>
        </w:trPr>
        <w:tc>
          <w:tcPr>
            <w:tcW w:w="1413"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会议时间</w:t>
            </w:r>
          </w:p>
        </w:tc>
        <w:tc>
          <w:tcPr>
            <w:tcW w:w="6954" w:type="dxa"/>
            <w:shd w:val="clear" w:color="auto" w:fill="auto"/>
            <w:vAlign w:val="center"/>
          </w:tcPr>
          <w:p w14:paraId="7C67AA44" w14:textId="2348300E" w:rsidR="00FE7F1E" w:rsidRPr="006664FF" w:rsidRDefault="00BF5D45" w:rsidP="00EC5954">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867D31">
              <w:rPr>
                <w:rFonts w:ascii="宋体" w:eastAsia="宋体" w:hAnsi="宋体" w:cs="Times New Roman" w:hint="eastAsia"/>
                <w:bCs/>
                <w:iCs/>
                <w:color w:val="000000" w:themeColor="text1"/>
                <w:sz w:val="24"/>
                <w:szCs w:val="24"/>
              </w:rPr>
              <w:t>0</w:t>
            </w:r>
            <w:r w:rsidR="00F80B51">
              <w:rPr>
                <w:rFonts w:ascii="宋体" w:eastAsia="宋体" w:hAnsi="宋体" w:cs="Times New Roman"/>
                <w:iCs/>
                <w:color w:val="000000" w:themeColor="text1"/>
                <w:sz w:val="24"/>
                <w:szCs w:val="24"/>
              </w:rPr>
              <w:t>2</w:t>
            </w:r>
            <w:r w:rsidR="00235A8C">
              <w:rPr>
                <w:rFonts w:ascii="宋体" w:eastAsia="宋体" w:hAnsi="宋体" w:cs="Times New Roman" w:hint="eastAsia"/>
                <w:iCs/>
                <w:color w:val="000000" w:themeColor="text1"/>
                <w:sz w:val="24"/>
                <w:szCs w:val="24"/>
              </w:rPr>
              <w:t>月</w:t>
            </w:r>
            <w:r w:rsidR="0062155C">
              <w:rPr>
                <w:rFonts w:ascii="宋体" w:eastAsia="宋体" w:hAnsi="宋体" w:cs="Times New Roman"/>
                <w:iCs/>
                <w:color w:val="000000" w:themeColor="text1"/>
                <w:sz w:val="24"/>
                <w:szCs w:val="24"/>
              </w:rPr>
              <w:t>1</w:t>
            </w:r>
            <w:r w:rsidR="00F80B51">
              <w:rPr>
                <w:rFonts w:ascii="宋体" w:eastAsia="宋体" w:hAnsi="宋体" w:cs="Times New Roman"/>
                <w:iCs/>
                <w:color w:val="000000" w:themeColor="text1"/>
                <w:sz w:val="24"/>
                <w:szCs w:val="24"/>
              </w:rPr>
              <w:t>1</w:t>
            </w:r>
            <w:r w:rsidR="00235A8C">
              <w:rPr>
                <w:rFonts w:ascii="宋体" w:eastAsia="宋体" w:hAnsi="宋体" w:cs="Times New Roman" w:hint="eastAsia"/>
                <w:iCs/>
                <w:color w:val="000000" w:themeColor="text1"/>
                <w:sz w:val="24"/>
                <w:szCs w:val="24"/>
              </w:rPr>
              <w:t>日</w:t>
            </w:r>
            <w:r w:rsidR="00F80B51">
              <w:rPr>
                <w:rFonts w:ascii="宋体" w:eastAsia="宋体" w:hAnsi="宋体" w:cs="Times New Roman"/>
                <w:iCs/>
                <w:color w:val="000000" w:themeColor="text1"/>
                <w:sz w:val="24"/>
                <w:szCs w:val="24"/>
              </w:rPr>
              <w:t>—04</w:t>
            </w:r>
            <w:r w:rsidR="00F80B51">
              <w:rPr>
                <w:rFonts w:ascii="宋体" w:eastAsia="宋体" w:hAnsi="宋体" w:cs="Times New Roman" w:hint="eastAsia"/>
                <w:iCs/>
                <w:color w:val="000000" w:themeColor="text1"/>
                <w:sz w:val="24"/>
                <w:szCs w:val="24"/>
              </w:rPr>
              <w:t>月</w:t>
            </w:r>
            <w:r w:rsidR="00EC5954">
              <w:rPr>
                <w:rFonts w:ascii="宋体" w:eastAsia="宋体" w:hAnsi="宋体" w:cs="Times New Roman"/>
                <w:iCs/>
                <w:color w:val="000000" w:themeColor="text1"/>
                <w:sz w:val="24"/>
                <w:szCs w:val="24"/>
              </w:rPr>
              <w:t>24</w:t>
            </w:r>
            <w:r w:rsidR="00F80B51">
              <w:rPr>
                <w:rFonts w:ascii="宋体" w:eastAsia="宋体" w:hAnsi="宋体" w:cs="Times New Roman" w:hint="eastAsia"/>
                <w:iCs/>
                <w:color w:val="000000" w:themeColor="text1"/>
                <w:sz w:val="24"/>
                <w:szCs w:val="24"/>
              </w:rPr>
              <w:t>日</w:t>
            </w:r>
          </w:p>
        </w:tc>
      </w:tr>
      <w:tr w:rsidR="001603E5" w:rsidRPr="006664FF" w14:paraId="692BF872" w14:textId="77777777" w:rsidTr="00564C8B">
        <w:trPr>
          <w:trHeight w:val="271"/>
          <w:jc w:val="center"/>
        </w:trPr>
        <w:tc>
          <w:tcPr>
            <w:tcW w:w="1413"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954" w:type="dxa"/>
            <w:shd w:val="clear" w:color="auto" w:fill="auto"/>
            <w:vAlign w:val="center"/>
          </w:tcPr>
          <w:p w14:paraId="5B97C9F7" w14:textId="7A544BE2" w:rsidR="00FE7F1E" w:rsidRPr="006664FF" w:rsidRDefault="004667EA"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F80B51">
              <w:rPr>
                <w:rFonts w:ascii="宋体" w:eastAsia="宋体" w:hAnsi="宋体" w:cs="Times New Roman" w:hint="eastAsia"/>
                <w:bCs/>
                <w:iCs/>
                <w:color w:val="000000" w:themeColor="text1"/>
                <w:sz w:val="24"/>
                <w:szCs w:val="24"/>
              </w:rPr>
              <w:t>；公司会议室</w:t>
            </w:r>
          </w:p>
        </w:tc>
      </w:tr>
      <w:tr w:rsidR="001603E5" w:rsidRPr="00D65F66" w14:paraId="1B403EDA" w14:textId="77777777" w:rsidTr="00564C8B">
        <w:trPr>
          <w:trHeight w:val="505"/>
          <w:jc w:val="center"/>
        </w:trPr>
        <w:tc>
          <w:tcPr>
            <w:tcW w:w="1413"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954" w:type="dxa"/>
            <w:shd w:val="clear" w:color="auto" w:fill="auto"/>
            <w:vAlign w:val="center"/>
          </w:tcPr>
          <w:p w14:paraId="2A14885E" w14:textId="4C9458D0" w:rsidR="00F80B51" w:rsidRDefault="00F80B51"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1A61A019" w14:textId="01EEC6DE" w:rsidR="00F80B51" w:rsidRDefault="00F80B51"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70C03FEF" w:rsidR="00CC5086" w:rsidRPr="006664FF" w:rsidRDefault="00CC5086"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w:t>
            </w:r>
            <w:r w:rsidR="0062155C">
              <w:rPr>
                <w:rFonts w:ascii="宋体" w:eastAsia="宋体" w:hAnsi="宋体" w:cs="Times New Roman" w:hint="eastAsia"/>
                <w:bCs/>
                <w:iCs/>
                <w:color w:val="000000" w:themeColor="text1"/>
                <w:sz w:val="24"/>
                <w:szCs w:val="24"/>
              </w:rPr>
              <w:t>事务代表</w:t>
            </w:r>
            <w:r>
              <w:rPr>
                <w:rFonts w:ascii="宋体" w:eastAsia="宋体" w:hAnsi="宋体" w:cs="Times New Roman" w:hint="eastAsia"/>
                <w:bCs/>
                <w:iCs/>
                <w:color w:val="000000" w:themeColor="text1"/>
                <w:sz w:val="24"/>
                <w:szCs w:val="24"/>
              </w:rPr>
              <w:t>：程奔驰</w:t>
            </w:r>
          </w:p>
        </w:tc>
      </w:tr>
      <w:tr w:rsidR="001603E5" w:rsidRPr="008E49B3" w14:paraId="3346D861" w14:textId="77777777" w:rsidTr="00564C8B">
        <w:trPr>
          <w:trHeight w:val="840"/>
          <w:jc w:val="center"/>
        </w:trPr>
        <w:tc>
          <w:tcPr>
            <w:tcW w:w="1413"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954" w:type="dxa"/>
            <w:shd w:val="clear" w:color="auto" w:fill="auto"/>
          </w:tcPr>
          <w:p w14:paraId="2DF1567C" w14:textId="77777777" w:rsidR="00800FAC" w:rsidRPr="00800FAC" w:rsidRDefault="00800FAC" w:rsidP="0056540D">
            <w:pPr>
              <w:spacing w:line="360" w:lineRule="auto"/>
              <w:jc w:val="left"/>
              <w:rPr>
                <w:rFonts w:ascii="宋体" w:eastAsia="宋体" w:hAnsi="宋体"/>
                <w:color w:val="000000" w:themeColor="text1"/>
              </w:rPr>
            </w:pPr>
            <w:r w:rsidRPr="00800FAC">
              <w:rPr>
                <w:rFonts w:ascii="宋体" w:eastAsia="宋体" w:hAnsi="宋体" w:hint="eastAsia"/>
                <w:color w:val="000000" w:themeColor="text1"/>
              </w:rPr>
              <w:t>经营情况简介</w:t>
            </w:r>
          </w:p>
          <w:p w14:paraId="1E8F9BF4" w14:textId="77777777" w:rsidR="00800FAC" w:rsidRPr="00800FAC" w:rsidRDefault="00800FAC" w:rsidP="00800FAC">
            <w:pPr>
              <w:spacing w:line="360" w:lineRule="auto"/>
              <w:ind w:firstLineChars="200" w:firstLine="420"/>
              <w:rPr>
                <w:rFonts w:ascii="宋体" w:eastAsia="宋体" w:hAnsi="宋体"/>
                <w:color w:val="000000" w:themeColor="text1"/>
              </w:rPr>
            </w:pPr>
            <w:r w:rsidRPr="00800FAC">
              <w:rPr>
                <w:rFonts w:ascii="宋体" w:eastAsia="宋体" w:hAnsi="宋体" w:hint="eastAsia"/>
                <w:color w:val="000000" w:themeColor="text1"/>
              </w:rPr>
              <w:t>2024年度，公司积极拥抱端侧产品AI化的进程，持续投入技术研发并高度重视市场拓展工作。报告期内，公司产品表现亮眼，销售收入与净利润稳健快速增长。其中，端侧AI处理器芯片凭借低功耗、高算力的优势，出货量不断攀升，销售收入实现倍数增长；低延迟高音质无线音频产品持续放量，销售额持续上扬；蓝牙音箱SoC芯片持续加大在头部品牌客户的渗透力度，不断深化公司与客户合作的广度和深度。</w:t>
            </w:r>
          </w:p>
          <w:p w14:paraId="065EAF5E" w14:textId="77777777" w:rsidR="00800FAC" w:rsidRPr="00800FAC" w:rsidRDefault="00800FAC" w:rsidP="00800FAC">
            <w:pPr>
              <w:spacing w:line="360" w:lineRule="auto"/>
              <w:ind w:firstLineChars="200" w:firstLine="420"/>
              <w:rPr>
                <w:rFonts w:ascii="宋体" w:eastAsia="宋体" w:hAnsi="宋体"/>
                <w:color w:val="000000" w:themeColor="text1"/>
              </w:rPr>
            </w:pPr>
            <w:r w:rsidRPr="00800FAC">
              <w:rPr>
                <w:rFonts w:ascii="宋体" w:eastAsia="宋体" w:hAnsi="宋体" w:hint="eastAsia"/>
                <w:color w:val="000000" w:themeColor="text1"/>
              </w:rPr>
              <w:t>2024年，公司实现营业收入6.52亿元，同比增长25.34%；实现归属于上市公司股东的净利润1.06亿元，同比增长63.83%；实现归属于上市公司股东的扣除非经常性损益的净利润7855.39万元，同比增长53.65%。报告期内，公司研发投入合计2.15亿元，同比增长30.06%，公司完成了CPU+DSP+NPU三核异构核心架构的研发，发布了第一代三核架构芯片，基于SRAM的模数混合存内计算技术，打造了低功耗大算力的端侧AI芯片平台；同时，公司高度重视构筑端侧AI开发生态环境的建设，发布了ANDT开发工具链，具有良好的兼容性、丰富的算子库，可以有效提升客户AI模型的部署效率，不断拓展产品的应用边界。</w:t>
            </w:r>
          </w:p>
          <w:p w14:paraId="2264D2C0" w14:textId="77777777" w:rsidR="00800FAC" w:rsidRPr="00AD784A" w:rsidRDefault="00800FAC" w:rsidP="00800FA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1</w:t>
            </w:r>
            <w:r w:rsidRPr="00AD784A">
              <w:rPr>
                <w:rFonts w:ascii="宋体" w:eastAsia="宋体" w:hAnsi="宋体" w:hint="eastAsia"/>
                <w:b/>
                <w:color w:val="000000" w:themeColor="text1"/>
              </w:rPr>
              <w:t>：</w:t>
            </w:r>
            <w:r>
              <w:rPr>
                <w:rFonts w:ascii="宋体" w:eastAsia="宋体" w:hAnsi="宋体" w:hint="eastAsia"/>
                <w:b/>
                <w:color w:val="000000" w:themeColor="text1"/>
              </w:rPr>
              <w:t>2</w:t>
            </w:r>
            <w:r>
              <w:rPr>
                <w:rFonts w:ascii="宋体" w:eastAsia="宋体" w:hAnsi="宋体"/>
                <w:b/>
                <w:color w:val="000000" w:themeColor="text1"/>
              </w:rPr>
              <w:t>024</w:t>
            </w:r>
            <w:r>
              <w:rPr>
                <w:rFonts w:ascii="宋体" w:eastAsia="宋体" w:hAnsi="宋体" w:hint="eastAsia"/>
                <w:b/>
                <w:color w:val="000000" w:themeColor="text1"/>
              </w:rPr>
              <w:t>年营收增速较高的产品是哪些？</w:t>
            </w:r>
          </w:p>
          <w:p w14:paraId="10F5C2A1" w14:textId="77777777" w:rsidR="00800FAC" w:rsidRPr="00F274E8" w:rsidRDefault="00800FAC" w:rsidP="00800FA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122CD8">
              <w:rPr>
                <w:rFonts w:ascii="宋体" w:eastAsia="宋体" w:hAnsi="宋体" w:hint="eastAsia"/>
                <w:color w:val="000000" w:themeColor="text1"/>
              </w:rPr>
              <w:t>公司增速较快的是蓝牙音箱</w:t>
            </w:r>
            <w:r w:rsidRPr="00122CD8">
              <w:rPr>
                <w:rFonts w:ascii="宋体" w:eastAsia="宋体" w:hAnsi="宋体"/>
                <w:color w:val="000000" w:themeColor="text1"/>
              </w:rPr>
              <w:t>SoC芯片、低延迟高音质无线音频SoC芯</w:t>
            </w:r>
            <w:r w:rsidRPr="00122CD8">
              <w:rPr>
                <w:rFonts w:ascii="宋体" w:eastAsia="宋体" w:hAnsi="宋体"/>
                <w:color w:val="000000" w:themeColor="text1"/>
              </w:rPr>
              <w:lastRenderedPageBreak/>
              <w:t>片和端侧AI处理器芯片产品。其中：在蓝牙音箱市场，公司国际一线品牌持续提升渗透率，获得了稳健的增长；在低延迟高音质无线音频芯片市场，公司把握无线家庭影院音响系统、无线电竞耳机、无线麦克风市场有线转无线化的趋势，取得了同比显著增长；在端侧AI处理器市场，公司突出在低功耗下提供大算力的特点，为客户提供优秀的解决方案，产品出货量实现倍数提升</w:t>
            </w:r>
            <w:r w:rsidRPr="00BF1C88">
              <w:rPr>
                <w:rFonts w:ascii="宋体" w:eastAsia="宋体" w:hAnsi="宋体"/>
                <w:color w:val="000000" w:themeColor="text1"/>
              </w:rPr>
              <w:t>。</w:t>
            </w:r>
          </w:p>
          <w:p w14:paraId="3F385AC7" w14:textId="77777777" w:rsidR="00800FAC" w:rsidRPr="00E65923" w:rsidRDefault="00800FAC" w:rsidP="00800FAC">
            <w:pPr>
              <w:spacing w:line="360" w:lineRule="auto"/>
              <w:rPr>
                <w:rFonts w:ascii="宋体" w:eastAsia="宋体" w:hAnsi="宋体"/>
                <w:b/>
                <w:color w:val="000000" w:themeColor="text1"/>
              </w:rPr>
            </w:pPr>
            <w:r w:rsidRPr="00E65923">
              <w:rPr>
                <w:rFonts w:ascii="宋体" w:eastAsia="宋体" w:hAnsi="宋体" w:hint="eastAsia"/>
                <w:b/>
                <w:color w:val="000000" w:themeColor="text1"/>
              </w:rPr>
              <w:t>Q</w:t>
            </w:r>
            <w:r>
              <w:rPr>
                <w:rFonts w:ascii="宋体" w:eastAsia="宋体" w:hAnsi="宋体"/>
                <w:b/>
                <w:color w:val="000000" w:themeColor="text1"/>
              </w:rPr>
              <w:t>2</w:t>
            </w:r>
            <w:r w:rsidRPr="00E65923">
              <w:rPr>
                <w:rFonts w:ascii="宋体" w:eastAsia="宋体" w:hAnsi="宋体" w:hint="eastAsia"/>
                <w:b/>
                <w:color w:val="000000" w:themeColor="text1"/>
              </w:rPr>
              <w:t>：</w:t>
            </w:r>
            <w:r>
              <w:rPr>
                <w:rFonts w:ascii="宋体" w:eastAsia="宋体" w:hAnsi="宋体" w:hint="eastAsia"/>
                <w:b/>
                <w:color w:val="000000" w:themeColor="text1"/>
              </w:rPr>
              <w:t>公司发布了今年一季度业绩预告，盈利水平和盈利能力同环比的表现都超出了市场的预期，请问原因是什么，怎么展望这个趋势？</w:t>
            </w:r>
          </w:p>
          <w:p w14:paraId="6FFF5849" w14:textId="6791389A" w:rsidR="00800FAC" w:rsidRDefault="00800FAC" w:rsidP="00800FAC">
            <w:pPr>
              <w:spacing w:line="360" w:lineRule="auto"/>
              <w:rPr>
                <w:rFonts w:ascii="宋体" w:eastAsia="宋体" w:hAnsi="宋体"/>
              </w:rPr>
            </w:pPr>
            <w:r>
              <w:rPr>
                <w:rFonts w:ascii="宋体" w:eastAsia="宋体" w:hAnsi="宋体" w:hint="eastAsia"/>
              </w:rPr>
              <w:t>答：公司发布了2</w:t>
            </w:r>
            <w:r>
              <w:rPr>
                <w:rFonts w:ascii="宋体" w:eastAsia="宋体" w:hAnsi="宋体"/>
              </w:rPr>
              <w:t>025</w:t>
            </w:r>
            <w:r>
              <w:rPr>
                <w:rFonts w:ascii="宋体" w:eastAsia="宋体" w:hAnsi="宋体" w:hint="eastAsia"/>
              </w:rPr>
              <w:t>年第一季度业绩预告，</w:t>
            </w:r>
            <w:r w:rsidRPr="00DA1FD1">
              <w:rPr>
                <w:rFonts w:ascii="宋体" w:eastAsia="宋体" w:hAnsi="宋体"/>
              </w:rPr>
              <w:t>预计实现营业收入约为1</w:t>
            </w:r>
            <w:r>
              <w:rPr>
                <w:rFonts w:ascii="宋体" w:eastAsia="宋体" w:hAnsi="宋体"/>
              </w:rPr>
              <w:t>.</w:t>
            </w:r>
            <w:r w:rsidRPr="00DA1FD1">
              <w:rPr>
                <w:rFonts w:ascii="宋体" w:eastAsia="宋体" w:hAnsi="宋体"/>
              </w:rPr>
              <w:t>91</w:t>
            </w:r>
            <w:r>
              <w:rPr>
                <w:rFonts w:ascii="宋体" w:eastAsia="宋体" w:hAnsi="宋体" w:hint="eastAsia"/>
              </w:rPr>
              <w:t>亿</w:t>
            </w:r>
            <w:r w:rsidRPr="00DA1FD1">
              <w:rPr>
                <w:rFonts w:ascii="宋体" w:eastAsia="宋体" w:hAnsi="宋体"/>
              </w:rPr>
              <w:t>元，同比增加61.23%</w:t>
            </w:r>
            <w:r>
              <w:rPr>
                <w:rFonts w:ascii="宋体" w:eastAsia="宋体" w:hAnsi="宋体" w:hint="eastAsia"/>
              </w:rPr>
              <w:t>，</w:t>
            </w:r>
            <w:r w:rsidRPr="00DA1FD1">
              <w:rPr>
                <w:rFonts w:ascii="宋体" w:eastAsia="宋体" w:hAnsi="宋体" w:hint="eastAsia"/>
              </w:rPr>
              <w:t>实现归</w:t>
            </w:r>
            <w:r>
              <w:rPr>
                <w:rFonts w:ascii="宋体" w:eastAsia="宋体" w:hAnsi="宋体" w:hint="eastAsia"/>
              </w:rPr>
              <w:t>母</w:t>
            </w:r>
            <w:r w:rsidRPr="00DA1FD1">
              <w:rPr>
                <w:rFonts w:ascii="宋体" w:eastAsia="宋体" w:hAnsi="宋体" w:hint="eastAsia"/>
              </w:rPr>
              <w:t>净利润约为</w:t>
            </w:r>
            <w:r w:rsidRPr="00DA1FD1">
              <w:rPr>
                <w:rFonts w:ascii="宋体" w:eastAsia="宋体" w:hAnsi="宋体"/>
              </w:rPr>
              <w:t>4130万</w:t>
            </w:r>
            <w:r>
              <w:rPr>
                <w:rFonts w:ascii="宋体" w:eastAsia="宋体" w:hAnsi="宋体" w:hint="eastAsia"/>
              </w:rPr>
              <w:t>，</w:t>
            </w:r>
            <w:r w:rsidRPr="00DA1FD1">
              <w:rPr>
                <w:rFonts w:ascii="宋体" w:eastAsia="宋体" w:hAnsi="宋体" w:hint="eastAsia"/>
              </w:rPr>
              <w:t>同比增加</w:t>
            </w:r>
            <w:r w:rsidRPr="00DA1FD1">
              <w:rPr>
                <w:rFonts w:ascii="宋体" w:eastAsia="宋体" w:hAnsi="宋体"/>
              </w:rPr>
              <w:t>383.91%</w:t>
            </w:r>
            <w:r>
              <w:rPr>
                <w:rFonts w:ascii="宋体" w:eastAsia="宋体" w:hAnsi="宋体" w:hint="eastAsia"/>
              </w:rPr>
              <w:t>，</w:t>
            </w:r>
            <w:r w:rsidRPr="00DA1FD1">
              <w:rPr>
                <w:rFonts w:ascii="宋体" w:eastAsia="宋体" w:hAnsi="宋体" w:hint="eastAsia"/>
              </w:rPr>
              <w:t>实现</w:t>
            </w:r>
            <w:r>
              <w:rPr>
                <w:rFonts w:ascii="宋体" w:eastAsia="宋体" w:hAnsi="宋体" w:hint="eastAsia"/>
              </w:rPr>
              <w:t>扣非归母</w:t>
            </w:r>
            <w:r w:rsidRPr="00DA1FD1">
              <w:rPr>
                <w:rFonts w:ascii="宋体" w:eastAsia="宋体" w:hAnsi="宋体" w:hint="eastAsia"/>
              </w:rPr>
              <w:t>净利润约为</w:t>
            </w:r>
            <w:r w:rsidRPr="00DA1FD1">
              <w:rPr>
                <w:rFonts w:ascii="宋体" w:eastAsia="宋体" w:hAnsi="宋体"/>
              </w:rPr>
              <w:t>3850万元</w:t>
            </w:r>
            <w:r>
              <w:rPr>
                <w:rFonts w:ascii="宋体" w:eastAsia="宋体" w:hAnsi="宋体" w:hint="eastAsia"/>
              </w:rPr>
              <w:t>，同比增加</w:t>
            </w:r>
            <w:r w:rsidRPr="00DA1FD1">
              <w:rPr>
                <w:rFonts w:ascii="宋体" w:eastAsia="宋体" w:hAnsi="宋体"/>
              </w:rPr>
              <w:t>603.90%</w:t>
            </w:r>
            <w:r>
              <w:rPr>
                <w:rFonts w:ascii="宋体" w:eastAsia="宋体" w:hAnsi="宋体" w:hint="eastAsia"/>
              </w:rPr>
              <w:t>。从消费电子行业的历史数据看，第一季度通常为淡季，</w:t>
            </w:r>
            <w:r w:rsidRPr="00383ADE">
              <w:rPr>
                <w:rFonts w:ascii="宋体" w:eastAsia="宋体" w:hAnsi="宋体" w:hint="eastAsia"/>
              </w:rPr>
              <w:t>第二、三季度通常会是旺季</w:t>
            </w:r>
            <w:r>
              <w:rPr>
                <w:rFonts w:ascii="宋体" w:eastAsia="宋体" w:hAnsi="宋体" w:hint="eastAsia"/>
              </w:rPr>
              <w:t>。</w:t>
            </w:r>
            <w:r w:rsidR="00827FFC" w:rsidRPr="00827FFC">
              <w:rPr>
                <w:rFonts w:ascii="宋体" w:eastAsia="宋体" w:hAnsi="宋体" w:hint="eastAsia"/>
              </w:rPr>
              <w:t>今年公司第一季度的业绩表现亮眼，主要是来自于深耕客户市场产</w:t>
            </w:r>
            <w:r w:rsidR="00827FFC">
              <w:rPr>
                <w:rFonts w:ascii="宋体" w:eastAsia="宋体" w:hAnsi="宋体" w:hint="eastAsia"/>
              </w:rPr>
              <w:t>品销售结构不断优化、投入研发持续提升产品竞争力所带来的持续增长</w:t>
            </w:r>
            <w:r>
              <w:rPr>
                <w:rFonts w:ascii="宋体" w:eastAsia="宋体" w:hAnsi="宋体" w:hint="eastAsia"/>
              </w:rPr>
              <w:t>。</w:t>
            </w:r>
          </w:p>
          <w:p w14:paraId="31EADA1D" w14:textId="77777777" w:rsidR="00800FAC" w:rsidRPr="00CC4A1E" w:rsidRDefault="00800FAC" w:rsidP="00800FAC">
            <w:pPr>
              <w:spacing w:line="360" w:lineRule="auto"/>
              <w:rPr>
                <w:rFonts w:ascii="宋体" w:eastAsia="宋体" w:hAnsi="宋体"/>
                <w:b/>
                <w:color w:val="000000" w:themeColor="text1"/>
              </w:rPr>
            </w:pPr>
            <w:r w:rsidRPr="00CC4A1E">
              <w:rPr>
                <w:rFonts w:ascii="宋体" w:eastAsia="宋体" w:hAnsi="宋体" w:hint="eastAsia"/>
                <w:b/>
                <w:color w:val="000000" w:themeColor="text1"/>
              </w:rPr>
              <w:t>Q</w:t>
            </w:r>
            <w:r w:rsidRPr="00CC4A1E">
              <w:rPr>
                <w:rFonts w:ascii="宋体" w:eastAsia="宋体" w:hAnsi="宋体"/>
                <w:b/>
                <w:color w:val="000000" w:themeColor="text1"/>
              </w:rPr>
              <w:t>3</w:t>
            </w:r>
            <w:r w:rsidRPr="00CC4A1E">
              <w:rPr>
                <w:rFonts w:ascii="宋体" w:eastAsia="宋体" w:hAnsi="宋体" w:hint="eastAsia"/>
                <w:b/>
                <w:color w:val="000000" w:themeColor="text1"/>
              </w:rPr>
              <w:t>：</w:t>
            </w:r>
            <w:r>
              <w:rPr>
                <w:rFonts w:ascii="宋体" w:eastAsia="宋体" w:hAnsi="宋体" w:hint="eastAsia"/>
                <w:b/>
                <w:color w:val="000000" w:themeColor="text1"/>
              </w:rPr>
              <w:t>美国关税政策的影响如何判断，公司有直接向美国本土出口芯片么</w:t>
            </w:r>
            <w:r w:rsidRPr="00CC4A1E">
              <w:rPr>
                <w:rFonts w:ascii="宋体" w:eastAsia="宋体" w:hAnsi="宋体" w:hint="eastAsia"/>
                <w:b/>
                <w:color w:val="000000" w:themeColor="text1"/>
              </w:rPr>
              <w:t>？</w:t>
            </w:r>
          </w:p>
          <w:p w14:paraId="19BE4C1A" w14:textId="77777777" w:rsidR="00800FAC"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w:t>
            </w:r>
            <w:r w:rsidRPr="00B50FF2">
              <w:rPr>
                <w:rFonts w:ascii="宋体" w:eastAsia="宋体" w:hAnsi="宋体" w:hint="eastAsia"/>
                <w:color w:val="000000" w:themeColor="text1"/>
              </w:rPr>
              <w:t>根据公司芯片下游应用场景、客户地域以及最终消费者分布情况分析，美国关税政策对于公司的直接影响较小。首先，公司芯片的销售模式主要为客户下单后，交付给指定加工厂或</w:t>
            </w:r>
            <w:r w:rsidRPr="00B50FF2">
              <w:rPr>
                <w:rFonts w:ascii="宋体" w:eastAsia="宋体" w:hAnsi="宋体"/>
                <w:color w:val="000000" w:themeColor="text1"/>
              </w:rPr>
              <w:t>ODM厂商，最终集成在AIoT终端产品后整机进行销售，并未直接对美国出口芯片，且通常情况下，SoC芯片供应商除了提供芯片，还为客户提供融合软硬件和算法的整体解决方案，品牌客户在选定芯片供应商后不会轻易发生变动，具有较强的客户粘性，据了解ODM厂商和加工厂也在全球范围布局了产能产线。其次，公司客户来自中国大陆、欧洲、日本、韩国、新加坡、北美、澳大利亚、印</w:t>
            </w:r>
            <w:r w:rsidRPr="00B50FF2">
              <w:rPr>
                <w:rFonts w:ascii="宋体" w:eastAsia="宋体" w:hAnsi="宋体" w:hint="eastAsia"/>
                <w:color w:val="000000" w:themeColor="text1"/>
              </w:rPr>
              <w:t>度等区域，客户地域分布上呈现多元化，以哈曼和</w:t>
            </w:r>
            <w:r w:rsidRPr="00B50FF2">
              <w:rPr>
                <w:rFonts w:ascii="宋体" w:eastAsia="宋体" w:hAnsi="宋体"/>
                <w:color w:val="000000" w:themeColor="text1"/>
              </w:rPr>
              <w:t>Bose为代表的美国本土品牌客户亦是面向全球消费电子市场进行销售，AIoT终端消费者在地区分布上较为均衡，且在消费电子领域，关税价格通常由进口商承担，价格传导机制上对于消费电子供应链企业影响有限。最后，公司已与下游客户、ODM厂商进行了充分沟通准备</w:t>
            </w:r>
            <w:r>
              <w:rPr>
                <w:rFonts w:ascii="宋体" w:eastAsia="宋体" w:hAnsi="宋体"/>
                <w:color w:val="000000" w:themeColor="text1"/>
              </w:rPr>
              <w:t>，从供应链安全角度做好了相应预案措施，</w:t>
            </w:r>
            <w:r w:rsidRPr="009F6885">
              <w:rPr>
                <w:rFonts w:ascii="宋体" w:eastAsia="宋体" w:hAnsi="宋体" w:hint="eastAsia"/>
                <w:color w:val="000000" w:themeColor="text1"/>
              </w:rPr>
              <w:t>相互协同以应对关税政策带来的不确定性影响</w:t>
            </w:r>
            <w:r>
              <w:rPr>
                <w:rFonts w:ascii="宋体" w:eastAsia="宋体" w:hAnsi="宋体" w:hint="eastAsia"/>
                <w:color w:val="000000" w:themeColor="text1"/>
              </w:rPr>
              <w:t>。</w:t>
            </w:r>
          </w:p>
          <w:p w14:paraId="347A3273" w14:textId="77777777" w:rsidR="00800FAC" w:rsidRPr="00921482" w:rsidRDefault="00800FAC" w:rsidP="00800FAC">
            <w:pPr>
              <w:spacing w:line="360" w:lineRule="auto"/>
              <w:rPr>
                <w:rFonts w:ascii="宋体" w:eastAsia="宋体" w:hAnsi="宋体"/>
                <w:b/>
                <w:color w:val="000000" w:themeColor="text1"/>
              </w:rPr>
            </w:pPr>
            <w:r w:rsidRPr="00921482">
              <w:rPr>
                <w:rFonts w:ascii="宋体" w:eastAsia="宋体" w:hAnsi="宋体" w:hint="eastAsia"/>
                <w:b/>
                <w:color w:val="000000" w:themeColor="text1"/>
              </w:rPr>
              <w:lastRenderedPageBreak/>
              <w:t>Q</w:t>
            </w:r>
            <w:r>
              <w:rPr>
                <w:rFonts w:ascii="宋体" w:eastAsia="宋体" w:hAnsi="宋体"/>
                <w:b/>
                <w:color w:val="000000" w:themeColor="text1"/>
              </w:rPr>
              <w:t>4</w:t>
            </w:r>
            <w:r w:rsidRPr="00921482">
              <w:rPr>
                <w:rFonts w:ascii="宋体" w:eastAsia="宋体" w:hAnsi="宋体" w:hint="eastAsia"/>
                <w:b/>
                <w:color w:val="000000" w:themeColor="text1"/>
              </w:rPr>
              <w:t>：</w:t>
            </w:r>
            <w:r>
              <w:rPr>
                <w:rFonts w:ascii="宋体" w:eastAsia="宋体" w:hAnsi="宋体" w:hint="eastAsia"/>
                <w:b/>
                <w:color w:val="000000" w:themeColor="text1"/>
              </w:rPr>
              <w:t>公司去年底正式发布了第一代三核架构的芯片产品，目前客户导入的进展如何？</w:t>
            </w:r>
          </w:p>
          <w:p w14:paraId="4EEE37AC" w14:textId="77777777" w:rsidR="00800FAC" w:rsidRPr="008823D3"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w:t>
            </w:r>
            <w:r w:rsidRPr="000A7DEA">
              <w:rPr>
                <w:rFonts w:ascii="宋体" w:eastAsia="宋体" w:hAnsi="宋体" w:hint="eastAsia"/>
                <w:color w:val="000000" w:themeColor="text1"/>
              </w:rPr>
              <w:t>公司</w:t>
            </w:r>
            <w:r>
              <w:rPr>
                <w:rFonts w:ascii="宋体" w:eastAsia="宋体" w:hAnsi="宋体" w:hint="eastAsia"/>
                <w:color w:val="000000" w:themeColor="text1"/>
              </w:rPr>
              <w:t>已</w:t>
            </w:r>
            <w:r w:rsidRPr="00013504">
              <w:rPr>
                <w:rFonts w:ascii="宋体" w:eastAsia="宋体" w:hAnsi="宋体" w:hint="eastAsia"/>
                <w:color w:val="000000" w:themeColor="text1"/>
              </w:rPr>
              <w:t>正式发布</w:t>
            </w:r>
            <w:r>
              <w:rPr>
                <w:rFonts w:ascii="宋体" w:eastAsia="宋体" w:hAnsi="宋体" w:hint="eastAsia"/>
                <w:color w:val="000000" w:themeColor="text1"/>
              </w:rPr>
              <w:t>最</w:t>
            </w:r>
            <w:r w:rsidRPr="00013504">
              <w:rPr>
                <w:rFonts w:ascii="宋体" w:eastAsia="宋体" w:hAnsi="宋体" w:hint="eastAsia"/>
                <w:color w:val="000000" w:themeColor="text1"/>
              </w:rPr>
              <w:t>新一代基于</w:t>
            </w:r>
            <w:r>
              <w:rPr>
                <w:rFonts w:ascii="宋体" w:eastAsia="宋体" w:hAnsi="宋体" w:hint="eastAsia"/>
                <w:color w:val="000000" w:themeColor="text1"/>
              </w:rPr>
              <w:t>S</w:t>
            </w:r>
            <w:r>
              <w:rPr>
                <w:rFonts w:ascii="宋体" w:eastAsia="宋体" w:hAnsi="宋体"/>
                <w:color w:val="000000" w:themeColor="text1"/>
              </w:rPr>
              <w:t>RAM</w:t>
            </w:r>
            <w:r>
              <w:rPr>
                <w:rFonts w:ascii="宋体" w:eastAsia="宋体" w:hAnsi="宋体" w:hint="eastAsia"/>
                <w:color w:val="000000" w:themeColor="text1"/>
              </w:rPr>
              <w:t>的模数混合存内计算的</w:t>
            </w:r>
            <w:r w:rsidRPr="00013504">
              <w:rPr>
                <w:rFonts w:ascii="宋体" w:eastAsia="宋体" w:hAnsi="宋体"/>
                <w:color w:val="000000" w:themeColor="text1"/>
              </w:rPr>
              <w:t>端侧AI音频芯片</w:t>
            </w:r>
            <w:r>
              <w:rPr>
                <w:rFonts w:ascii="宋体" w:eastAsia="宋体" w:hAnsi="宋体" w:hint="eastAsia"/>
                <w:color w:val="000000" w:themeColor="text1"/>
              </w:rPr>
              <w:t>，采用CPU</w:t>
            </w:r>
            <w:r>
              <w:rPr>
                <w:rFonts w:ascii="宋体" w:eastAsia="宋体" w:hAnsi="宋体"/>
                <w:color w:val="000000" w:themeColor="text1"/>
              </w:rPr>
              <w:t>+</w:t>
            </w:r>
            <w:r>
              <w:rPr>
                <w:rFonts w:ascii="宋体" w:eastAsia="宋体" w:hAnsi="宋体" w:hint="eastAsia"/>
                <w:color w:val="000000" w:themeColor="text1"/>
              </w:rPr>
              <w:t>DSP</w:t>
            </w:r>
            <w:r>
              <w:rPr>
                <w:rFonts w:ascii="宋体" w:eastAsia="宋体" w:hAnsi="宋体"/>
                <w:color w:val="000000" w:themeColor="text1"/>
              </w:rPr>
              <w:t>+</w:t>
            </w:r>
            <w:r>
              <w:rPr>
                <w:rFonts w:ascii="宋体" w:eastAsia="宋体" w:hAnsi="宋体" w:hint="eastAsia"/>
                <w:color w:val="000000" w:themeColor="text1"/>
              </w:rPr>
              <w:t>NPU三核异构架构，可在</w:t>
            </w:r>
            <w:r w:rsidRPr="00013504">
              <w:rPr>
                <w:rFonts w:ascii="宋体" w:eastAsia="宋体" w:hAnsi="宋体"/>
                <w:color w:val="000000" w:themeColor="text1"/>
              </w:rPr>
              <w:t>更低功耗</w:t>
            </w:r>
            <w:r>
              <w:rPr>
                <w:rFonts w:ascii="宋体" w:eastAsia="宋体" w:hAnsi="宋体" w:hint="eastAsia"/>
                <w:color w:val="000000" w:themeColor="text1"/>
              </w:rPr>
              <w:t>下提供</w:t>
            </w:r>
            <w:r w:rsidRPr="00013504">
              <w:rPr>
                <w:rFonts w:ascii="宋体" w:eastAsia="宋体" w:hAnsi="宋体"/>
                <w:color w:val="000000" w:themeColor="text1"/>
              </w:rPr>
              <w:t>更高算力</w:t>
            </w:r>
            <w:r>
              <w:rPr>
                <w:rFonts w:ascii="宋体" w:eastAsia="宋体" w:hAnsi="宋体" w:hint="eastAsia"/>
                <w:color w:val="000000" w:themeColor="text1"/>
              </w:rPr>
              <w:t>，同时兼具</w:t>
            </w:r>
            <w:r w:rsidRPr="00013504">
              <w:rPr>
                <w:rFonts w:ascii="宋体" w:eastAsia="宋体" w:hAnsi="宋体"/>
                <w:color w:val="000000" w:themeColor="text1"/>
              </w:rPr>
              <w:t>更低的延迟和增强的安全性</w:t>
            </w:r>
            <w:r>
              <w:rPr>
                <w:rFonts w:ascii="宋体" w:eastAsia="宋体" w:hAnsi="宋体" w:hint="eastAsia"/>
                <w:color w:val="000000" w:themeColor="text1"/>
              </w:rPr>
              <w:t>，将</w:t>
            </w:r>
            <w:r w:rsidRPr="00013504">
              <w:rPr>
                <w:rFonts w:ascii="宋体" w:eastAsia="宋体" w:hAnsi="宋体"/>
                <w:color w:val="000000" w:themeColor="text1"/>
              </w:rPr>
              <w:t>在音频应用和端侧AI中发挥重要作用</w:t>
            </w:r>
            <w:r>
              <w:rPr>
                <w:rFonts w:ascii="宋体" w:eastAsia="宋体" w:hAnsi="宋体" w:hint="eastAsia"/>
                <w:color w:val="000000" w:themeColor="text1"/>
              </w:rPr>
              <w:t>。产品共包括</w:t>
            </w:r>
            <w:r w:rsidRPr="00013504">
              <w:rPr>
                <w:rFonts w:ascii="宋体" w:eastAsia="宋体" w:hAnsi="宋体"/>
                <w:color w:val="000000" w:themeColor="text1"/>
              </w:rPr>
              <w:t>三个芯片系列：第一个系列是</w:t>
            </w:r>
            <w:r>
              <w:rPr>
                <w:rFonts w:ascii="宋体" w:eastAsia="宋体" w:hAnsi="宋体"/>
                <w:color w:val="000000" w:themeColor="text1"/>
              </w:rPr>
              <w:t>ATS323</w:t>
            </w:r>
            <w:r w:rsidRPr="00013504">
              <w:rPr>
                <w:rFonts w:ascii="宋体" w:eastAsia="宋体" w:hAnsi="宋体"/>
                <w:color w:val="000000" w:themeColor="text1"/>
              </w:rPr>
              <w:t>X，面向低延迟</w:t>
            </w:r>
            <w:r>
              <w:rPr>
                <w:rFonts w:ascii="宋体" w:eastAsia="宋体" w:hAnsi="宋体" w:hint="eastAsia"/>
                <w:color w:val="000000" w:themeColor="text1"/>
              </w:rPr>
              <w:t>高音质</w:t>
            </w:r>
            <w:r w:rsidRPr="00013504">
              <w:rPr>
                <w:rFonts w:ascii="宋体" w:eastAsia="宋体" w:hAnsi="宋体"/>
                <w:color w:val="000000" w:themeColor="text1"/>
              </w:rPr>
              <w:t>私有无线音频领域；第二个系列是</w:t>
            </w:r>
            <w:r>
              <w:rPr>
                <w:rFonts w:ascii="宋体" w:eastAsia="宋体" w:hAnsi="宋体"/>
                <w:color w:val="000000" w:themeColor="text1"/>
              </w:rPr>
              <w:t>ATS286</w:t>
            </w:r>
            <w:r w:rsidRPr="00013504">
              <w:rPr>
                <w:rFonts w:ascii="宋体" w:eastAsia="宋体" w:hAnsi="宋体"/>
                <w:color w:val="000000" w:themeColor="text1"/>
              </w:rPr>
              <w:t>X，面向蓝牙AI音频领域；第三个系列是</w:t>
            </w:r>
            <w:r>
              <w:rPr>
                <w:rFonts w:ascii="宋体" w:eastAsia="宋体" w:hAnsi="宋体"/>
                <w:color w:val="000000" w:themeColor="text1"/>
              </w:rPr>
              <w:t>ATS362</w:t>
            </w:r>
            <w:r w:rsidRPr="00013504">
              <w:rPr>
                <w:rFonts w:ascii="宋体" w:eastAsia="宋体" w:hAnsi="宋体"/>
                <w:color w:val="000000" w:themeColor="text1"/>
              </w:rPr>
              <w:t>X，面向</w:t>
            </w:r>
            <w:r>
              <w:rPr>
                <w:rFonts w:ascii="宋体" w:eastAsia="宋体" w:hAnsi="宋体" w:hint="eastAsia"/>
                <w:color w:val="000000" w:themeColor="text1"/>
              </w:rPr>
              <w:t>端侧AI处理器</w:t>
            </w:r>
            <w:r w:rsidRPr="00013504">
              <w:rPr>
                <w:rFonts w:ascii="宋体" w:eastAsia="宋体" w:hAnsi="宋体"/>
                <w:color w:val="000000" w:themeColor="text1"/>
              </w:rPr>
              <w:t>领域。</w:t>
            </w:r>
            <w:r>
              <w:rPr>
                <w:rFonts w:ascii="宋体" w:eastAsia="宋体" w:hAnsi="宋体" w:hint="eastAsia"/>
                <w:color w:val="000000" w:themeColor="text1"/>
              </w:rPr>
              <w:t>目前部分品牌客户已进入量产阶段，</w:t>
            </w:r>
            <w:r w:rsidRPr="005B0E59">
              <w:rPr>
                <w:rFonts w:ascii="宋体" w:eastAsia="宋体" w:hAnsi="宋体" w:hint="eastAsia"/>
                <w:color w:val="000000" w:themeColor="text1"/>
              </w:rPr>
              <w:t>近期已有客户终端产品发布上市</w:t>
            </w:r>
            <w:r>
              <w:rPr>
                <w:rFonts w:ascii="宋体" w:eastAsia="宋体" w:hAnsi="宋体" w:hint="eastAsia"/>
                <w:color w:val="000000" w:themeColor="text1"/>
              </w:rPr>
              <w:t>。</w:t>
            </w:r>
          </w:p>
          <w:p w14:paraId="23DAAFC8" w14:textId="77777777" w:rsidR="00800FAC" w:rsidRPr="00A66297" w:rsidRDefault="00800FAC" w:rsidP="00800FAC">
            <w:pPr>
              <w:spacing w:line="360" w:lineRule="auto"/>
              <w:rPr>
                <w:rFonts w:ascii="宋体" w:eastAsia="宋体" w:hAnsi="宋体"/>
                <w:b/>
              </w:rPr>
            </w:pPr>
            <w:r w:rsidRPr="00B31FE1">
              <w:rPr>
                <w:rFonts w:ascii="宋体" w:eastAsia="宋体" w:hAnsi="宋体" w:hint="eastAsia"/>
                <w:b/>
              </w:rPr>
              <w:t>Q</w:t>
            </w:r>
            <w:r>
              <w:rPr>
                <w:rFonts w:ascii="宋体" w:eastAsia="宋体" w:hAnsi="宋体"/>
                <w:b/>
              </w:rPr>
              <w:t>5</w:t>
            </w:r>
            <w:r w:rsidRPr="00B31FE1">
              <w:rPr>
                <w:rFonts w:ascii="宋体" w:eastAsia="宋体" w:hAnsi="宋体" w:hint="eastAsia"/>
                <w:b/>
              </w:rPr>
              <w:t>：</w:t>
            </w:r>
            <w:r>
              <w:rPr>
                <w:rFonts w:ascii="宋体" w:eastAsia="宋体" w:hAnsi="宋体" w:hint="eastAsia"/>
                <w:b/>
              </w:rPr>
              <w:t>如何展望今年新产品贡献营收的趋势，对于公司ASP拉动的影响？</w:t>
            </w:r>
          </w:p>
          <w:p w14:paraId="17964D85" w14:textId="77777777" w:rsidR="00800FAC"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w:t>
            </w:r>
            <w:r>
              <w:rPr>
                <w:rFonts w:ascii="宋体" w:eastAsia="宋体" w:hAnsi="宋体"/>
                <w:color w:val="000000" w:themeColor="text1"/>
              </w:rPr>
              <w:t xml:space="preserve"> </w:t>
            </w:r>
            <w:r w:rsidRPr="008A1DF4">
              <w:rPr>
                <w:rFonts w:ascii="宋体" w:eastAsia="宋体" w:hAnsi="宋体" w:hint="eastAsia"/>
                <w:color w:val="000000" w:themeColor="text1"/>
              </w:rPr>
              <w:t>公司基于三核</w:t>
            </w:r>
            <w:r w:rsidRPr="008A1DF4">
              <w:rPr>
                <w:rFonts w:ascii="宋体" w:eastAsia="宋体" w:hAnsi="宋体"/>
                <w:color w:val="000000" w:themeColor="text1"/>
              </w:rPr>
              <w:t>异构</w:t>
            </w:r>
            <w:r>
              <w:rPr>
                <w:rFonts w:ascii="宋体" w:eastAsia="宋体" w:hAnsi="宋体" w:hint="eastAsia"/>
                <w:color w:val="000000" w:themeColor="text1"/>
              </w:rPr>
              <w:t>架构</w:t>
            </w:r>
            <w:r w:rsidRPr="008A1DF4">
              <w:rPr>
                <w:rFonts w:ascii="宋体" w:eastAsia="宋体" w:hAnsi="宋体"/>
                <w:color w:val="000000" w:themeColor="text1"/>
              </w:rPr>
              <w:t>的芯片采用了更加先进的工艺制程，相较公司现有产品可以在现有功耗水平下提供几十倍至上百倍的算力提升，而相较于市场上主流的NPU产品能效比可以提升至少三倍以上，相较于主流的DSP产品在功耗方面能降低接近90%</w:t>
            </w:r>
            <w:r>
              <w:rPr>
                <w:rFonts w:ascii="宋体" w:eastAsia="宋体" w:hAnsi="宋体" w:hint="eastAsia"/>
                <w:color w:val="000000" w:themeColor="text1"/>
              </w:rPr>
              <w:t>，</w:t>
            </w:r>
            <w:r w:rsidRPr="008A1DF4">
              <w:rPr>
                <w:rFonts w:ascii="宋体" w:eastAsia="宋体" w:hAnsi="宋体"/>
                <w:color w:val="000000" w:themeColor="text1"/>
              </w:rPr>
              <w:t>因此在价格上相较公司上代产品也会有十分明显的提升</w:t>
            </w:r>
            <w:r>
              <w:rPr>
                <w:rFonts w:ascii="宋体" w:eastAsia="宋体" w:hAnsi="宋体" w:hint="eastAsia"/>
                <w:color w:val="000000" w:themeColor="text1"/>
              </w:rPr>
              <w:t>，今年新产品将对营收以及ASP持续产生正向拉动</w:t>
            </w:r>
            <w:r w:rsidRPr="008A1DF4">
              <w:rPr>
                <w:rFonts w:ascii="宋体" w:eastAsia="宋体" w:hAnsi="宋体"/>
                <w:color w:val="000000" w:themeColor="text1"/>
              </w:rPr>
              <w:t>。</w:t>
            </w:r>
          </w:p>
          <w:p w14:paraId="7C28B431" w14:textId="77777777" w:rsidR="00800FAC" w:rsidRPr="00AD784A" w:rsidRDefault="00800FAC" w:rsidP="00800FAC">
            <w:pPr>
              <w:spacing w:line="360" w:lineRule="auto"/>
              <w:rPr>
                <w:rFonts w:ascii="宋体" w:eastAsia="宋体" w:hAnsi="宋体"/>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6</w:t>
            </w:r>
            <w:r w:rsidRPr="00AD784A">
              <w:rPr>
                <w:rFonts w:ascii="宋体" w:eastAsia="宋体" w:hAnsi="宋体" w:hint="eastAsia"/>
                <w:b/>
                <w:color w:val="000000" w:themeColor="text1"/>
              </w:rPr>
              <w:t>：</w:t>
            </w:r>
            <w:r w:rsidRPr="003446FD">
              <w:rPr>
                <w:rFonts w:ascii="宋体" w:eastAsia="宋体" w:hAnsi="宋体" w:hint="eastAsia"/>
                <w:b/>
                <w:color w:val="000000" w:themeColor="text1"/>
              </w:rPr>
              <w:t>公司对于收并购的方向和规划是什么</w:t>
            </w:r>
            <w:r>
              <w:rPr>
                <w:rFonts w:ascii="宋体" w:eastAsia="宋体" w:hAnsi="宋体" w:hint="eastAsia"/>
                <w:b/>
                <w:color w:val="000000" w:themeColor="text1"/>
              </w:rPr>
              <w:t>？</w:t>
            </w:r>
          </w:p>
          <w:p w14:paraId="4095A394" w14:textId="77777777" w:rsidR="00800FAC" w:rsidRPr="00E43705" w:rsidRDefault="00800FAC" w:rsidP="00800FA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3446FD">
              <w:rPr>
                <w:rFonts w:ascii="宋体" w:eastAsia="宋体" w:hAnsi="宋体" w:hint="eastAsia"/>
                <w:color w:val="000000" w:themeColor="text1"/>
              </w:rPr>
              <w:t>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47B12E45" w14:textId="77777777" w:rsidR="00800FAC" w:rsidRDefault="00800FAC" w:rsidP="00800FA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7</w:t>
            </w:r>
            <w:r>
              <w:rPr>
                <w:rFonts w:ascii="宋体" w:eastAsia="宋体" w:hAnsi="宋体" w:hint="eastAsia"/>
                <w:b/>
                <w:color w:val="000000" w:themeColor="text1"/>
              </w:rPr>
              <w:t>：三核架构除了对当前的场景的应用，未来会拓展在哪些潜在的领域？</w:t>
            </w:r>
          </w:p>
          <w:p w14:paraId="7348EE2C" w14:textId="273520AB" w:rsidR="00800FAC" w:rsidRDefault="00800FAC" w:rsidP="00800FAC">
            <w:pPr>
              <w:spacing w:line="360" w:lineRule="auto"/>
              <w:rPr>
                <w:rFonts w:ascii="宋体" w:eastAsia="宋体" w:hAnsi="宋体"/>
                <w:color w:val="000000" w:themeColor="text1"/>
              </w:rPr>
            </w:pPr>
            <w:r>
              <w:rPr>
                <w:rFonts w:ascii="宋体" w:eastAsia="宋体" w:hAnsi="宋体" w:hint="eastAsia"/>
                <w:b/>
                <w:color w:val="000000" w:themeColor="text1"/>
              </w:rPr>
              <w:t>答：</w:t>
            </w:r>
            <w:r>
              <w:rPr>
                <w:rFonts w:ascii="宋体" w:eastAsia="宋体" w:hAnsi="宋体" w:hint="eastAsia"/>
                <w:color w:val="000000" w:themeColor="text1"/>
              </w:rPr>
              <w:t>在基于S</w:t>
            </w:r>
            <w:r>
              <w:rPr>
                <w:rFonts w:ascii="宋体" w:eastAsia="宋体" w:hAnsi="宋体"/>
                <w:color w:val="000000" w:themeColor="text1"/>
              </w:rPr>
              <w:t>RAM</w:t>
            </w:r>
            <w:r>
              <w:rPr>
                <w:rFonts w:ascii="宋体" w:eastAsia="宋体" w:hAnsi="宋体" w:hint="eastAsia"/>
                <w:color w:val="000000" w:themeColor="text1"/>
              </w:rPr>
              <w:t>的模数混合存内计算技术路径下的端侧A</w:t>
            </w:r>
            <w:r>
              <w:rPr>
                <w:rFonts w:ascii="宋体" w:eastAsia="宋体" w:hAnsi="宋体"/>
                <w:color w:val="000000" w:themeColor="text1"/>
              </w:rPr>
              <w:t>I</w:t>
            </w:r>
            <w:r>
              <w:rPr>
                <w:rFonts w:ascii="宋体" w:eastAsia="宋体" w:hAnsi="宋体" w:hint="eastAsia"/>
                <w:color w:val="000000" w:themeColor="text1"/>
              </w:rPr>
              <w:t>音频芯片平台具有非常广阔的应用前景</w:t>
            </w:r>
            <w:r w:rsidRPr="00D9286A">
              <w:rPr>
                <w:rFonts w:ascii="宋体" w:eastAsia="宋体" w:hAnsi="宋体"/>
                <w:color w:val="000000" w:themeColor="text1"/>
              </w:rPr>
              <w:t>，主要</w:t>
            </w:r>
            <w:r>
              <w:rPr>
                <w:rFonts w:ascii="宋体" w:eastAsia="宋体" w:hAnsi="宋体" w:hint="eastAsia"/>
                <w:color w:val="000000" w:themeColor="text1"/>
              </w:rPr>
              <w:t>可以</w:t>
            </w:r>
            <w:r>
              <w:rPr>
                <w:rFonts w:ascii="宋体" w:eastAsia="宋体" w:hAnsi="宋体"/>
                <w:color w:val="000000" w:themeColor="text1"/>
              </w:rPr>
              <w:t>覆盖语音</w:t>
            </w:r>
            <w:r>
              <w:rPr>
                <w:rFonts w:ascii="宋体" w:eastAsia="宋体" w:hAnsi="宋体" w:hint="eastAsia"/>
                <w:color w:val="000000" w:themeColor="text1"/>
              </w:rPr>
              <w:t>与</w:t>
            </w:r>
            <w:r>
              <w:rPr>
                <w:rFonts w:ascii="宋体" w:eastAsia="宋体" w:hAnsi="宋体"/>
                <w:color w:val="000000" w:themeColor="text1"/>
              </w:rPr>
              <w:t>音频</w:t>
            </w:r>
            <w:r>
              <w:rPr>
                <w:rFonts w:ascii="宋体" w:eastAsia="宋体" w:hAnsi="宋体" w:hint="eastAsia"/>
                <w:color w:val="000000" w:themeColor="text1"/>
              </w:rPr>
              <w:t>、</w:t>
            </w:r>
            <w:r>
              <w:rPr>
                <w:rFonts w:ascii="宋体" w:eastAsia="宋体" w:hAnsi="宋体"/>
                <w:color w:val="000000" w:themeColor="text1"/>
              </w:rPr>
              <w:t>视觉识别以及健康类监测</w:t>
            </w:r>
            <w:r>
              <w:rPr>
                <w:rFonts w:ascii="宋体" w:eastAsia="宋体" w:hAnsi="宋体" w:hint="eastAsia"/>
                <w:color w:val="000000" w:themeColor="text1"/>
              </w:rPr>
              <w:t>等</w:t>
            </w:r>
            <w:r>
              <w:rPr>
                <w:rFonts w:ascii="宋体" w:eastAsia="宋体" w:hAnsi="宋体"/>
                <w:color w:val="000000" w:themeColor="text1"/>
              </w:rPr>
              <w:t>相关</w:t>
            </w:r>
            <w:r w:rsidRPr="00D9286A">
              <w:rPr>
                <w:rFonts w:ascii="宋体" w:eastAsia="宋体" w:hAnsi="宋体"/>
                <w:color w:val="000000" w:themeColor="text1"/>
              </w:rPr>
              <w:t>应用</w:t>
            </w:r>
            <w:r>
              <w:rPr>
                <w:rFonts w:ascii="宋体" w:eastAsia="宋体" w:hAnsi="宋体" w:hint="eastAsia"/>
                <w:color w:val="000000" w:themeColor="text1"/>
              </w:rPr>
              <w:t>场景，并且可实现端侧A</w:t>
            </w:r>
            <w:r>
              <w:rPr>
                <w:rFonts w:ascii="宋体" w:eastAsia="宋体" w:hAnsi="宋体"/>
                <w:color w:val="000000" w:themeColor="text1"/>
              </w:rPr>
              <w:t>I</w:t>
            </w:r>
            <w:r>
              <w:rPr>
                <w:rFonts w:ascii="宋体" w:eastAsia="宋体" w:hAnsi="宋体" w:hint="eastAsia"/>
                <w:color w:val="000000" w:themeColor="text1"/>
              </w:rPr>
              <w:t>解决方案的快速落地。公司也将积极打造</w:t>
            </w:r>
            <w:r w:rsidRPr="005B1506">
              <w:rPr>
                <w:rFonts w:ascii="宋体" w:eastAsia="宋体" w:hAnsi="宋体" w:hint="eastAsia"/>
                <w:color w:val="000000" w:themeColor="text1"/>
              </w:rPr>
              <w:t>AI开发生态，借助炬芯完整工具链轻松实现算法的融合，帮助客户迅速地完成产品落地</w:t>
            </w:r>
            <w:r w:rsidR="007C4AD7">
              <w:rPr>
                <w:rFonts w:ascii="宋体" w:eastAsia="宋体" w:hAnsi="宋体" w:hint="eastAsia"/>
                <w:color w:val="000000" w:themeColor="text1"/>
              </w:rPr>
              <w:t>，</w:t>
            </w:r>
            <w:r>
              <w:rPr>
                <w:rFonts w:ascii="宋体" w:eastAsia="宋体" w:hAnsi="宋体" w:hint="eastAsia"/>
                <w:color w:val="000000" w:themeColor="text1"/>
              </w:rPr>
              <w:t>积极助力AIoT产品AI化的不断演进。</w:t>
            </w:r>
          </w:p>
          <w:p w14:paraId="4FE5F768" w14:textId="77777777" w:rsidR="00800FAC" w:rsidRPr="00AD784A" w:rsidRDefault="00800FAC" w:rsidP="00800FA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8</w:t>
            </w:r>
            <w:r w:rsidRPr="00AD784A">
              <w:rPr>
                <w:rFonts w:ascii="宋体" w:eastAsia="宋体" w:hAnsi="宋体" w:hint="eastAsia"/>
                <w:b/>
                <w:color w:val="000000" w:themeColor="text1"/>
              </w:rPr>
              <w:t>：</w:t>
            </w:r>
            <w:r>
              <w:rPr>
                <w:rFonts w:ascii="宋体" w:eastAsia="宋体" w:hAnsi="宋体" w:hint="eastAsia"/>
                <w:b/>
                <w:color w:val="000000" w:themeColor="text1"/>
              </w:rPr>
              <w:t>接下来一段时间，研发投入的方向以及相关人员费用的规划是什么</w:t>
            </w:r>
            <w:r w:rsidRPr="00AD784A">
              <w:rPr>
                <w:rFonts w:ascii="宋体" w:eastAsia="宋体" w:hAnsi="宋体" w:hint="eastAsia"/>
                <w:b/>
                <w:color w:val="000000" w:themeColor="text1"/>
              </w:rPr>
              <w:t>？</w:t>
            </w:r>
          </w:p>
          <w:p w14:paraId="44514080" w14:textId="77777777" w:rsidR="00800FAC" w:rsidRDefault="00800FAC" w:rsidP="00800FA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技术研发是公司业绩增长的重要驱动力，公司很高兴看到技术研发投</w:t>
            </w:r>
            <w:r>
              <w:rPr>
                <w:rFonts w:ascii="宋体" w:eastAsia="宋体" w:hAnsi="宋体" w:hint="eastAsia"/>
                <w:color w:val="000000" w:themeColor="text1"/>
              </w:rPr>
              <w:lastRenderedPageBreak/>
              <w:t>入与营收规模提升保持着正向循环，2</w:t>
            </w:r>
            <w:r>
              <w:rPr>
                <w:rFonts w:ascii="宋体" w:eastAsia="宋体" w:hAnsi="宋体"/>
                <w:color w:val="000000" w:themeColor="text1"/>
              </w:rPr>
              <w:t>024</w:t>
            </w:r>
            <w:r>
              <w:rPr>
                <w:rFonts w:ascii="宋体" w:eastAsia="宋体" w:hAnsi="宋体" w:hint="eastAsia"/>
                <w:color w:val="000000" w:themeColor="text1"/>
              </w:rPr>
              <w:t>年公司研发支出2</w:t>
            </w:r>
            <w:r>
              <w:rPr>
                <w:rFonts w:ascii="宋体" w:eastAsia="宋体" w:hAnsi="宋体"/>
                <w:color w:val="000000" w:themeColor="text1"/>
              </w:rPr>
              <w:t>.15</w:t>
            </w:r>
            <w:r>
              <w:rPr>
                <w:rFonts w:ascii="宋体" w:eastAsia="宋体" w:hAnsi="宋体" w:hint="eastAsia"/>
                <w:color w:val="000000" w:themeColor="text1"/>
              </w:rPr>
              <w:t>亿元，占营收比例约3</w:t>
            </w:r>
            <w:r>
              <w:rPr>
                <w:rFonts w:ascii="宋体" w:eastAsia="宋体" w:hAnsi="宋体"/>
                <w:color w:val="000000" w:themeColor="text1"/>
              </w:rPr>
              <w:t>3%</w:t>
            </w:r>
            <w:r>
              <w:rPr>
                <w:rFonts w:ascii="宋体" w:eastAsia="宋体" w:hAnsi="宋体" w:hint="eastAsia"/>
                <w:color w:val="000000" w:themeColor="text1"/>
              </w:rPr>
              <w:t>，公司主要取得了三个方面的研发成果，第一是基于CIM技术打造了炬芯第一代三核异构架构的芯片平台，第二是发布了ANDT开发工具链，可以助力客户模型的快速部署，打造端侧AI高效开发生态环境，第三是持续升级拓展无线连接技术，低延迟高音质各项指标达到了业界先进水平。接下来一段时间，公司的研发投入方向也将继续围绕低功耗大算力、开发生态和无线连接三个方向拥抱端侧AI海量的芯片需求。</w:t>
            </w:r>
          </w:p>
          <w:p w14:paraId="7C2441AB" w14:textId="77777777" w:rsidR="00800FAC" w:rsidRPr="007D6D76" w:rsidRDefault="00800FAC" w:rsidP="00800FA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Pr>
                <w:rFonts w:ascii="宋体" w:eastAsia="宋体" w:hAnsi="宋体"/>
                <w:b/>
                <w:color w:val="000000" w:themeColor="text1"/>
              </w:rPr>
              <w:t>9</w:t>
            </w:r>
            <w:r>
              <w:rPr>
                <w:rFonts w:ascii="宋体" w:eastAsia="宋体" w:hAnsi="宋体" w:hint="eastAsia"/>
                <w:b/>
                <w:color w:val="000000" w:themeColor="text1"/>
              </w:rPr>
              <w:t>：公司存算技术后续的路线迭代是什么计划？</w:t>
            </w:r>
          </w:p>
          <w:p w14:paraId="15F82ECA" w14:textId="3D382D7C" w:rsidR="00800FAC"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答：在存内计算（CIM）技术迭代上，</w:t>
            </w:r>
            <w:r w:rsidR="00F21144">
              <w:rPr>
                <w:rFonts w:ascii="宋体" w:eastAsia="宋体" w:hAnsi="宋体" w:hint="eastAsia"/>
                <w:color w:val="000000" w:themeColor="text1"/>
              </w:rPr>
              <w:t>尤其是关键性能指标等方面</w:t>
            </w:r>
            <w:r>
              <w:rPr>
                <w:rFonts w:ascii="宋体" w:eastAsia="宋体" w:hAnsi="宋体" w:hint="eastAsia"/>
                <w:color w:val="000000" w:themeColor="text1"/>
              </w:rPr>
              <w:t>，</w:t>
            </w:r>
            <w:r w:rsidRPr="00BF748F">
              <w:rPr>
                <w:rFonts w:ascii="宋体" w:eastAsia="宋体" w:hAnsi="宋体" w:hint="eastAsia"/>
                <w:color w:val="000000" w:themeColor="text1"/>
              </w:rPr>
              <w:t>公司</w:t>
            </w:r>
            <w:r>
              <w:rPr>
                <w:rFonts w:ascii="宋体" w:eastAsia="宋体" w:hAnsi="宋体" w:hint="eastAsia"/>
                <w:color w:val="000000" w:themeColor="text1"/>
              </w:rPr>
              <w:t>有</w:t>
            </w:r>
            <w:r w:rsidR="00322899">
              <w:rPr>
                <w:rFonts w:ascii="宋体" w:eastAsia="宋体" w:hAnsi="宋体" w:hint="eastAsia"/>
                <w:color w:val="000000" w:themeColor="text1"/>
              </w:rPr>
              <w:t>着</w:t>
            </w:r>
            <w:r>
              <w:rPr>
                <w:rFonts w:ascii="宋体" w:eastAsia="宋体" w:hAnsi="宋体" w:hint="eastAsia"/>
                <w:color w:val="000000" w:themeColor="text1"/>
              </w:rPr>
              <w:t>清晰的路线规划，目前</w:t>
            </w:r>
            <w:r w:rsidRPr="00BF748F">
              <w:rPr>
                <w:rFonts w:ascii="宋体" w:eastAsia="宋体" w:hAnsi="宋体" w:hint="eastAsia"/>
                <w:color w:val="000000" w:themeColor="text1"/>
              </w:rPr>
              <w:t>已着手第二代</w:t>
            </w:r>
            <w:r w:rsidRPr="00BF748F">
              <w:rPr>
                <w:rFonts w:ascii="宋体" w:eastAsia="宋体" w:hAnsi="宋体"/>
                <w:color w:val="000000" w:themeColor="text1"/>
              </w:rPr>
              <w:t>CIM技术的相关IP研发工作，目标是将NPU单核算力提</w:t>
            </w:r>
            <w:r w:rsidRPr="00BF748F">
              <w:rPr>
                <w:rFonts w:ascii="宋体" w:eastAsia="宋体" w:hAnsi="宋体" w:hint="eastAsia"/>
                <w:color w:val="000000" w:themeColor="text1"/>
              </w:rPr>
              <w:t>升三倍至</w:t>
            </w:r>
            <w:r w:rsidRPr="00BF748F">
              <w:rPr>
                <w:rFonts w:ascii="宋体" w:eastAsia="宋体" w:hAnsi="宋体"/>
                <w:color w:val="000000" w:themeColor="text1"/>
              </w:rPr>
              <w:t>300GOPS，</w:t>
            </w:r>
            <w:r>
              <w:rPr>
                <w:rFonts w:ascii="宋体" w:eastAsia="宋体" w:hAnsi="宋体" w:hint="eastAsia"/>
                <w:color w:val="000000" w:themeColor="text1"/>
              </w:rPr>
              <w:t>并</w:t>
            </w:r>
            <w:r w:rsidRPr="00BF748F">
              <w:rPr>
                <w:rFonts w:ascii="宋体" w:eastAsia="宋体" w:hAnsi="宋体"/>
                <w:color w:val="000000" w:themeColor="text1"/>
              </w:rPr>
              <w:t>直接支持Transformer模型，</w:t>
            </w:r>
            <w:r>
              <w:rPr>
                <w:rFonts w:ascii="宋体" w:eastAsia="宋体" w:hAnsi="宋体" w:hint="eastAsia"/>
                <w:color w:val="000000" w:themeColor="text1"/>
              </w:rPr>
              <w:t>将</w:t>
            </w:r>
            <w:r w:rsidRPr="00BF748F">
              <w:rPr>
                <w:rFonts w:ascii="宋体" w:eastAsia="宋体" w:hAnsi="宋体"/>
                <w:color w:val="000000" w:themeColor="text1"/>
              </w:rPr>
              <w:t>能效比提高</w:t>
            </w:r>
            <w:r>
              <w:rPr>
                <w:rFonts w:ascii="宋体" w:eastAsia="宋体" w:hAnsi="宋体" w:hint="eastAsia"/>
                <w:color w:val="000000" w:themeColor="text1"/>
              </w:rPr>
              <w:t>至</w:t>
            </w:r>
            <w:r w:rsidRPr="00BF748F">
              <w:rPr>
                <w:rFonts w:ascii="宋体" w:eastAsia="宋体" w:hAnsi="宋体"/>
                <w:color w:val="000000" w:themeColor="text1"/>
              </w:rPr>
              <w:t>7.8TOPS/W @INT8</w:t>
            </w:r>
            <w:r>
              <w:rPr>
                <w:rFonts w:ascii="宋体" w:eastAsia="宋体" w:hAnsi="宋体" w:hint="eastAsia"/>
                <w:color w:val="000000" w:themeColor="text1"/>
              </w:rPr>
              <w:t>。</w:t>
            </w:r>
            <w:r>
              <w:rPr>
                <w:rFonts w:ascii="宋体" w:eastAsia="宋体" w:hAnsi="宋体"/>
                <w:color w:val="000000" w:themeColor="text1"/>
              </w:rPr>
              <w:t xml:space="preserve"> </w:t>
            </w:r>
          </w:p>
          <w:p w14:paraId="6D27C3FC" w14:textId="77777777" w:rsidR="00800FAC" w:rsidRPr="00AD784A" w:rsidRDefault="00800FAC" w:rsidP="00800FA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10</w:t>
            </w:r>
            <w:r w:rsidRPr="00AD784A">
              <w:rPr>
                <w:rFonts w:ascii="宋体" w:eastAsia="宋体" w:hAnsi="宋体" w:hint="eastAsia"/>
                <w:b/>
                <w:color w:val="000000" w:themeColor="text1"/>
              </w:rPr>
              <w:t>：</w:t>
            </w:r>
            <w:r>
              <w:rPr>
                <w:rFonts w:ascii="宋体" w:eastAsia="宋体" w:hAnsi="宋体" w:hint="eastAsia"/>
                <w:b/>
                <w:color w:val="000000" w:themeColor="text1"/>
              </w:rPr>
              <w:t>公司产品在端侧AI落地的场景以及后续对于端侧AI市场的规划</w:t>
            </w:r>
            <w:r w:rsidRPr="00AD784A">
              <w:rPr>
                <w:rFonts w:ascii="宋体" w:eastAsia="宋体" w:hAnsi="宋体" w:hint="eastAsia"/>
                <w:b/>
                <w:color w:val="000000" w:themeColor="text1"/>
              </w:rPr>
              <w:t xml:space="preserve">? </w:t>
            </w:r>
          </w:p>
          <w:p w14:paraId="29969B20" w14:textId="77777777" w:rsidR="00800FAC" w:rsidRDefault="00800FAC" w:rsidP="00800FA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公司的端侧AI处理器芯片当前优先应用在音频市场，相应的场景包括人声分离、AI智能降噪等，公司发挥自身的技术优势，可以为端侧产品提供低功耗下的AI算力。公司会持续打造低功耗的AI算力平台，将逐步拓展至音频之外的更多场景应用，比如运动健康方面的传感器数据A</w:t>
            </w:r>
            <w:r>
              <w:rPr>
                <w:rFonts w:ascii="宋体" w:eastAsia="宋体" w:hAnsi="宋体"/>
                <w:color w:val="000000" w:themeColor="text1"/>
              </w:rPr>
              <w:t>I</w:t>
            </w:r>
            <w:r>
              <w:rPr>
                <w:rFonts w:ascii="宋体" w:eastAsia="宋体" w:hAnsi="宋体" w:hint="eastAsia"/>
                <w:color w:val="000000" w:themeColor="text1"/>
              </w:rPr>
              <w:t>处理应用等。</w:t>
            </w:r>
          </w:p>
          <w:p w14:paraId="11C9E8C7" w14:textId="77777777" w:rsidR="00800FAC" w:rsidRPr="00C40CAD" w:rsidRDefault="00800FAC" w:rsidP="00800FAC">
            <w:pPr>
              <w:spacing w:line="360" w:lineRule="auto"/>
              <w:rPr>
                <w:rFonts w:ascii="宋体" w:eastAsia="宋体" w:hAnsi="宋体"/>
                <w:b/>
                <w:color w:val="000000" w:themeColor="text1"/>
              </w:rPr>
            </w:pPr>
            <w:r w:rsidRPr="00C40CAD">
              <w:rPr>
                <w:rFonts w:ascii="宋体" w:eastAsia="宋体" w:hAnsi="宋体" w:hint="eastAsia"/>
                <w:b/>
                <w:color w:val="000000" w:themeColor="text1"/>
              </w:rPr>
              <w:t>Q</w:t>
            </w:r>
            <w:r>
              <w:rPr>
                <w:rFonts w:ascii="宋体" w:eastAsia="宋体" w:hAnsi="宋体"/>
                <w:b/>
                <w:color w:val="000000" w:themeColor="text1"/>
              </w:rPr>
              <w:t>11</w:t>
            </w:r>
            <w:r w:rsidRPr="00C40CAD">
              <w:rPr>
                <w:rFonts w:ascii="宋体" w:eastAsia="宋体" w:hAnsi="宋体" w:hint="eastAsia"/>
                <w:b/>
                <w:color w:val="000000" w:themeColor="text1"/>
              </w:rPr>
              <w:t>：</w:t>
            </w:r>
            <w:r>
              <w:rPr>
                <w:rFonts w:ascii="宋体" w:eastAsia="宋体" w:hAnsi="宋体" w:hint="eastAsia"/>
                <w:b/>
                <w:color w:val="000000" w:themeColor="text1"/>
              </w:rPr>
              <w:t>看到公司公众号推送了客户Halliday</w:t>
            </w:r>
            <w:r>
              <w:rPr>
                <w:rFonts w:ascii="宋体" w:eastAsia="宋体" w:hAnsi="宋体"/>
                <w:b/>
                <w:color w:val="000000" w:themeColor="text1"/>
              </w:rPr>
              <w:t xml:space="preserve"> </w:t>
            </w:r>
            <w:r>
              <w:rPr>
                <w:rFonts w:ascii="宋体" w:eastAsia="宋体" w:hAnsi="宋体" w:hint="eastAsia"/>
                <w:b/>
                <w:color w:val="000000" w:themeColor="text1"/>
              </w:rPr>
              <w:t>AI眼镜的相关资讯，目前是否有其他的眼镜客户在对接导入？</w:t>
            </w:r>
            <w:r w:rsidRPr="00C40CAD">
              <w:rPr>
                <w:rFonts w:ascii="宋体" w:eastAsia="宋体" w:hAnsi="宋体"/>
                <w:b/>
                <w:color w:val="000000" w:themeColor="text1"/>
              </w:rPr>
              <w:t xml:space="preserve"> </w:t>
            </w:r>
          </w:p>
          <w:p w14:paraId="09F3DF15" w14:textId="77777777" w:rsidR="00800FAC"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答：公司</w:t>
            </w:r>
            <w:r w:rsidRPr="006D511A">
              <w:rPr>
                <w:rFonts w:ascii="宋体" w:eastAsia="宋体" w:hAnsi="宋体" w:hint="eastAsia"/>
                <w:color w:val="000000" w:themeColor="text1"/>
              </w:rPr>
              <w:t>作为</w:t>
            </w:r>
            <w:r w:rsidRPr="006D511A">
              <w:rPr>
                <w:rFonts w:ascii="宋体" w:eastAsia="宋体" w:hAnsi="宋体"/>
                <w:color w:val="000000" w:themeColor="text1"/>
              </w:rPr>
              <w:t>Halliday AI眼镜的智能穿戴芯片提供商，</w:t>
            </w:r>
            <w:r w:rsidRPr="006D511A">
              <w:rPr>
                <w:rFonts w:ascii="宋体" w:eastAsia="宋体" w:hAnsi="宋体" w:hint="eastAsia"/>
                <w:color w:val="000000" w:themeColor="text1"/>
              </w:rPr>
              <w:t>为</w:t>
            </w:r>
            <w:r w:rsidRPr="006D511A">
              <w:rPr>
                <w:rFonts w:ascii="宋体" w:eastAsia="宋体" w:hAnsi="宋体"/>
                <w:color w:val="000000" w:themeColor="text1"/>
              </w:rPr>
              <w:t>AI应用提供了低功耗大算力的高性能硬件基础，为用户带来了超长的续航，流畅丝滑的操作</w:t>
            </w:r>
            <w:r>
              <w:rPr>
                <w:rFonts w:ascii="宋体" w:eastAsia="宋体" w:hAnsi="宋体" w:hint="eastAsia"/>
                <w:color w:val="000000" w:themeColor="text1"/>
              </w:rPr>
              <w:t>体验，助力</w:t>
            </w:r>
            <w:r>
              <w:rPr>
                <w:rFonts w:ascii="宋体" w:eastAsia="宋体" w:hAnsi="宋体"/>
                <w:color w:val="000000" w:themeColor="text1"/>
              </w:rPr>
              <w:t>产品成功上市</w:t>
            </w:r>
            <w:r>
              <w:rPr>
                <w:rFonts w:ascii="宋体" w:eastAsia="宋体" w:hAnsi="宋体" w:hint="eastAsia"/>
                <w:color w:val="000000" w:themeColor="text1"/>
              </w:rPr>
              <w:t>。由于商业保密条款约束，公司暂无法提供其他客户在研AI眼镜项目的进展情况。</w:t>
            </w:r>
          </w:p>
          <w:p w14:paraId="6BC1D25D" w14:textId="77777777" w:rsidR="00800FAC" w:rsidRPr="007D6D76" w:rsidRDefault="00800FAC" w:rsidP="00800FA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Pr>
                <w:rFonts w:ascii="宋体" w:eastAsia="宋体" w:hAnsi="宋体"/>
                <w:b/>
                <w:color w:val="000000" w:themeColor="text1"/>
              </w:rPr>
              <w:t>12</w:t>
            </w:r>
            <w:r w:rsidRPr="007D6D76">
              <w:rPr>
                <w:rFonts w:ascii="宋体" w:eastAsia="宋体" w:hAnsi="宋体" w:hint="eastAsia"/>
                <w:b/>
                <w:color w:val="000000" w:themeColor="text1"/>
              </w:rPr>
              <w:t>：</w:t>
            </w:r>
            <w:r>
              <w:rPr>
                <w:rFonts w:ascii="宋体" w:eastAsia="宋体" w:hAnsi="宋体" w:hint="eastAsia"/>
                <w:b/>
                <w:color w:val="000000" w:themeColor="text1"/>
              </w:rPr>
              <w:t>针对AI眼镜、智能手表等智能穿戴类芯片会有新的芯片产品推出么？</w:t>
            </w:r>
          </w:p>
          <w:p w14:paraId="180FDABA" w14:textId="05B01A4C" w:rsidR="00CF7CB9" w:rsidRPr="008A26F2" w:rsidRDefault="00800FAC" w:rsidP="00800FAC">
            <w:pPr>
              <w:spacing w:line="360" w:lineRule="auto"/>
              <w:rPr>
                <w:rFonts w:ascii="宋体" w:eastAsia="宋体" w:hAnsi="宋体"/>
                <w:color w:val="000000" w:themeColor="text1"/>
              </w:rPr>
            </w:pPr>
            <w:r>
              <w:rPr>
                <w:rFonts w:ascii="宋体" w:eastAsia="宋体" w:hAnsi="宋体" w:hint="eastAsia"/>
                <w:color w:val="000000" w:themeColor="text1"/>
              </w:rPr>
              <w:t>答：目前公司相关研发工作正在稳步推进中，新一代智能穿戴芯片将采用三核架构，搭载存内计算技术，将为下游客户提供更具竞争力的芯片平台与产品解决方案。</w:t>
            </w:r>
          </w:p>
        </w:tc>
      </w:tr>
      <w:tr w:rsidR="00EE3EEC" w:rsidRPr="008E49B3" w14:paraId="71E94F5C" w14:textId="77777777" w:rsidTr="00564C8B">
        <w:trPr>
          <w:trHeight w:val="840"/>
          <w:jc w:val="center"/>
        </w:trPr>
        <w:tc>
          <w:tcPr>
            <w:tcW w:w="1413"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954"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564C8B">
        <w:trPr>
          <w:trHeight w:val="132"/>
          <w:jc w:val="center"/>
        </w:trPr>
        <w:tc>
          <w:tcPr>
            <w:tcW w:w="1413"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954"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564C8B">
        <w:trPr>
          <w:trHeight w:val="399"/>
          <w:jc w:val="center"/>
        </w:trPr>
        <w:tc>
          <w:tcPr>
            <w:tcW w:w="1413"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954" w:type="dxa"/>
            <w:shd w:val="clear" w:color="auto" w:fill="auto"/>
            <w:vAlign w:val="center"/>
          </w:tcPr>
          <w:p w14:paraId="3FCC9F0D" w14:textId="5AC50222" w:rsidR="00FE7F1E" w:rsidRPr="001603E5" w:rsidRDefault="0030176D" w:rsidP="005C0192">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D10CE3">
              <w:rPr>
                <w:rFonts w:ascii="宋体" w:eastAsia="宋体" w:hAnsi="宋体" w:cs="Times New Roman"/>
                <w:iCs/>
                <w:color w:val="000000" w:themeColor="text1"/>
                <w:sz w:val="24"/>
                <w:szCs w:val="24"/>
              </w:rPr>
              <w:t>04</w:t>
            </w:r>
            <w:r>
              <w:rPr>
                <w:rFonts w:ascii="宋体" w:eastAsia="宋体" w:hAnsi="宋体" w:cs="Times New Roman" w:hint="eastAsia"/>
                <w:iCs/>
                <w:color w:val="000000" w:themeColor="text1"/>
                <w:sz w:val="24"/>
                <w:szCs w:val="24"/>
              </w:rPr>
              <w:t>月</w:t>
            </w:r>
            <w:r w:rsidR="00EC5954">
              <w:rPr>
                <w:rFonts w:ascii="宋体" w:eastAsia="宋体" w:hAnsi="宋体" w:cs="Times New Roman"/>
                <w:iCs/>
                <w:color w:val="000000" w:themeColor="text1"/>
                <w:sz w:val="24"/>
                <w:szCs w:val="24"/>
              </w:rPr>
              <w:t>2</w:t>
            </w:r>
            <w:r w:rsidR="005C0192">
              <w:rPr>
                <w:rFonts w:ascii="宋体" w:eastAsia="宋体" w:hAnsi="宋体" w:cs="Times New Roman"/>
                <w:iCs/>
                <w:color w:val="000000" w:themeColor="text1"/>
                <w:sz w:val="24"/>
                <w:szCs w:val="24"/>
              </w:rPr>
              <w:t>5</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65B" w16cex:dateUtc="2023-07-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6DA6" w16cid:durableId="286A26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B8A1" w14:textId="77777777" w:rsidR="00000064" w:rsidRDefault="00000064" w:rsidP="00BF5D45">
      <w:r>
        <w:separator/>
      </w:r>
    </w:p>
  </w:endnote>
  <w:endnote w:type="continuationSeparator" w:id="0">
    <w:p w14:paraId="2E9CDDB3" w14:textId="77777777" w:rsidR="00000064" w:rsidRDefault="00000064"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808C" w14:textId="77777777" w:rsidR="00000064" w:rsidRDefault="00000064" w:rsidP="00BF5D45">
      <w:r>
        <w:separator/>
      </w:r>
    </w:p>
  </w:footnote>
  <w:footnote w:type="continuationSeparator" w:id="0">
    <w:p w14:paraId="5F0B12B4" w14:textId="77777777" w:rsidR="00000064" w:rsidRDefault="00000064"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064"/>
    <w:rsid w:val="00000B4D"/>
    <w:rsid w:val="0000466C"/>
    <w:rsid w:val="00004868"/>
    <w:rsid w:val="00005ACB"/>
    <w:rsid w:val="00007952"/>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A8"/>
    <w:rsid w:val="00053665"/>
    <w:rsid w:val="00053C03"/>
    <w:rsid w:val="0005452E"/>
    <w:rsid w:val="00054836"/>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A17F3"/>
    <w:rsid w:val="000A187B"/>
    <w:rsid w:val="000A288B"/>
    <w:rsid w:val="000A3CD0"/>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BE"/>
    <w:rsid w:val="001A21F2"/>
    <w:rsid w:val="001A3803"/>
    <w:rsid w:val="001A461F"/>
    <w:rsid w:val="001A4635"/>
    <w:rsid w:val="001A6269"/>
    <w:rsid w:val="001A6A96"/>
    <w:rsid w:val="001A79AD"/>
    <w:rsid w:val="001A7F5C"/>
    <w:rsid w:val="001B00B7"/>
    <w:rsid w:val="001B00D8"/>
    <w:rsid w:val="001B011E"/>
    <w:rsid w:val="001B058D"/>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1E83"/>
    <w:rsid w:val="003722F1"/>
    <w:rsid w:val="0037245D"/>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556"/>
    <w:rsid w:val="004567DD"/>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3E41"/>
    <w:rsid w:val="004C4539"/>
    <w:rsid w:val="004C6244"/>
    <w:rsid w:val="004C6956"/>
    <w:rsid w:val="004D1A75"/>
    <w:rsid w:val="004D3359"/>
    <w:rsid w:val="004D4156"/>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1BF4"/>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0192"/>
    <w:rsid w:val="005C19C5"/>
    <w:rsid w:val="005C223B"/>
    <w:rsid w:val="005C247B"/>
    <w:rsid w:val="005C3171"/>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632B"/>
    <w:rsid w:val="008A6FAC"/>
    <w:rsid w:val="008A7F7A"/>
    <w:rsid w:val="008B0919"/>
    <w:rsid w:val="008B25FA"/>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656D"/>
    <w:rsid w:val="00B07508"/>
    <w:rsid w:val="00B076A6"/>
    <w:rsid w:val="00B10150"/>
    <w:rsid w:val="00B1135B"/>
    <w:rsid w:val="00B12278"/>
    <w:rsid w:val="00B14251"/>
    <w:rsid w:val="00B1491F"/>
    <w:rsid w:val="00B177A7"/>
    <w:rsid w:val="00B17E07"/>
    <w:rsid w:val="00B2239C"/>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B1A"/>
    <w:rsid w:val="00C40D95"/>
    <w:rsid w:val="00C423B2"/>
    <w:rsid w:val="00C42556"/>
    <w:rsid w:val="00C42788"/>
    <w:rsid w:val="00C44B9D"/>
    <w:rsid w:val="00C45122"/>
    <w:rsid w:val="00C46E8A"/>
    <w:rsid w:val="00C47257"/>
    <w:rsid w:val="00C47614"/>
    <w:rsid w:val="00C5254A"/>
    <w:rsid w:val="00C52F40"/>
    <w:rsid w:val="00C531CC"/>
    <w:rsid w:val="00C53916"/>
    <w:rsid w:val="00C55E93"/>
    <w:rsid w:val="00C56171"/>
    <w:rsid w:val="00C60283"/>
    <w:rsid w:val="00C60D2D"/>
    <w:rsid w:val="00C61568"/>
    <w:rsid w:val="00C61ABD"/>
    <w:rsid w:val="00C62FDA"/>
    <w:rsid w:val="00C6345C"/>
    <w:rsid w:val="00C64540"/>
    <w:rsid w:val="00C647D6"/>
    <w:rsid w:val="00C66E8E"/>
    <w:rsid w:val="00C70327"/>
    <w:rsid w:val="00C7043A"/>
    <w:rsid w:val="00C70A77"/>
    <w:rsid w:val="00C70DF2"/>
    <w:rsid w:val="00C70F85"/>
    <w:rsid w:val="00C7174C"/>
    <w:rsid w:val="00C71ECB"/>
    <w:rsid w:val="00C7467A"/>
    <w:rsid w:val="00C7579E"/>
    <w:rsid w:val="00C7733D"/>
    <w:rsid w:val="00C77D1F"/>
    <w:rsid w:val="00C80DD7"/>
    <w:rsid w:val="00C8145A"/>
    <w:rsid w:val="00C820CA"/>
    <w:rsid w:val="00C8215A"/>
    <w:rsid w:val="00C8376D"/>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00CA"/>
    <w:rsid w:val="00E71391"/>
    <w:rsid w:val="00E714CA"/>
    <w:rsid w:val="00E7305E"/>
    <w:rsid w:val="00E73D8F"/>
    <w:rsid w:val="00E73EAB"/>
    <w:rsid w:val="00E74501"/>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5B1"/>
    <w:rsid w:val="00F76634"/>
    <w:rsid w:val="00F80B51"/>
    <w:rsid w:val="00F81AE5"/>
    <w:rsid w:val="00F81AF3"/>
    <w:rsid w:val="00F82B4A"/>
    <w:rsid w:val="00F83533"/>
    <w:rsid w:val="00F85056"/>
    <w:rsid w:val="00F862D4"/>
    <w:rsid w:val="00F86CFD"/>
    <w:rsid w:val="00F86EDF"/>
    <w:rsid w:val="00F870FA"/>
    <w:rsid w:val="00F87C66"/>
    <w:rsid w:val="00F90C18"/>
    <w:rsid w:val="00F92124"/>
    <w:rsid w:val="00F93AD8"/>
    <w:rsid w:val="00F942B9"/>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0A6E-D177-46E4-BEB7-CF35A93F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Pages>
  <Words>644</Words>
  <Characters>3675</Characters>
  <Application>Microsoft Office Word</Application>
  <DocSecurity>0</DocSecurity>
  <Lines>30</Lines>
  <Paragraphs>8</Paragraphs>
  <ScaleCrop>false</ScaleCrop>
  <Company>HP Inc.</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72</cp:revision>
  <cp:lastPrinted>2023-09-03T12:39:00Z</cp:lastPrinted>
  <dcterms:created xsi:type="dcterms:W3CDTF">2024-09-26T11:09:00Z</dcterms:created>
  <dcterms:modified xsi:type="dcterms:W3CDTF">2025-04-25T07:59:00Z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