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pPr>
        <w:jc w:val="center"/>
        <w:rPr>
          <w:b/>
          <w:bCs/>
          <w:sz w:val="28"/>
          <w:szCs w:val="28"/>
        </w:rPr>
      </w:pPr>
      <w:r>
        <w:rPr>
          <w:rFonts w:hint="eastAsia"/>
          <w:b/>
          <w:bCs/>
          <w:sz w:val="28"/>
          <w:szCs w:val="28"/>
        </w:rPr>
        <w:t>赛恩斯环保股份有限公司</w:t>
      </w:r>
    </w:p>
    <w:p>
      <w:pPr>
        <w:jc w:val="center"/>
        <w:rPr>
          <w:b/>
          <w:bCs/>
          <w:sz w:val="28"/>
          <w:szCs w:val="28"/>
        </w:rPr>
      </w:pPr>
      <w:r>
        <w:rPr>
          <w:rFonts w:hint="eastAsia"/>
          <w:b/>
          <w:bCs/>
          <w:sz w:val="28"/>
          <w:szCs w:val="28"/>
        </w:rPr>
        <w:t>投资者关系活动记录表</w:t>
      </w:r>
    </w:p>
    <w:p>
      <w:pPr>
        <w:ind w:firstLine="241" w:firstLineChars="100"/>
        <w:rPr>
          <w:b/>
          <w:bCs/>
          <w:szCs w:val="24"/>
        </w:rPr>
      </w:pPr>
      <w:r>
        <w:rPr>
          <w:b/>
          <w:bCs/>
          <w:szCs w:val="24"/>
        </w:rPr>
        <w:t xml:space="preserve">         </w:t>
      </w:r>
      <w:r>
        <w:rPr>
          <w:rFonts w:hint="eastAsia"/>
          <w:b/>
          <w:bCs/>
          <w:szCs w:val="24"/>
        </w:rPr>
        <w:t xml:space="preserve">                                            编号：2</w:t>
      </w:r>
      <w:r>
        <w:rPr>
          <w:b/>
          <w:bCs/>
          <w:szCs w:val="24"/>
        </w:rPr>
        <w:t>02</w:t>
      </w:r>
      <w:r>
        <w:rPr>
          <w:rFonts w:hint="eastAsia"/>
          <w:b/>
          <w:bCs/>
          <w:szCs w:val="24"/>
        </w:rPr>
        <w:t>5</w:t>
      </w:r>
      <w:r>
        <w:rPr>
          <w:b/>
          <w:bCs/>
          <w:szCs w:val="24"/>
        </w:rPr>
        <w:t>-0</w:t>
      </w:r>
      <w:r>
        <w:rPr>
          <w:rFonts w:hint="eastAsia"/>
          <w:b/>
          <w:bCs/>
          <w:szCs w:val="24"/>
        </w:rPr>
        <w:t>04</w:t>
      </w:r>
    </w:p>
    <w:tbl>
      <w:tblPr>
        <w:tblStyle w:val="9"/>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pct"/>
            <w:vAlign w:val="center"/>
          </w:tcPr>
          <w:p>
            <w:pPr>
              <w:spacing w:line="360" w:lineRule="auto"/>
              <w:jc w:val="center"/>
              <w:rPr>
                <w:b/>
                <w:bCs/>
                <w:szCs w:val="24"/>
              </w:rPr>
            </w:pPr>
            <w:r>
              <w:rPr>
                <w:rFonts w:hint="eastAsia"/>
                <w:b/>
                <w:bCs/>
                <w:szCs w:val="24"/>
              </w:rPr>
              <w:t>投资者关系活动</w:t>
            </w:r>
          </w:p>
          <w:p>
            <w:pPr>
              <w:spacing w:line="360" w:lineRule="auto"/>
              <w:jc w:val="center"/>
              <w:rPr>
                <w:b/>
                <w:bCs/>
                <w:szCs w:val="24"/>
              </w:rPr>
            </w:pPr>
            <w:r>
              <w:rPr>
                <w:rFonts w:hint="eastAsia"/>
                <w:b/>
                <w:bCs/>
                <w:szCs w:val="24"/>
              </w:rPr>
              <w:t>类别</w:t>
            </w:r>
          </w:p>
        </w:tc>
        <w:tc>
          <w:tcPr>
            <w:tcW w:w="3668" w:type="pct"/>
            <w:vAlign w:val="center"/>
          </w:tcPr>
          <w:p>
            <w:pPr>
              <w:spacing w:line="360" w:lineRule="auto"/>
              <w:rPr>
                <w:rFonts w:hint="eastAsia"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pPr>
              <w:spacing w:line="360" w:lineRule="auto"/>
              <w:rPr>
                <w:rFonts w:hint="eastAsia"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sym w:font="Wingdings 2" w:char="F050"/>
            </w:r>
            <w:r>
              <w:rPr>
                <w:rFonts w:hint="eastAsia" w:ascii="宋体" w:hAnsi="宋体"/>
                <w:szCs w:val="24"/>
              </w:rPr>
              <w:t>业绩说明会</w:t>
            </w:r>
          </w:p>
          <w:p>
            <w:pPr>
              <w:spacing w:line="360" w:lineRule="auto"/>
              <w:rPr>
                <w:rFonts w:hint="eastAsia"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pPr>
              <w:spacing w:line="360" w:lineRule="auto"/>
              <w:rPr>
                <w:rFonts w:hint="eastAsia" w:ascii="宋体" w:hAnsi="宋体"/>
                <w:szCs w:val="24"/>
              </w:rPr>
            </w:pPr>
            <w:r>
              <w:rPr>
                <w:rFonts w:hint="eastAsia" w:ascii="宋体" w:hAnsi="宋体"/>
                <w:szCs w:val="24"/>
              </w:rPr>
              <w:t>□现场参观</w:t>
            </w:r>
          </w:p>
          <w:p>
            <w:pPr>
              <w:spacing w:line="360" w:lineRule="auto"/>
              <w:rPr>
                <w:szCs w:val="24"/>
              </w:rPr>
            </w:pPr>
            <w:r>
              <w:rPr>
                <w:rFonts w:hint="eastAsia" w:ascii="宋体" w:hAnsi="宋体"/>
                <w:szCs w:val="24"/>
              </w:rPr>
              <w:t>□其他（</w:t>
            </w:r>
            <w:r>
              <w:rPr>
                <w:rFonts w:hint="eastAsia" w:ascii="宋体" w:hAnsi="宋体"/>
                <w:szCs w:val="24"/>
                <w:u w:val="thick"/>
              </w:rPr>
              <w:t>请文字说明其他活动内容</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332" w:type="pct"/>
            <w:vAlign w:val="center"/>
          </w:tcPr>
          <w:p>
            <w:pPr>
              <w:spacing w:line="360" w:lineRule="auto"/>
              <w:jc w:val="center"/>
              <w:rPr>
                <w:b/>
                <w:bCs/>
                <w:szCs w:val="24"/>
              </w:rPr>
            </w:pPr>
            <w:r>
              <w:rPr>
                <w:rFonts w:hint="eastAsia"/>
                <w:b/>
                <w:bCs/>
                <w:szCs w:val="24"/>
              </w:rPr>
              <w:t>参与单位名称</w:t>
            </w:r>
          </w:p>
          <w:p>
            <w:pPr>
              <w:spacing w:line="360" w:lineRule="auto"/>
              <w:jc w:val="center"/>
              <w:rPr>
                <w:b/>
                <w:bCs/>
                <w:szCs w:val="24"/>
              </w:rPr>
            </w:pPr>
            <w:r>
              <w:rPr>
                <w:rFonts w:hint="eastAsia"/>
                <w:b/>
                <w:bCs/>
                <w:szCs w:val="24"/>
              </w:rPr>
              <w:t>及人员姓名</w:t>
            </w:r>
          </w:p>
        </w:tc>
        <w:tc>
          <w:tcPr>
            <w:tcW w:w="3668" w:type="pct"/>
            <w:vAlign w:val="center"/>
          </w:tcPr>
          <w:p>
            <w:pPr>
              <w:spacing w:line="360" w:lineRule="auto"/>
              <w:jc w:val="left"/>
              <w:rPr>
                <w:szCs w:val="24"/>
              </w:rPr>
            </w:pPr>
            <w:r>
              <w:rPr>
                <w:rFonts w:hint="eastAsia"/>
                <w:szCs w:val="24"/>
              </w:rPr>
              <w:t>参与公司2024年度暨2025年第一季度业绩说明会的全体线上投资者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32" w:type="pct"/>
            <w:vAlign w:val="center"/>
          </w:tcPr>
          <w:p>
            <w:pPr>
              <w:spacing w:line="360" w:lineRule="auto"/>
              <w:jc w:val="center"/>
              <w:rPr>
                <w:b/>
                <w:bCs/>
                <w:szCs w:val="24"/>
              </w:rPr>
            </w:pPr>
            <w:r>
              <w:rPr>
                <w:rFonts w:hint="eastAsia"/>
                <w:b/>
                <w:bCs/>
                <w:szCs w:val="24"/>
              </w:rPr>
              <w:t>时间</w:t>
            </w:r>
          </w:p>
        </w:tc>
        <w:tc>
          <w:tcPr>
            <w:tcW w:w="3668" w:type="pct"/>
            <w:vAlign w:val="center"/>
          </w:tcPr>
          <w:p>
            <w:pPr>
              <w:spacing w:line="360" w:lineRule="auto"/>
              <w:jc w:val="left"/>
              <w:rPr>
                <w:szCs w:val="24"/>
              </w:rPr>
            </w:pPr>
            <w:r>
              <w:rPr>
                <w:rFonts w:hint="eastAsia"/>
                <w:szCs w:val="24"/>
              </w:rPr>
              <w:t>2</w:t>
            </w:r>
            <w:r>
              <w:rPr>
                <w:szCs w:val="24"/>
              </w:rPr>
              <w:t>02</w:t>
            </w:r>
            <w:r>
              <w:rPr>
                <w:rFonts w:hint="eastAsia"/>
                <w:szCs w:val="24"/>
              </w:rPr>
              <w:t>5年4月28日（周一）09:</w:t>
            </w:r>
            <w:r>
              <w:rPr>
                <w:szCs w:val="24"/>
              </w:rPr>
              <w:t>00-1</w:t>
            </w:r>
            <w:r>
              <w:rPr>
                <w:rFonts w:hint="eastAsia"/>
                <w:szCs w:val="24"/>
              </w:rPr>
              <w:t>0:</w:t>
            </w:r>
            <w:r>
              <w:rPr>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32" w:type="pct"/>
            <w:vAlign w:val="center"/>
          </w:tcPr>
          <w:p>
            <w:pPr>
              <w:spacing w:line="360" w:lineRule="auto"/>
              <w:jc w:val="center"/>
              <w:rPr>
                <w:b/>
                <w:bCs/>
                <w:szCs w:val="24"/>
              </w:rPr>
            </w:pPr>
            <w:r>
              <w:rPr>
                <w:rFonts w:hint="eastAsia"/>
                <w:b/>
                <w:bCs/>
                <w:szCs w:val="24"/>
              </w:rPr>
              <w:t>地点</w:t>
            </w:r>
          </w:p>
        </w:tc>
        <w:tc>
          <w:tcPr>
            <w:tcW w:w="3668" w:type="pct"/>
            <w:vAlign w:val="center"/>
          </w:tcPr>
          <w:p>
            <w:pPr>
              <w:spacing w:line="360" w:lineRule="auto"/>
              <w:jc w:val="left"/>
              <w:rPr>
                <w:szCs w:val="24"/>
              </w:rPr>
            </w:pPr>
            <w:r>
              <w:rPr>
                <w:rFonts w:hint="eastAsia"/>
                <w:szCs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pct"/>
            <w:vAlign w:val="center"/>
          </w:tcPr>
          <w:p>
            <w:pPr>
              <w:spacing w:line="360" w:lineRule="auto"/>
              <w:jc w:val="center"/>
              <w:rPr>
                <w:b/>
                <w:bCs/>
                <w:szCs w:val="24"/>
              </w:rPr>
            </w:pPr>
            <w:r>
              <w:rPr>
                <w:rFonts w:hint="eastAsia"/>
                <w:b/>
                <w:bCs/>
                <w:szCs w:val="24"/>
              </w:rPr>
              <w:t>上市公司接待人员</w:t>
            </w:r>
          </w:p>
          <w:p>
            <w:pPr>
              <w:spacing w:line="360" w:lineRule="auto"/>
              <w:jc w:val="center"/>
              <w:rPr>
                <w:b/>
                <w:bCs/>
                <w:szCs w:val="24"/>
              </w:rPr>
            </w:pPr>
            <w:r>
              <w:rPr>
                <w:rFonts w:hint="eastAsia"/>
                <w:b/>
                <w:bCs/>
                <w:szCs w:val="24"/>
              </w:rPr>
              <w:t>姓名</w:t>
            </w:r>
          </w:p>
        </w:tc>
        <w:tc>
          <w:tcPr>
            <w:tcW w:w="3668" w:type="pct"/>
            <w:vAlign w:val="center"/>
          </w:tcPr>
          <w:p>
            <w:pPr>
              <w:spacing w:line="360" w:lineRule="auto"/>
              <w:jc w:val="left"/>
              <w:rPr>
                <w:rFonts w:hint="eastAsia" w:ascii="宋体" w:hAnsi="宋体" w:cs="宋体"/>
                <w:szCs w:val="24"/>
              </w:rPr>
            </w:pPr>
            <w:r>
              <w:rPr>
                <w:rFonts w:hint="eastAsia" w:ascii="宋体" w:hAnsi="宋体" w:cs="宋体"/>
                <w:szCs w:val="24"/>
              </w:rPr>
              <w:t>1、</w:t>
            </w:r>
            <w:r>
              <w:rPr>
                <w:rFonts w:ascii="宋体" w:hAnsi="宋体" w:cs="宋体"/>
                <w:szCs w:val="24"/>
              </w:rPr>
              <w:t>董事、总经理</w:t>
            </w:r>
            <w:r>
              <w:rPr>
                <w:rFonts w:hint="eastAsia" w:ascii="宋体" w:hAnsi="宋体" w:cs="宋体"/>
                <w:szCs w:val="24"/>
              </w:rPr>
              <w:t>：</w:t>
            </w:r>
            <w:r>
              <w:rPr>
                <w:rFonts w:ascii="宋体" w:hAnsi="宋体" w:cs="宋体"/>
                <w:szCs w:val="24"/>
              </w:rPr>
              <w:t>蒋国民</w:t>
            </w:r>
            <w:r>
              <w:rPr>
                <w:rFonts w:ascii="宋体" w:hAnsi="宋体" w:cs="宋体"/>
                <w:szCs w:val="24"/>
              </w:rPr>
              <w:br w:type="textWrapping"/>
            </w:r>
            <w:r>
              <w:rPr>
                <w:rFonts w:hint="eastAsia" w:ascii="宋体" w:hAnsi="宋体" w:cs="宋体"/>
                <w:szCs w:val="24"/>
              </w:rPr>
              <w:t>2、</w:t>
            </w:r>
            <w:r>
              <w:rPr>
                <w:rFonts w:ascii="宋体" w:hAnsi="宋体" w:cs="宋体"/>
                <w:szCs w:val="24"/>
              </w:rPr>
              <w:t>董事、副总经理、董事会秘书</w:t>
            </w:r>
            <w:r>
              <w:rPr>
                <w:rFonts w:hint="eastAsia" w:ascii="宋体" w:hAnsi="宋体" w:cs="宋体"/>
                <w:szCs w:val="24"/>
              </w:rPr>
              <w:t>：</w:t>
            </w:r>
            <w:r>
              <w:rPr>
                <w:rFonts w:ascii="宋体" w:hAnsi="宋体" w:cs="宋体"/>
                <w:szCs w:val="24"/>
              </w:rPr>
              <w:t>邱江传</w:t>
            </w:r>
          </w:p>
          <w:p>
            <w:pPr>
              <w:spacing w:line="360" w:lineRule="auto"/>
              <w:jc w:val="left"/>
              <w:rPr>
                <w:szCs w:val="24"/>
              </w:rPr>
            </w:pPr>
            <w:r>
              <w:rPr>
                <w:rFonts w:ascii="宋体" w:hAnsi="宋体" w:cs="宋体"/>
                <w:szCs w:val="24"/>
              </w:rPr>
              <w:t>3</w:t>
            </w:r>
            <w:r>
              <w:rPr>
                <w:rFonts w:hint="eastAsia" w:ascii="宋体" w:hAnsi="宋体" w:cs="宋体"/>
                <w:szCs w:val="24"/>
              </w:rPr>
              <w:t>、</w:t>
            </w:r>
            <w:r>
              <w:rPr>
                <w:rFonts w:ascii="宋体" w:hAnsi="宋体" w:cs="宋体"/>
                <w:szCs w:val="24"/>
              </w:rPr>
              <w:t>董事、副总经理、财务总监</w:t>
            </w:r>
            <w:r>
              <w:rPr>
                <w:rFonts w:hint="eastAsia" w:ascii="宋体" w:hAnsi="宋体" w:cs="宋体"/>
                <w:szCs w:val="24"/>
              </w:rPr>
              <w:t>：</w:t>
            </w:r>
            <w:r>
              <w:rPr>
                <w:rFonts w:ascii="宋体" w:hAnsi="宋体" w:cs="宋体"/>
                <w:szCs w:val="24"/>
              </w:rPr>
              <w:t>王朝晖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pct"/>
            <w:vAlign w:val="center"/>
          </w:tcPr>
          <w:p>
            <w:pPr>
              <w:spacing w:line="360" w:lineRule="auto"/>
              <w:jc w:val="center"/>
              <w:rPr>
                <w:b/>
                <w:bCs/>
                <w:szCs w:val="24"/>
              </w:rPr>
            </w:pPr>
            <w:r>
              <w:rPr>
                <w:rFonts w:hint="eastAsia"/>
                <w:b/>
                <w:bCs/>
                <w:szCs w:val="24"/>
              </w:rPr>
              <w:t>投资者关系活动主要内容介绍</w:t>
            </w:r>
          </w:p>
        </w:tc>
        <w:tc>
          <w:tcPr>
            <w:tcW w:w="3668" w:type="pct"/>
            <w:vAlign w:val="center"/>
          </w:tcPr>
          <w:p>
            <w:pPr>
              <w:spacing w:line="360" w:lineRule="auto"/>
              <w:ind w:firstLine="480" w:firstLineChars="200"/>
              <w:rPr>
                <w:szCs w:val="24"/>
              </w:rPr>
            </w:pPr>
            <w:bookmarkStart w:id="0" w:name="_Hlk135125494"/>
            <w:r>
              <w:rPr>
                <w:rFonts w:hint="eastAsia"/>
                <w:szCs w:val="24"/>
              </w:rPr>
              <w:t>投资者提出的问题以及回复情况：</w:t>
            </w:r>
          </w:p>
          <w:p>
            <w:pPr>
              <w:spacing w:line="360" w:lineRule="auto"/>
              <w:ind w:firstLine="480" w:firstLineChars="200"/>
              <w:rPr>
                <w:szCs w:val="24"/>
              </w:rPr>
            </w:pPr>
            <w:r>
              <w:rPr>
                <w:rFonts w:hint="eastAsia"/>
                <w:szCs w:val="24"/>
              </w:rPr>
              <w:t>公司就投资者在</w:t>
            </w:r>
            <w:r>
              <w:rPr>
                <w:rFonts w:hint="eastAsia" w:ascii="宋体" w:hAnsi="宋体" w:cs="宋体"/>
                <w:bCs/>
                <w:szCs w:val="24"/>
              </w:rPr>
              <w:t>本次业绩说明会</w:t>
            </w:r>
            <w:r>
              <w:rPr>
                <w:rFonts w:hint="eastAsia"/>
                <w:szCs w:val="24"/>
              </w:rPr>
              <w:t>中提出的问题进行了回复：</w:t>
            </w:r>
            <w:bookmarkEnd w:id="0"/>
          </w:p>
          <w:p>
            <w:pPr>
              <w:spacing w:line="360" w:lineRule="auto"/>
              <w:ind w:firstLine="480" w:firstLineChars="200"/>
              <w:rPr>
                <w:b/>
                <w:bCs/>
                <w:szCs w:val="24"/>
              </w:rPr>
            </w:pPr>
            <w:r>
              <w:rPr>
                <w:rFonts w:hint="eastAsia"/>
                <w:b w:val="0"/>
                <w:bCs w:val="0"/>
                <w:szCs w:val="24"/>
              </w:rPr>
              <w:t>1、请问贵公司本期财务报告中，盈利表现如何？谢谢</w:t>
            </w:r>
          </w:p>
          <w:p>
            <w:pPr>
              <w:spacing w:line="360" w:lineRule="auto"/>
              <w:ind w:firstLine="480" w:firstLineChars="200"/>
              <w:rPr>
                <w:szCs w:val="24"/>
              </w:rPr>
            </w:pPr>
            <w:r>
              <w:rPr>
                <w:rFonts w:hint="eastAsia"/>
                <w:szCs w:val="24"/>
              </w:rPr>
              <w:t>202</w:t>
            </w:r>
            <w:bookmarkStart w:id="1" w:name="_GoBack"/>
            <w:bookmarkEnd w:id="1"/>
            <w:r>
              <w:rPr>
                <w:rFonts w:hint="eastAsia"/>
                <w:szCs w:val="24"/>
              </w:rPr>
              <w:t>4年度，公司归母净利润为18,075.80万元，扣非归母净利润为11,644.92万元，分别同比增长100.11%、54.68%。</w:t>
            </w:r>
          </w:p>
          <w:p>
            <w:pPr>
              <w:spacing w:line="360" w:lineRule="auto"/>
              <w:ind w:firstLine="480" w:firstLineChars="200"/>
              <w:rPr>
                <w:szCs w:val="24"/>
              </w:rPr>
            </w:pPr>
          </w:p>
          <w:p>
            <w:pPr>
              <w:spacing w:line="360" w:lineRule="auto"/>
              <w:ind w:firstLine="480" w:firstLineChars="200"/>
              <w:rPr>
                <w:szCs w:val="24"/>
              </w:rPr>
            </w:pPr>
            <w:r>
              <w:rPr>
                <w:rFonts w:hint="eastAsia"/>
                <w:szCs w:val="24"/>
              </w:rPr>
              <w:t>2、请您能否介绍下2024年整体业绩的情况？是否完成预期了呢?</w:t>
            </w:r>
          </w:p>
          <w:p>
            <w:pPr>
              <w:spacing w:line="360" w:lineRule="auto"/>
              <w:ind w:firstLine="480" w:firstLineChars="200"/>
              <w:rPr>
                <w:rFonts w:hint="eastAsia"/>
                <w:szCs w:val="24"/>
              </w:rPr>
            </w:pPr>
            <w:r>
              <w:rPr>
                <w:rFonts w:hint="eastAsia"/>
                <w:szCs w:val="24"/>
              </w:rPr>
              <w:t>2024年度，公司营业收入为92,719.34万元，同比增长14.69%；2024年末，公司资产总额182,616.06万元，较2024年初增长22.31%；归属于母公司所有者权益合计107,439.54万元，较2024年初增长15.30%。在三大业务中，产品销售业务和运营服务业务较上一年度分别增长96%、66%，展现出良好的发展态势。</w:t>
            </w:r>
          </w:p>
          <w:p>
            <w:pPr>
              <w:spacing w:line="360" w:lineRule="auto"/>
              <w:ind w:firstLine="480" w:firstLineChars="200"/>
              <w:rPr>
                <w:szCs w:val="24"/>
              </w:rPr>
            </w:pPr>
            <w:r>
              <w:rPr>
                <w:rFonts w:hint="eastAsia"/>
                <w:szCs w:val="24"/>
              </w:rPr>
              <w:t>2024年公司经营实现了稳健高质量发展，公司利润目标达成预期。</w:t>
            </w:r>
          </w:p>
          <w:p>
            <w:pPr>
              <w:spacing w:line="360" w:lineRule="auto"/>
              <w:ind w:firstLine="480" w:firstLineChars="200"/>
              <w:rPr>
                <w:szCs w:val="24"/>
              </w:rPr>
            </w:pPr>
          </w:p>
          <w:p>
            <w:pPr>
              <w:spacing w:line="360" w:lineRule="auto"/>
              <w:ind w:firstLine="480" w:firstLineChars="200"/>
              <w:rPr>
                <w:szCs w:val="24"/>
              </w:rPr>
            </w:pPr>
            <w:r>
              <w:rPr>
                <w:rFonts w:hint="eastAsia"/>
                <w:szCs w:val="24"/>
              </w:rPr>
              <w:t>3、请问贵公司未来盈利增长的主要驱动因素有哪些？谢谢。</w:t>
            </w:r>
          </w:p>
          <w:p>
            <w:pPr>
              <w:spacing w:line="360" w:lineRule="auto"/>
              <w:ind w:firstLine="480" w:firstLineChars="200"/>
              <w:rPr>
                <w:szCs w:val="24"/>
              </w:rPr>
            </w:pPr>
            <w:r>
              <w:rPr>
                <w:rFonts w:hint="eastAsia"/>
                <w:szCs w:val="24"/>
              </w:rPr>
              <w:t>公司确立了“环保+资源回收+新材料”三轮驱动的战略方向，同时在三位一体业务模式中，将进一步强化产品销售和运营服务收入占比，提升业务的可持续性；适时开展投资并购，沿业务链条纵向延伸、横向拓展，积极布局资源回收和新材料领域；持续加大研发创新投入力度，加快新技术产品产业化落地。通过多维度驱动，创造新的盈利增长点。</w:t>
            </w:r>
          </w:p>
          <w:p>
            <w:pPr>
              <w:spacing w:line="360" w:lineRule="auto"/>
              <w:ind w:firstLine="480" w:firstLineChars="200"/>
              <w:rPr>
                <w:szCs w:val="24"/>
              </w:rPr>
            </w:pPr>
          </w:p>
          <w:p>
            <w:pPr>
              <w:spacing w:line="360" w:lineRule="auto"/>
              <w:ind w:firstLine="480" w:firstLineChars="200"/>
              <w:rPr>
                <w:szCs w:val="24"/>
              </w:rPr>
            </w:pPr>
            <w:r>
              <w:rPr>
                <w:rFonts w:hint="eastAsia"/>
                <w:szCs w:val="24"/>
              </w:rPr>
              <w:t>4、能否请您介绍一下本期行业整体和行业内其他主要企业的业绩表现？</w:t>
            </w:r>
          </w:p>
          <w:p>
            <w:pPr>
              <w:spacing w:line="360" w:lineRule="auto"/>
              <w:ind w:firstLine="480" w:firstLineChars="200"/>
              <w:rPr>
                <w:szCs w:val="24"/>
              </w:rPr>
            </w:pPr>
            <w:r>
              <w:rPr>
                <w:rFonts w:hint="eastAsia"/>
                <w:szCs w:val="24"/>
              </w:rPr>
              <w:t>尊敬的投资者您好，本期行业整体和行业内其他主要企业的业绩表现请关注对应企业年度报告或者其他行研报告。感谢您的关注。</w:t>
            </w:r>
          </w:p>
          <w:p>
            <w:pPr>
              <w:spacing w:line="360" w:lineRule="auto"/>
              <w:ind w:firstLine="480" w:firstLineChars="200"/>
              <w:rPr>
                <w:szCs w:val="24"/>
              </w:rPr>
            </w:pPr>
          </w:p>
          <w:p>
            <w:pPr>
              <w:spacing w:line="360" w:lineRule="auto"/>
              <w:ind w:firstLine="480" w:firstLineChars="200"/>
              <w:rPr>
                <w:szCs w:val="24"/>
              </w:rPr>
            </w:pPr>
            <w:r>
              <w:rPr>
                <w:rFonts w:hint="eastAsia"/>
                <w:szCs w:val="24"/>
              </w:rPr>
              <w:t>5、请问您如何看待行业未来的发展前景？谢谢。</w:t>
            </w:r>
          </w:p>
          <w:p>
            <w:pPr>
              <w:spacing w:line="360" w:lineRule="auto"/>
              <w:ind w:firstLine="480" w:firstLineChars="200"/>
              <w:rPr>
                <w:rFonts w:hint="eastAsia"/>
                <w:szCs w:val="24"/>
              </w:rPr>
            </w:pPr>
            <w:r>
              <w:rPr>
                <w:rFonts w:hint="eastAsia"/>
                <w:szCs w:val="24"/>
              </w:rPr>
              <w:t>重金属污染治理行业作为环境治理行业的细分领域，由于其毒性大、隐蔽性强、持续性强、性质复杂等特性，使得重金属污染治理与其他污染治理相比更具有必要性、重要性、紧迫性和复杂性。我国高度重视重金属污染防治，已颁布、出台和修订了一系列政策，为重金属污染治理行业带来持续的利好政策支持。有色金属行业的环保标准日益严格，致使涉重金属污染企业承受的环保压力逐渐增加，倒逼企业对重金属污染防治越来越重视，并加大环保设施的投资力度，推动重金属污染治理的市场需求持续扩大。</w:t>
            </w:r>
          </w:p>
          <w:p>
            <w:pPr>
              <w:spacing w:line="360" w:lineRule="auto"/>
              <w:rPr>
                <w:rFonts w:hint="eastAsia"/>
                <w:szCs w:val="24"/>
              </w:rPr>
            </w:pPr>
          </w:p>
          <w:p>
            <w:pPr>
              <w:spacing w:line="360" w:lineRule="auto"/>
              <w:rPr>
                <w:b/>
                <w:bCs/>
                <w:szCs w:val="24"/>
              </w:rPr>
            </w:pPr>
            <w:r>
              <w:rPr>
                <w:rFonts w:hint="eastAsia"/>
                <w:b/>
                <w:bCs/>
                <w:szCs w:val="24"/>
              </w:rPr>
              <w:t>（本次活动不涉及应当披露但未披露的重大信息）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pct"/>
            <w:vAlign w:val="center"/>
          </w:tcPr>
          <w:p>
            <w:pPr>
              <w:spacing w:line="360" w:lineRule="auto"/>
              <w:jc w:val="center"/>
              <w:rPr>
                <w:b/>
                <w:bCs/>
                <w:szCs w:val="24"/>
              </w:rPr>
            </w:pPr>
          </w:p>
          <w:p>
            <w:pPr>
              <w:spacing w:line="360" w:lineRule="auto"/>
              <w:jc w:val="center"/>
              <w:rPr>
                <w:b/>
                <w:bCs/>
                <w:szCs w:val="24"/>
              </w:rPr>
            </w:pPr>
            <w:r>
              <w:rPr>
                <w:rFonts w:hint="eastAsia"/>
                <w:b/>
                <w:bCs/>
                <w:szCs w:val="24"/>
              </w:rPr>
              <w:t>附件清单（如有）</w:t>
            </w:r>
          </w:p>
          <w:p>
            <w:pPr>
              <w:spacing w:line="360" w:lineRule="auto"/>
              <w:rPr>
                <w:b/>
                <w:bCs/>
                <w:szCs w:val="24"/>
              </w:rPr>
            </w:pPr>
          </w:p>
        </w:tc>
        <w:tc>
          <w:tcPr>
            <w:tcW w:w="3668" w:type="pct"/>
            <w:vAlign w:val="center"/>
          </w:tcPr>
          <w:p>
            <w:pPr>
              <w:spacing w:line="360" w:lineRule="auto"/>
              <w:jc w:val="center"/>
              <w:rPr>
                <w:szCs w:val="24"/>
              </w:rPr>
            </w:pPr>
          </w:p>
          <w:p>
            <w:pPr>
              <w:spacing w:line="360" w:lineRule="auto"/>
              <w:jc w:val="center"/>
              <w:rPr>
                <w:szCs w:val="24"/>
              </w:rPr>
            </w:pPr>
            <w:r>
              <w:rPr>
                <w:rFonts w:hint="eastAsia"/>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pct"/>
            <w:vAlign w:val="center"/>
          </w:tcPr>
          <w:p>
            <w:pPr>
              <w:spacing w:line="360" w:lineRule="auto"/>
              <w:jc w:val="center"/>
              <w:rPr>
                <w:b/>
                <w:bCs/>
                <w:szCs w:val="24"/>
              </w:rPr>
            </w:pPr>
            <w:r>
              <w:rPr>
                <w:rFonts w:hint="eastAsia"/>
                <w:b/>
                <w:bCs/>
                <w:szCs w:val="24"/>
              </w:rPr>
              <w:t>日期</w:t>
            </w:r>
          </w:p>
        </w:tc>
        <w:tc>
          <w:tcPr>
            <w:tcW w:w="3668" w:type="pct"/>
            <w:vAlign w:val="center"/>
          </w:tcPr>
          <w:p>
            <w:pPr>
              <w:spacing w:line="360" w:lineRule="auto"/>
              <w:jc w:val="center"/>
              <w:rPr>
                <w:szCs w:val="24"/>
              </w:rPr>
            </w:pPr>
          </w:p>
          <w:p>
            <w:pPr>
              <w:spacing w:line="360" w:lineRule="auto"/>
              <w:jc w:val="center"/>
              <w:rPr>
                <w:rFonts w:hint="eastAsia"/>
                <w:szCs w:val="24"/>
              </w:rPr>
            </w:pPr>
            <w:r>
              <w:rPr>
                <w:rFonts w:hint="eastAsia"/>
                <w:szCs w:val="24"/>
              </w:rPr>
              <w:t>2</w:t>
            </w:r>
            <w:r>
              <w:rPr>
                <w:szCs w:val="24"/>
              </w:rPr>
              <w:t>02</w:t>
            </w:r>
            <w:r>
              <w:rPr>
                <w:rFonts w:hint="eastAsia"/>
                <w:szCs w:val="24"/>
              </w:rPr>
              <w:t>5-4</w:t>
            </w:r>
            <w:r>
              <w:rPr>
                <w:szCs w:val="24"/>
              </w:rPr>
              <w:t>-</w:t>
            </w:r>
            <w:r>
              <w:rPr>
                <w:rFonts w:hint="eastAsia"/>
                <w:szCs w:val="24"/>
              </w:rPr>
              <w:t>28</w:t>
            </w:r>
          </w:p>
          <w:p>
            <w:pPr>
              <w:spacing w:line="360" w:lineRule="auto"/>
              <w:jc w:val="center"/>
              <w:rPr>
                <w:szCs w:val="24"/>
              </w:rPr>
            </w:pPr>
          </w:p>
        </w:tc>
      </w:tr>
    </w:tbl>
    <w:p>
      <w:pPr>
        <w:jc w:val="left"/>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NGI1MmUyMzVlMmI1NzJiYWM1MDQ1OGFhMjE2NDgifQ=="/>
    <w:docVar w:name="KSO_WPS_MARK_KEY" w:val="4f165ff6-8966-411b-a23f-2b5f68ee8fcd"/>
  </w:docVars>
  <w:rsids>
    <w:rsidRoot w:val="00DC5E46"/>
    <w:rsid w:val="00001213"/>
    <w:rsid w:val="00001FF0"/>
    <w:rsid w:val="00005691"/>
    <w:rsid w:val="00006FB7"/>
    <w:rsid w:val="00010301"/>
    <w:rsid w:val="00017680"/>
    <w:rsid w:val="00027031"/>
    <w:rsid w:val="000313AE"/>
    <w:rsid w:val="00056AC0"/>
    <w:rsid w:val="000613E5"/>
    <w:rsid w:val="00070F2F"/>
    <w:rsid w:val="000800E5"/>
    <w:rsid w:val="00082B4B"/>
    <w:rsid w:val="00083F2C"/>
    <w:rsid w:val="000923E6"/>
    <w:rsid w:val="000A793A"/>
    <w:rsid w:val="000B3084"/>
    <w:rsid w:val="000B5045"/>
    <w:rsid w:val="000B61FC"/>
    <w:rsid w:val="000C5761"/>
    <w:rsid w:val="000D0AFC"/>
    <w:rsid w:val="000D2872"/>
    <w:rsid w:val="000E1009"/>
    <w:rsid w:val="000E695B"/>
    <w:rsid w:val="00102DCD"/>
    <w:rsid w:val="00112E22"/>
    <w:rsid w:val="00115A4C"/>
    <w:rsid w:val="00134053"/>
    <w:rsid w:val="001404E6"/>
    <w:rsid w:val="00142938"/>
    <w:rsid w:val="00142AB7"/>
    <w:rsid w:val="00143580"/>
    <w:rsid w:val="00155862"/>
    <w:rsid w:val="001716D2"/>
    <w:rsid w:val="00171B17"/>
    <w:rsid w:val="00171D2D"/>
    <w:rsid w:val="00172C85"/>
    <w:rsid w:val="00173E48"/>
    <w:rsid w:val="00190008"/>
    <w:rsid w:val="00191853"/>
    <w:rsid w:val="001918F1"/>
    <w:rsid w:val="0019610F"/>
    <w:rsid w:val="001A0F21"/>
    <w:rsid w:val="001A1566"/>
    <w:rsid w:val="001B4779"/>
    <w:rsid w:val="001C3605"/>
    <w:rsid w:val="001F0F88"/>
    <w:rsid w:val="001F7592"/>
    <w:rsid w:val="002011EA"/>
    <w:rsid w:val="00201456"/>
    <w:rsid w:val="00201DE6"/>
    <w:rsid w:val="0020500F"/>
    <w:rsid w:val="00213955"/>
    <w:rsid w:val="00222A01"/>
    <w:rsid w:val="00244488"/>
    <w:rsid w:val="002675F7"/>
    <w:rsid w:val="00270412"/>
    <w:rsid w:val="002A06D5"/>
    <w:rsid w:val="002A47D0"/>
    <w:rsid w:val="002A6ECA"/>
    <w:rsid w:val="002B1A06"/>
    <w:rsid w:val="002C051E"/>
    <w:rsid w:val="002C32C4"/>
    <w:rsid w:val="002C6094"/>
    <w:rsid w:val="002C6214"/>
    <w:rsid w:val="002F1AE8"/>
    <w:rsid w:val="003000BB"/>
    <w:rsid w:val="003051AA"/>
    <w:rsid w:val="003077CD"/>
    <w:rsid w:val="003252D6"/>
    <w:rsid w:val="00327BB6"/>
    <w:rsid w:val="00336B8D"/>
    <w:rsid w:val="00345582"/>
    <w:rsid w:val="00353E2A"/>
    <w:rsid w:val="0038443B"/>
    <w:rsid w:val="00384E68"/>
    <w:rsid w:val="0039348F"/>
    <w:rsid w:val="003959F0"/>
    <w:rsid w:val="003A3A46"/>
    <w:rsid w:val="003C4FE3"/>
    <w:rsid w:val="003D5C97"/>
    <w:rsid w:val="003F38AD"/>
    <w:rsid w:val="003F3C92"/>
    <w:rsid w:val="00414F07"/>
    <w:rsid w:val="00416929"/>
    <w:rsid w:val="0043045A"/>
    <w:rsid w:val="0043074A"/>
    <w:rsid w:val="004313A9"/>
    <w:rsid w:val="004340F3"/>
    <w:rsid w:val="00450459"/>
    <w:rsid w:val="00456A6B"/>
    <w:rsid w:val="0046183B"/>
    <w:rsid w:val="00462999"/>
    <w:rsid w:val="00465EEA"/>
    <w:rsid w:val="004666C3"/>
    <w:rsid w:val="004710A4"/>
    <w:rsid w:val="0047173B"/>
    <w:rsid w:val="004754E9"/>
    <w:rsid w:val="004815CC"/>
    <w:rsid w:val="004823D7"/>
    <w:rsid w:val="00487276"/>
    <w:rsid w:val="004A1B3E"/>
    <w:rsid w:val="004A557E"/>
    <w:rsid w:val="004A75FC"/>
    <w:rsid w:val="004C33ED"/>
    <w:rsid w:val="004E40CA"/>
    <w:rsid w:val="004E4407"/>
    <w:rsid w:val="004F234F"/>
    <w:rsid w:val="004F664C"/>
    <w:rsid w:val="005028E6"/>
    <w:rsid w:val="00503BDD"/>
    <w:rsid w:val="00506F61"/>
    <w:rsid w:val="00513BB5"/>
    <w:rsid w:val="00517DBD"/>
    <w:rsid w:val="005212F5"/>
    <w:rsid w:val="00526B01"/>
    <w:rsid w:val="00536242"/>
    <w:rsid w:val="0053649C"/>
    <w:rsid w:val="00546BC1"/>
    <w:rsid w:val="00552F22"/>
    <w:rsid w:val="0056243C"/>
    <w:rsid w:val="005808AF"/>
    <w:rsid w:val="00592DE1"/>
    <w:rsid w:val="005B038E"/>
    <w:rsid w:val="005B280A"/>
    <w:rsid w:val="005D336F"/>
    <w:rsid w:val="005D475E"/>
    <w:rsid w:val="005D591A"/>
    <w:rsid w:val="005E4F79"/>
    <w:rsid w:val="005F0E67"/>
    <w:rsid w:val="005F70BE"/>
    <w:rsid w:val="005F7C5F"/>
    <w:rsid w:val="0060045D"/>
    <w:rsid w:val="006024F4"/>
    <w:rsid w:val="00603A59"/>
    <w:rsid w:val="0062422B"/>
    <w:rsid w:val="00624502"/>
    <w:rsid w:val="00631956"/>
    <w:rsid w:val="00633A52"/>
    <w:rsid w:val="006445F3"/>
    <w:rsid w:val="00672507"/>
    <w:rsid w:val="00673DA8"/>
    <w:rsid w:val="0068465F"/>
    <w:rsid w:val="00697B92"/>
    <w:rsid w:val="006B0CB5"/>
    <w:rsid w:val="006B32AE"/>
    <w:rsid w:val="006D792B"/>
    <w:rsid w:val="006D7964"/>
    <w:rsid w:val="006E05E5"/>
    <w:rsid w:val="006E60CD"/>
    <w:rsid w:val="0070142E"/>
    <w:rsid w:val="00705367"/>
    <w:rsid w:val="00710C16"/>
    <w:rsid w:val="00730453"/>
    <w:rsid w:val="00730E7E"/>
    <w:rsid w:val="00732CB0"/>
    <w:rsid w:val="00733346"/>
    <w:rsid w:val="00734C48"/>
    <w:rsid w:val="00734D1D"/>
    <w:rsid w:val="00765E8A"/>
    <w:rsid w:val="007736C3"/>
    <w:rsid w:val="00773E29"/>
    <w:rsid w:val="0078306E"/>
    <w:rsid w:val="00792928"/>
    <w:rsid w:val="007A1DB0"/>
    <w:rsid w:val="007B3001"/>
    <w:rsid w:val="007C4555"/>
    <w:rsid w:val="007D0695"/>
    <w:rsid w:val="007D4209"/>
    <w:rsid w:val="007D4C49"/>
    <w:rsid w:val="007D7D29"/>
    <w:rsid w:val="007E0583"/>
    <w:rsid w:val="007E22FF"/>
    <w:rsid w:val="007E6B7F"/>
    <w:rsid w:val="00801A0D"/>
    <w:rsid w:val="008023EE"/>
    <w:rsid w:val="008034B3"/>
    <w:rsid w:val="00803C76"/>
    <w:rsid w:val="0080673B"/>
    <w:rsid w:val="00813A97"/>
    <w:rsid w:val="008160F3"/>
    <w:rsid w:val="008223FE"/>
    <w:rsid w:val="008327F0"/>
    <w:rsid w:val="00836500"/>
    <w:rsid w:val="00843352"/>
    <w:rsid w:val="008529A8"/>
    <w:rsid w:val="008623A1"/>
    <w:rsid w:val="008702E0"/>
    <w:rsid w:val="0087434F"/>
    <w:rsid w:val="00880942"/>
    <w:rsid w:val="00882489"/>
    <w:rsid w:val="00882EA8"/>
    <w:rsid w:val="008871F4"/>
    <w:rsid w:val="008A1CF0"/>
    <w:rsid w:val="008A5C8E"/>
    <w:rsid w:val="008C5BB2"/>
    <w:rsid w:val="008D0FCE"/>
    <w:rsid w:val="008E3351"/>
    <w:rsid w:val="008F7948"/>
    <w:rsid w:val="00905736"/>
    <w:rsid w:val="009077ED"/>
    <w:rsid w:val="009104ED"/>
    <w:rsid w:val="00913848"/>
    <w:rsid w:val="009255C9"/>
    <w:rsid w:val="00944F09"/>
    <w:rsid w:val="009517B6"/>
    <w:rsid w:val="00951B07"/>
    <w:rsid w:val="00955B30"/>
    <w:rsid w:val="00977A9E"/>
    <w:rsid w:val="00980A2A"/>
    <w:rsid w:val="00985E23"/>
    <w:rsid w:val="00993202"/>
    <w:rsid w:val="00997899"/>
    <w:rsid w:val="009B3AB1"/>
    <w:rsid w:val="009C1E73"/>
    <w:rsid w:val="009D22D6"/>
    <w:rsid w:val="009D3DC2"/>
    <w:rsid w:val="009E0952"/>
    <w:rsid w:val="009F148E"/>
    <w:rsid w:val="009F32B3"/>
    <w:rsid w:val="009F34E5"/>
    <w:rsid w:val="009F4679"/>
    <w:rsid w:val="00A00DD4"/>
    <w:rsid w:val="00A01877"/>
    <w:rsid w:val="00A03753"/>
    <w:rsid w:val="00A04369"/>
    <w:rsid w:val="00A13B29"/>
    <w:rsid w:val="00A1762A"/>
    <w:rsid w:val="00A300B7"/>
    <w:rsid w:val="00A51F5C"/>
    <w:rsid w:val="00A62F5E"/>
    <w:rsid w:val="00A630DC"/>
    <w:rsid w:val="00A73A7A"/>
    <w:rsid w:val="00AB7A7D"/>
    <w:rsid w:val="00AC0160"/>
    <w:rsid w:val="00AC38D5"/>
    <w:rsid w:val="00AD293A"/>
    <w:rsid w:val="00AE3A14"/>
    <w:rsid w:val="00AE558B"/>
    <w:rsid w:val="00AF0A67"/>
    <w:rsid w:val="00AF0FF8"/>
    <w:rsid w:val="00B250B0"/>
    <w:rsid w:val="00B3566B"/>
    <w:rsid w:val="00B45028"/>
    <w:rsid w:val="00B45A89"/>
    <w:rsid w:val="00B55FD0"/>
    <w:rsid w:val="00B6205F"/>
    <w:rsid w:val="00B629E5"/>
    <w:rsid w:val="00B66925"/>
    <w:rsid w:val="00B71EE6"/>
    <w:rsid w:val="00B735BA"/>
    <w:rsid w:val="00B73BD3"/>
    <w:rsid w:val="00B8245A"/>
    <w:rsid w:val="00B86E6F"/>
    <w:rsid w:val="00B9416C"/>
    <w:rsid w:val="00B950A6"/>
    <w:rsid w:val="00BA1870"/>
    <w:rsid w:val="00BA2B6E"/>
    <w:rsid w:val="00BB06DA"/>
    <w:rsid w:val="00BB4CC4"/>
    <w:rsid w:val="00BB66D4"/>
    <w:rsid w:val="00BB75F3"/>
    <w:rsid w:val="00BD2238"/>
    <w:rsid w:val="00BD7B20"/>
    <w:rsid w:val="00C10EFC"/>
    <w:rsid w:val="00C16943"/>
    <w:rsid w:val="00C27BCC"/>
    <w:rsid w:val="00C35A2D"/>
    <w:rsid w:val="00C710A4"/>
    <w:rsid w:val="00C735EA"/>
    <w:rsid w:val="00C753D4"/>
    <w:rsid w:val="00C77417"/>
    <w:rsid w:val="00C821E5"/>
    <w:rsid w:val="00C85EDE"/>
    <w:rsid w:val="00C91419"/>
    <w:rsid w:val="00CA3EBA"/>
    <w:rsid w:val="00CB2D4F"/>
    <w:rsid w:val="00CC59A5"/>
    <w:rsid w:val="00CD343F"/>
    <w:rsid w:val="00CE4CE7"/>
    <w:rsid w:val="00CE58A0"/>
    <w:rsid w:val="00D02CC7"/>
    <w:rsid w:val="00D043ED"/>
    <w:rsid w:val="00D07F98"/>
    <w:rsid w:val="00D10898"/>
    <w:rsid w:val="00D14FF0"/>
    <w:rsid w:val="00D2235D"/>
    <w:rsid w:val="00D234C0"/>
    <w:rsid w:val="00D23EBB"/>
    <w:rsid w:val="00D3594D"/>
    <w:rsid w:val="00D4270B"/>
    <w:rsid w:val="00D50944"/>
    <w:rsid w:val="00D518AE"/>
    <w:rsid w:val="00D52AD5"/>
    <w:rsid w:val="00D57E0E"/>
    <w:rsid w:val="00D86B79"/>
    <w:rsid w:val="00D8753A"/>
    <w:rsid w:val="00DA2539"/>
    <w:rsid w:val="00DA7267"/>
    <w:rsid w:val="00DB0ACC"/>
    <w:rsid w:val="00DC0644"/>
    <w:rsid w:val="00DC5E46"/>
    <w:rsid w:val="00DD5473"/>
    <w:rsid w:val="00DD67C5"/>
    <w:rsid w:val="00DD6B12"/>
    <w:rsid w:val="00DE2636"/>
    <w:rsid w:val="00DE563A"/>
    <w:rsid w:val="00DE769F"/>
    <w:rsid w:val="00DF1F12"/>
    <w:rsid w:val="00DF27A5"/>
    <w:rsid w:val="00DF2CF0"/>
    <w:rsid w:val="00DF5924"/>
    <w:rsid w:val="00E0259D"/>
    <w:rsid w:val="00E04099"/>
    <w:rsid w:val="00E07178"/>
    <w:rsid w:val="00E1089F"/>
    <w:rsid w:val="00E1488D"/>
    <w:rsid w:val="00E2596B"/>
    <w:rsid w:val="00E25B20"/>
    <w:rsid w:val="00E52E14"/>
    <w:rsid w:val="00E618CA"/>
    <w:rsid w:val="00E70E99"/>
    <w:rsid w:val="00E75441"/>
    <w:rsid w:val="00E75ABC"/>
    <w:rsid w:val="00E838E1"/>
    <w:rsid w:val="00E85983"/>
    <w:rsid w:val="00E9000F"/>
    <w:rsid w:val="00EA05E7"/>
    <w:rsid w:val="00EB35BB"/>
    <w:rsid w:val="00ED0948"/>
    <w:rsid w:val="00EE4694"/>
    <w:rsid w:val="00EF1E8B"/>
    <w:rsid w:val="00F018B8"/>
    <w:rsid w:val="00F046EF"/>
    <w:rsid w:val="00F1604F"/>
    <w:rsid w:val="00F32E2F"/>
    <w:rsid w:val="00F3593E"/>
    <w:rsid w:val="00F407F1"/>
    <w:rsid w:val="00F50EFD"/>
    <w:rsid w:val="00F667B5"/>
    <w:rsid w:val="00F87FD6"/>
    <w:rsid w:val="00F942D3"/>
    <w:rsid w:val="00F973B4"/>
    <w:rsid w:val="00FA2975"/>
    <w:rsid w:val="00FB1BBF"/>
    <w:rsid w:val="00FB5E81"/>
    <w:rsid w:val="00FB73A2"/>
    <w:rsid w:val="00FC4112"/>
    <w:rsid w:val="00FE28D6"/>
    <w:rsid w:val="176765E0"/>
    <w:rsid w:val="17BF5355"/>
    <w:rsid w:val="27FDBE50"/>
    <w:rsid w:val="2BF5FCE9"/>
    <w:rsid w:val="33FF4002"/>
    <w:rsid w:val="36DF4BFA"/>
    <w:rsid w:val="39F7382B"/>
    <w:rsid w:val="408E3038"/>
    <w:rsid w:val="51FF0D38"/>
    <w:rsid w:val="532C4E4D"/>
    <w:rsid w:val="55FF57E7"/>
    <w:rsid w:val="5D7B68A6"/>
    <w:rsid w:val="5DC78A2A"/>
    <w:rsid w:val="6BF15AAA"/>
    <w:rsid w:val="76DF6D01"/>
    <w:rsid w:val="77DD9A99"/>
    <w:rsid w:val="79DB6A2A"/>
    <w:rsid w:val="7B4FEAAF"/>
    <w:rsid w:val="7BFD9DB3"/>
    <w:rsid w:val="7CBCB012"/>
    <w:rsid w:val="7EDF55CD"/>
    <w:rsid w:val="7F4E058D"/>
    <w:rsid w:val="7F7F1A47"/>
    <w:rsid w:val="7FDD68FD"/>
    <w:rsid w:val="8FEB0356"/>
    <w:rsid w:val="9FD7A7C6"/>
    <w:rsid w:val="B17E9521"/>
    <w:rsid w:val="B7B72074"/>
    <w:rsid w:val="BAFF03D5"/>
    <w:rsid w:val="DF1FE713"/>
    <w:rsid w:val="EF7DE3E1"/>
    <w:rsid w:val="F37B9C4A"/>
    <w:rsid w:val="F67B8DAF"/>
    <w:rsid w:val="F6D393F8"/>
    <w:rsid w:val="F6FF6CC1"/>
    <w:rsid w:val="F9CF7A59"/>
    <w:rsid w:val="FB3B3ED8"/>
    <w:rsid w:val="FFDFD1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Cs w:val="24"/>
    </w:rPr>
  </w:style>
  <w:style w:type="paragraph" w:styleId="7">
    <w:name w:val="annotation subject"/>
    <w:basedOn w:val="2"/>
    <w:next w:val="2"/>
    <w:link w:val="18"/>
    <w:semiHidden/>
    <w:unhideWhenUsed/>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21"/>
      <w:szCs w:val="21"/>
    </w:rPr>
  </w:style>
  <w:style w:type="character" w:customStyle="1" w:styleId="12">
    <w:name w:val="批注框文本 字符"/>
    <w:basedOn w:val="10"/>
    <w:link w:val="3"/>
    <w:semiHidden/>
    <w:uiPriority w:val="99"/>
    <w:rPr>
      <w:rFonts w:ascii="Times New Roman" w:hAnsi="Times New Roman" w:eastAsia="宋体"/>
      <w:sz w:val="18"/>
      <w:szCs w:val="18"/>
    </w:rPr>
  </w:style>
  <w:style w:type="character" w:customStyle="1" w:styleId="13">
    <w:name w:val="页眉 字符"/>
    <w:basedOn w:val="10"/>
    <w:link w:val="5"/>
    <w:uiPriority w:val="99"/>
    <w:rPr>
      <w:rFonts w:ascii="Times New Roman" w:hAnsi="Times New Roman" w:eastAsia="宋体"/>
      <w:sz w:val="18"/>
      <w:szCs w:val="18"/>
    </w:rPr>
  </w:style>
  <w:style w:type="character" w:customStyle="1" w:styleId="14">
    <w:name w:val="页脚 字符"/>
    <w:basedOn w:val="10"/>
    <w:link w:val="4"/>
    <w:qFormat/>
    <w:uiPriority w:val="99"/>
    <w:rPr>
      <w:rFonts w:ascii="Times New Roman" w:hAnsi="Times New Roman" w:eastAsia="宋体"/>
      <w:sz w:val="18"/>
      <w:szCs w:val="18"/>
    </w:rPr>
  </w:style>
  <w:style w:type="paragraph" w:styleId="15">
    <w:name w:val="List Paragraph"/>
    <w:basedOn w:val="1"/>
    <w:uiPriority w:val="99"/>
    <w:pPr>
      <w:ind w:firstLine="420" w:firstLineChars="200"/>
    </w:pPr>
  </w:style>
  <w:style w:type="paragraph" w:customStyle="1" w:styleId="16">
    <w:name w:val="修订1"/>
    <w:hidden/>
    <w:semiHidden/>
    <w:uiPriority w:val="99"/>
    <w:rPr>
      <w:rFonts w:ascii="Times New Roman" w:hAnsi="Times New Roman" w:eastAsia="宋体" w:cstheme="minorBidi"/>
      <w:kern w:val="2"/>
      <w:sz w:val="24"/>
      <w:szCs w:val="22"/>
      <w:lang w:val="en-US" w:eastAsia="zh-CN" w:bidi="ar-SA"/>
    </w:rPr>
  </w:style>
  <w:style w:type="character" w:customStyle="1" w:styleId="17">
    <w:name w:val="批注文字 字符"/>
    <w:basedOn w:val="10"/>
    <w:link w:val="2"/>
    <w:semiHidden/>
    <w:uiPriority w:val="99"/>
    <w:rPr>
      <w:rFonts w:ascii="Times New Roman" w:hAnsi="Times New Roman" w:eastAsia="宋体"/>
      <w:kern w:val="2"/>
      <w:sz w:val="24"/>
      <w:szCs w:val="22"/>
    </w:rPr>
  </w:style>
  <w:style w:type="character" w:customStyle="1" w:styleId="18">
    <w:name w:val="批注主题 字符"/>
    <w:basedOn w:val="17"/>
    <w:link w:val="7"/>
    <w:semiHidden/>
    <w:uiPriority w:val="99"/>
    <w:rPr>
      <w:rFonts w:ascii="Times New Roman" w:hAnsi="Times New Roman" w:eastAsia="宋体"/>
      <w:b/>
      <w:bCs/>
      <w:kern w:val="2"/>
      <w:sz w:val="24"/>
      <w:szCs w:val="22"/>
    </w:rPr>
  </w:style>
  <w:style w:type="paragraph" w:customStyle="1" w:styleId="19">
    <w:name w:val="修订2"/>
    <w:hidden/>
    <w:semiHidden/>
    <w:uiPriority w:val="99"/>
    <w:rPr>
      <w:rFonts w:ascii="Times New Roman" w:hAnsi="Times New Roman" w:eastAsia="宋体" w:cstheme="minorBidi"/>
      <w:kern w:val="2"/>
      <w:sz w:val="24"/>
      <w:szCs w:val="22"/>
      <w:lang w:val="en-US" w:eastAsia="zh-CN" w:bidi="ar-SA"/>
    </w:rPr>
  </w:style>
  <w:style w:type="paragraph" w:customStyle="1" w:styleId="20">
    <w:name w:val="修订3"/>
    <w:hidden/>
    <w:unhideWhenUsed/>
    <w:uiPriority w:val="99"/>
    <w:rPr>
      <w:rFonts w:ascii="Times New Roman" w:hAnsi="Times New Roman" w:eastAsia="宋体" w:cstheme="minorBidi"/>
      <w:kern w:val="2"/>
      <w:sz w:val="24"/>
      <w:szCs w:val="22"/>
      <w:lang w:val="en-US" w:eastAsia="zh-CN" w:bidi="ar-SA"/>
    </w:rPr>
  </w:style>
  <w:style w:type="paragraph" w:customStyle="1" w:styleId="21">
    <w:name w:val="修订4"/>
    <w:hidden/>
    <w:unhideWhenUsed/>
    <w:uiPriority w:val="99"/>
    <w:rPr>
      <w:rFonts w:ascii="Times New Roman" w:hAnsi="Times New Roman" w:eastAsia="宋体" w:cstheme="minorBidi"/>
      <w:kern w:val="2"/>
      <w:sz w:val="24"/>
      <w:szCs w:val="22"/>
      <w:lang w:val="en-US" w:eastAsia="zh-CN" w:bidi="ar-SA"/>
    </w:rPr>
  </w:style>
  <w:style w:type="paragraph" w:customStyle="1" w:styleId="22">
    <w:name w:val="Revision"/>
    <w:hidden/>
    <w:unhideWhenUsed/>
    <w:uiPriority w:val="99"/>
    <w:rPr>
      <w:rFonts w:ascii="Times New Roman" w:hAnsi="Times New Roman"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3BFF06D5-CB47-4CAD-82A7-E9F70EA362EF}">
  <ds:schemaRefs/>
</ds:datastoreItem>
</file>

<file path=docProps/app.xml><?xml version="1.0" encoding="utf-8"?>
<Properties xmlns="http://schemas.openxmlformats.org/officeDocument/2006/extended-properties" xmlns:vt="http://schemas.openxmlformats.org/officeDocument/2006/docPropsVTypes">
  <Template>Normal</Template>
  <Pages>3</Pages>
  <Words>1056</Words>
  <Characters>1189</Characters>
  <Lines>9</Lines>
  <Paragraphs>2</Paragraphs>
  <TotalTime>518</TotalTime>
  <ScaleCrop>false</ScaleCrop>
  <LinksUpToDate>false</LinksUpToDate>
  <CharactersWithSpaces>1298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2023-05-27T09:53:00Z</dcterms:created>
  <dc:creator>荣大-李雷</dc:creator>
  <cp:lastModifiedBy>14986</cp:lastModifiedBy>
  <cp:lastPrinted>2023-11-17T18:51:00Z</cp:lastPrinted>
  <dcterms:modified xsi:type="dcterms:W3CDTF">2025-04-28T09:05:51Z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4692EE691F244CEB96FEAC9D5A4CBF0E</vt:lpwstr>
  </property>
</Properties>
</file>