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4AAD" w14:textId="77777777" w:rsidR="009E0FA9" w:rsidRDefault="00000000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公司</w:t>
      </w:r>
      <w:r>
        <w:rPr>
          <w:rFonts w:ascii="宋体" w:hAnsi="宋体"/>
          <w:bCs/>
          <w:sz w:val="24"/>
        </w:rPr>
        <w:t>代码：</w:t>
      </w:r>
      <w:r>
        <w:rPr>
          <w:rFonts w:ascii="宋体" w:hAnsi="宋体" w:hint="eastAsia"/>
          <w:bCs/>
          <w:sz w:val="24"/>
        </w:rPr>
        <w:t>6</w:t>
      </w:r>
      <w:r>
        <w:rPr>
          <w:rFonts w:ascii="宋体" w:hAnsi="宋体"/>
          <w:bCs/>
          <w:sz w:val="24"/>
        </w:rPr>
        <w:t>88160</w:t>
      </w:r>
      <w:r>
        <w:rPr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 xml:space="preserve">                     </w:t>
      </w:r>
      <w:r>
        <w:rPr>
          <w:bCs/>
          <w:sz w:val="24"/>
        </w:rPr>
        <w:t xml:space="preserve">       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公司简称：步科股份</w:t>
      </w:r>
    </w:p>
    <w:p w14:paraId="30178566" w14:textId="77777777" w:rsidR="009E0FA9" w:rsidRDefault="009E0FA9"/>
    <w:p w14:paraId="11655686" w14:textId="77777777" w:rsidR="009E0FA9" w:rsidRDefault="009E0FA9"/>
    <w:p w14:paraId="77B51C8E" w14:textId="77777777" w:rsidR="009E0FA9" w:rsidRDefault="009E0FA9"/>
    <w:p w14:paraId="7A157788" w14:textId="77777777" w:rsidR="009E0FA9" w:rsidRDefault="009E0FA9"/>
    <w:p w14:paraId="249797AA" w14:textId="77777777" w:rsidR="009E0FA9" w:rsidRDefault="009E0FA9"/>
    <w:p w14:paraId="66A226F4" w14:textId="77777777" w:rsidR="009E0FA9" w:rsidRDefault="009E0FA9"/>
    <w:p w14:paraId="75BD4271" w14:textId="77777777" w:rsidR="009E0FA9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上海步科自动化股份有限公司</w:t>
      </w:r>
    </w:p>
    <w:p w14:paraId="78AAE727" w14:textId="77777777" w:rsidR="009E0FA9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投资者关系活动记录表</w:t>
      </w:r>
    </w:p>
    <w:p w14:paraId="4F72B7FB" w14:textId="77777777" w:rsidR="009E0FA9" w:rsidRDefault="009E0FA9"/>
    <w:p w14:paraId="7F08F8EA" w14:textId="77777777" w:rsidR="009E0FA9" w:rsidRDefault="009E0FA9"/>
    <w:p w14:paraId="164215F5" w14:textId="77777777" w:rsidR="009E0FA9" w:rsidRDefault="009E0FA9"/>
    <w:p w14:paraId="00510FAE" w14:textId="77777777" w:rsidR="009E0FA9" w:rsidRDefault="009E0FA9"/>
    <w:p w14:paraId="40D3381D" w14:textId="77777777" w:rsidR="009E0FA9" w:rsidRDefault="009E0FA9"/>
    <w:p w14:paraId="021C8955" w14:textId="77777777" w:rsidR="009E0FA9" w:rsidRDefault="009E0FA9">
      <w:pPr>
        <w:jc w:val="center"/>
      </w:pPr>
    </w:p>
    <w:p w14:paraId="1BCD26BF" w14:textId="77777777" w:rsidR="009E0FA9" w:rsidRDefault="009E0FA9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28542EF4" w14:textId="77777777" w:rsidR="009E0FA9" w:rsidRDefault="009E0FA9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409A0EA6" w14:textId="77777777" w:rsidR="009E0FA9" w:rsidRDefault="00000000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/>
          <w:color w:val="000000"/>
          <w:kern w:val="0"/>
          <w:sz w:val="32"/>
          <w:szCs w:val="28"/>
        </w:rPr>
        <w:br w:type="page"/>
      </w:r>
      <w:r>
        <w:rPr>
          <w:rFonts w:ascii="黑体" w:eastAsia="黑体" w:cs="黑体" w:hint="eastAsia"/>
          <w:color w:val="000000"/>
          <w:kern w:val="0"/>
          <w:sz w:val="32"/>
          <w:szCs w:val="28"/>
        </w:rPr>
        <w:lastRenderedPageBreak/>
        <w:t>上海步科自动化股份有限公司</w:t>
      </w:r>
    </w:p>
    <w:p w14:paraId="7130BF22" w14:textId="77777777" w:rsidR="009E0FA9" w:rsidRDefault="00000000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 w:hint="eastAsia"/>
          <w:color w:val="000000"/>
          <w:kern w:val="0"/>
          <w:sz w:val="32"/>
          <w:szCs w:val="28"/>
        </w:rPr>
        <w:t>投资者关系活动记录表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588"/>
      </w:tblGrid>
      <w:tr w:rsidR="009E0FA9" w14:paraId="7619C05F" w14:textId="77777777">
        <w:trPr>
          <w:trHeight w:val="2366"/>
        </w:trPr>
        <w:tc>
          <w:tcPr>
            <w:tcW w:w="2376" w:type="dxa"/>
            <w:vAlign w:val="center"/>
          </w:tcPr>
          <w:p w14:paraId="76216A78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88" w:type="dxa"/>
            <w:vAlign w:val="center"/>
          </w:tcPr>
          <w:p w14:paraId="7AFE65D1" w14:textId="77777777" w:rsidR="009E0FA9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□特定对象调研     ☑分析师会议</w:t>
            </w:r>
          </w:p>
          <w:p w14:paraId="0C94F63E" w14:textId="77777777" w:rsidR="009E0FA9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□媒体采访         □业绩说明会 </w:t>
            </w:r>
          </w:p>
          <w:p w14:paraId="49B770FB" w14:textId="77777777" w:rsidR="009E0FA9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□新闻发布会       □路演活动</w:t>
            </w:r>
          </w:p>
          <w:p w14:paraId="1D761977" w14:textId="77777777" w:rsidR="009E0FA9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☑现场参观         □一对一沟通</w:t>
            </w:r>
          </w:p>
          <w:p w14:paraId="56BB9A42" w14:textId="77777777" w:rsidR="009E0FA9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☑其他（电话会议）</w:t>
            </w:r>
          </w:p>
        </w:tc>
      </w:tr>
      <w:tr w:rsidR="009E0FA9" w14:paraId="44300F5D" w14:textId="77777777">
        <w:trPr>
          <w:trHeight w:val="675"/>
        </w:trPr>
        <w:tc>
          <w:tcPr>
            <w:tcW w:w="2376" w:type="dxa"/>
            <w:vAlign w:val="center"/>
          </w:tcPr>
          <w:p w14:paraId="54F5FA04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588" w:type="dxa"/>
            <w:vAlign w:val="center"/>
          </w:tcPr>
          <w:p w14:paraId="2B38350D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国泰海通、中信证券、国元证券、华创证券、长江证券、东北证券、光大证券、华安证券、海通证券、财达证券、财信证券、爱建证券、安信证券、东方财富证券、东吴证券、东兴证券、方正证券、广发证券、国海证券、国盛证券、国投证券、国信证券、国新证券、华福证券、华西证券、华泰证券、江海证券、开源证券、民生证券、山西证券、申万宏源、西部证券、兴业证券、野村证券、中航证券、中泰证券、中信建投、中银国际、中原证券、前海开源基金、光大保德信基金、易米基金、百嘉基金、博时基金、北信瑞丰基金、长盛基金、富国基金、国联安基金、广发基金、交银施罗德基金、诺安基金、平安基金、浦银安盛基金、万家基金、信达澳亚基金、前海中船（深圳）私募股权基金、上海诺铁资产管理、宏源汇富创业投资、上海国科龙晖私募基金、上海季胜投资、上海亥鼎云天私募基金、上海博笃投资、上海固信投资控股、上海指南行远私募基金、上海弥远投资、上海古曲私募基金、上海炫桥投资、上海十溢投资、上海极灏私募基金、上海迈维资产、深圳诺信达投资发展、深圳宏鼎财富、深圳瑞信致远私募证券基金、深圳展博投资、深圳前海中金资产、深圳前海华杉投资、深圳纽富斯投资、深圳市尚诚资产管理、北京康曼德私募基金、北京启明乐投资产、北京首钢基金、北京市星石投资、长城投资、长江成长资本投资、辰翔投资、杭州红骅投资、杭州遂玖私募基金、杭州东方嘉富资产、杭银理财、广州市海珠数字经济创业投资、湖南财信经济投资、湖南湘投私募基金、湖北省资产、华美国际投资集团、华宝万盈资产、吉林长白山私募基金、江苏天麒私募基金、君义振华（北京）管理咨询、联君资产、宁波银行、宁海经佳股权投资、璞信资本、前海钰锦、前海华杉投资、瑞鹏资产、瑞银证券、苏州安亚投资、苏州高新私募基金、太平资产管理、台州城投沣收一号股权投资、武汉新城葛店产投、一村资本、易知（北京）投资、云南云投资本运营、浙江乾瞻投资、浙江米仓资产、浙江益恒投资、中航工业弘华基金、富瑞金融集团香港、国泰君安国际控股、国泰财产保险、广州工控资本、广州市崇楷投资（有限合伙）、长城财富保险资产、摩根士丹利、FareBus Cap、Millennium Limited、个人投资者等；</w:t>
            </w:r>
          </w:p>
          <w:p w14:paraId="60FDD6C9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群益金鼎证券、星旺国际；</w:t>
            </w:r>
          </w:p>
          <w:p w14:paraId="0343ABAD" w14:textId="77777777" w:rsidR="009E0FA9" w:rsidRDefault="00000000">
            <w:r>
              <w:rPr>
                <w:rFonts w:ascii="宋体" w:hAnsi="宋体" w:cs="宋体" w:hint="eastAsia"/>
                <w:szCs w:val="21"/>
              </w:rPr>
              <w:lastRenderedPageBreak/>
              <w:t>中泰证券策略会；</w:t>
            </w:r>
          </w:p>
        </w:tc>
      </w:tr>
      <w:tr w:rsidR="009E0FA9" w14:paraId="1ADB90F2" w14:textId="77777777">
        <w:trPr>
          <w:trHeight w:val="724"/>
        </w:trPr>
        <w:tc>
          <w:tcPr>
            <w:tcW w:w="2376" w:type="dxa"/>
            <w:vAlign w:val="center"/>
          </w:tcPr>
          <w:p w14:paraId="02CA45EB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时间</w:t>
            </w:r>
          </w:p>
        </w:tc>
        <w:tc>
          <w:tcPr>
            <w:tcW w:w="6588" w:type="dxa"/>
            <w:vAlign w:val="center"/>
          </w:tcPr>
          <w:p w14:paraId="156F4048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 xml:space="preserve">2025年4月25日 16:00 </w:t>
            </w:r>
          </w:p>
          <w:p w14:paraId="600617E2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2025年4月28日 15:00</w:t>
            </w:r>
          </w:p>
          <w:p w14:paraId="24E907C3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2025年4月29日 10:00</w:t>
            </w:r>
          </w:p>
        </w:tc>
      </w:tr>
      <w:tr w:rsidR="009E0FA9" w14:paraId="1BD4FA1D" w14:textId="77777777">
        <w:trPr>
          <w:trHeight w:val="675"/>
        </w:trPr>
        <w:tc>
          <w:tcPr>
            <w:tcW w:w="2376" w:type="dxa"/>
            <w:vAlign w:val="center"/>
          </w:tcPr>
          <w:p w14:paraId="74545ADE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88" w:type="dxa"/>
            <w:vAlign w:val="center"/>
          </w:tcPr>
          <w:p w14:paraId="3B2989CC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进门财经线上平台</w:t>
            </w:r>
          </w:p>
          <w:p w14:paraId="187838E8" w14:textId="77777777" w:rsidR="009E0FA9" w:rsidRDefault="00000000">
            <w:pPr>
              <w:autoSpaceDE w:val="0"/>
              <w:autoSpaceDN w:val="0"/>
              <w:adjustRightInd w:val="0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深圳市南山区意中利科技园1号3楼</w:t>
            </w:r>
          </w:p>
          <w:p w14:paraId="7DBB802B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上海市自由贸易试验区申江路5709号、秋月路26号3幢北侧三楼</w:t>
            </w:r>
          </w:p>
          <w:p w14:paraId="5DC771C0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上海浦东香格里拉酒店</w:t>
            </w:r>
          </w:p>
        </w:tc>
      </w:tr>
      <w:tr w:rsidR="009E0FA9" w14:paraId="575817E8" w14:textId="77777777">
        <w:trPr>
          <w:trHeight w:val="746"/>
        </w:trPr>
        <w:tc>
          <w:tcPr>
            <w:tcW w:w="2376" w:type="dxa"/>
            <w:vAlign w:val="center"/>
          </w:tcPr>
          <w:p w14:paraId="548BF503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588" w:type="dxa"/>
            <w:vAlign w:val="center"/>
          </w:tcPr>
          <w:p w14:paraId="46EE4B59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董事长、总经理 唐咚</w:t>
            </w:r>
          </w:p>
          <w:p w14:paraId="3338D1FE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董事、副总经理、财务总监 王石泉</w:t>
            </w:r>
          </w:p>
          <w:p w14:paraId="67B777F2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董事会秘书 刘耘</w:t>
            </w:r>
          </w:p>
          <w:p w14:paraId="6C3C10A9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证券事务代表 邵凯真</w:t>
            </w:r>
          </w:p>
        </w:tc>
      </w:tr>
      <w:tr w:rsidR="009E0FA9" w14:paraId="42318FFA" w14:textId="77777777">
        <w:trPr>
          <w:trHeight w:val="841"/>
        </w:trPr>
        <w:tc>
          <w:tcPr>
            <w:tcW w:w="2376" w:type="dxa"/>
            <w:vAlign w:val="center"/>
          </w:tcPr>
          <w:p w14:paraId="699A0A80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88" w:type="dxa"/>
            <w:vAlign w:val="center"/>
          </w:tcPr>
          <w:p w14:paraId="35304279" w14:textId="77777777" w:rsidR="009E0FA9" w:rsidRDefault="00000000">
            <w:pPr>
              <w:numPr>
                <w:ilvl w:val="0"/>
                <w:numId w:val="1"/>
              </w:num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请按照下游行业拆分2024年收入情况？</w:t>
            </w:r>
          </w:p>
          <w:p w14:paraId="52394D36" w14:textId="77777777" w:rsidR="009E0FA9" w:rsidRDefault="00000000">
            <w:pPr>
              <w:pStyle w:val="4"/>
              <w:spacing w:before="0" w:line="240" w:lineRule="auto"/>
              <w:rPr>
                <w:rFonts w:ascii="宋体" w:eastAsia="宋体" w:hAnsi="宋体" w:cs="宋体" w:hint="eastAsia"/>
                <w:b w:val="0"/>
                <w:bCs w:val="0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</w:rPr>
              <w:t>答：2024年公司整体营业收入实现8.09%的稳健增长，其中机器人行业实现销售收入21,242.55万元，同比增长12.26%；医疗设备行业销售收入4,136.87万元，同比增长18.64%；机器物联网行业收入15,735.47万元，同比增长0.46%；通用自动化行业收入13,337.25万元，同比增长8.68%。</w:t>
            </w:r>
          </w:p>
          <w:p w14:paraId="3D58F959" w14:textId="77777777" w:rsidR="009E0FA9" w:rsidRDefault="009E0FA9">
            <w:pPr>
              <w:rPr>
                <w:rFonts w:ascii="宋体" w:hAnsi="宋体" w:cs="宋体" w:hint="eastAsia"/>
              </w:rPr>
            </w:pPr>
          </w:p>
          <w:p w14:paraId="2BC0E23D" w14:textId="77777777" w:rsidR="009E0FA9" w:rsidRDefault="00000000">
            <w:pPr>
              <w:numPr>
                <w:ilvl w:val="0"/>
                <w:numId w:val="1"/>
              </w:num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公司几大业务各个方向的发展现状如何，未来增幅大概是怎样的？</w:t>
            </w:r>
          </w:p>
          <w:p w14:paraId="113B211B" w14:textId="628123A0" w:rsidR="009E0FA9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Cs w:val="21"/>
              </w:rPr>
              <w:t>答：</w:t>
            </w:r>
            <w:r>
              <w:rPr>
                <w:rFonts w:ascii="宋体" w:hAnsi="宋体" w:cs="宋体" w:hint="eastAsia"/>
              </w:rPr>
              <w:t>2025年一季度，公司机器人行业收入实现高速增长，同比增长45.83%，占公司营收比重提升至46.80%，进一步巩固了机器人行业的核心战略地位。这一增长主要得益于公司在工业机器人、协作机器人领域的重大突破，特别是与国际知名大客户达成合作，为后续业绩提供了有力支撑。医疗设备行业2024年实现18.64%的增长，2025年继续保持良好发展态势，是公司比较稳健的一个板块，目前，除了西门子和联影两大客户外，公司在其他新客户端已完成产品验证工作，形成稳定供应关系，预计会逐渐放量。机器物联网方向，公司继续坚持国产化的发展战略，努力突破人机界面在中高端场景的国产替代。通用自动化方向，公司聚焦智慧物流、包装、新能源、轨道交通、3C等智能制造领域，已经在产品端进行了大量储备，随着下游需求释放,公司也会在通用方向持续发力。未来，公司将继续深化“1+N”战略布局，巩固机器人行业的核心战略优势，积极培育并拓展其他N行业，打造新的业绩增长点，通过优化业务结构和重点客户突破，为投资者创造持续稳定的回报。</w:t>
            </w:r>
          </w:p>
          <w:p w14:paraId="6E390C7B" w14:textId="77777777" w:rsidR="009E0FA9" w:rsidRDefault="009E0FA9">
            <w:pPr>
              <w:rPr>
                <w:rFonts w:ascii="宋体" w:hAnsi="宋体" w:cs="宋体" w:hint="eastAsia"/>
              </w:rPr>
            </w:pPr>
          </w:p>
          <w:p w14:paraId="4B4648DE" w14:textId="77777777" w:rsidR="009E0FA9" w:rsidRDefault="00000000">
            <w:pPr>
              <w:numPr>
                <w:ilvl w:val="0"/>
                <w:numId w:val="1"/>
              </w:num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2024年公司研发费用增长是什么原因？</w:t>
            </w:r>
          </w:p>
          <w:p w14:paraId="619A9E8B" w14:textId="77777777" w:rsidR="009E0FA9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Cs w:val="21"/>
              </w:rPr>
              <w:t>答：</w:t>
            </w:r>
            <w:r>
              <w:rPr>
                <w:rFonts w:ascii="宋体" w:hAnsi="宋体" w:cs="宋体" w:hint="eastAsia"/>
              </w:rPr>
              <w:t>公司研发费用增长的</w:t>
            </w:r>
            <w:r>
              <w:rPr>
                <w:rFonts w:ascii="宋体" w:hAnsi="宋体" w:cs="宋体" w:hint="eastAsia"/>
                <w:szCs w:val="21"/>
              </w:rPr>
              <w:t>主要</w:t>
            </w:r>
            <w:r>
              <w:rPr>
                <w:rFonts w:ascii="宋体" w:hAnsi="宋体" w:cs="宋体" w:hint="eastAsia"/>
              </w:rPr>
              <w:t>原因是公司继续加强研发队伍建设，扩大研发人员规模，同时增加了研发项目数量，持续进行新技术和新产品的开发应用，产品不断推陈出新。2024年末，公司研发人员数量190人，同比增长11.76%。持续的研发投入已转化为显著的知识产权成果，2024年，公司新增专利申请18项、软件著作权申请19项；新获授权专利13项、软件著作权18项。</w:t>
            </w:r>
          </w:p>
          <w:p w14:paraId="4452B412" w14:textId="77777777" w:rsidR="009E0FA9" w:rsidRDefault="009E0FA9">
            <w:pPr>
              <w:rPr>
                <w:rFonts w:ascii="宋体" w:hAnsi="宋体" w:cs="宋体" w:hint="eastAsia"/>
                <w:szCs w:val="21"/>
              </w:rPr>
            </w:pPr>
          </w:p>
          <w:p w14:paraId="35E341F8" w14:textId="77777777" w:rsidR="009E0FA9" w:rsidRDefault="00000000">
            <w:pPr>
              <w:numPr>
                <w:ilvl w:val="0"/>
                <w:numId w:val="1"/>
              </w:num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美国加征关税是否会对公司海外业务产生影响？公司计划如何应对？</w:t>
            </w:r>
          </w:p>
          <w:p w14:paraId="7537A30E" w14:textId="77777777" w:rsidR="009E0FA9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答：2024年，公司海外收入的占比约为17.68%，主要来源于欧洲和东南亚市场，美国市场收入占比较小。公司认为当前经济形势对亚欧市场的影响较为有限，公司将密切关注贸易政策、贸易环境的变化与发展，保障公司的稳健经营与可持续发展。</w:t>
            </w:r>
          </w:p>
          <w:p w14:paraId="143BF46F" w14:textId="77777777" w:rsidR="009E0FA9" w:rsidRDefault="009E0FA9">
            <w:pPr>
              <w:rPr>
                <w:rFonts w:ascii="宋体" w:hAnsi="宋体" w:cs="宋体" w:hint="eastAsia"/>
                <w:szCs w:val="21"/>
              </w:rPr>
            </w:pPr>
          </w:p>
          <w:p w14:paraId="17836F2A" w14:textId="77777777" w:rsidR="009E0FA9" w:rsidRDefault="00000000">
            <w:pPr>
              <w:numPr>
                <w:ilvl w:val="0"/>
                <w:numId w:val="1"/>
              </w:num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公司定增募投项目投产后对收入影响如何？</w:t>
            </w:r>
          </w:p>
          <w:p w14:paraId="3E52A672" w14:textId="77777777" w:rsidR="009E0FA9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答：公司募投项目常州智能制造生产基地1号厂房已经建设完毕，目前正在进行</w:t>
            </w:r>
            <w:r>
              <w:rPr>
                <w:rFonts w:ascii="宋体" w:hAnsi="宋体" w:cs="宋体" w:hint="cs"/>
                <w:szCs w:val="21"/>
              </w:rPr>
              <w:t>产线铺设、验证等相关工作</w:t>
            </w:r>
            <w:r>
              <w:rPr>
                <w:rFonts w:ascii="宋体" w:hAnsi="宋体" w:cs="宋体" w:hint="eastAsia"/>
                <w:szCs w:val="21"/>
              </w:rPr>
              <w:t>，预计于2025年上半年投产，释放伺服系统的部分产能（包括</w:t>
            </w:r>
            <w:r>
              <w:rPr>
                <w:rFonts w:ascii="宋体" w:hAnsi="宋体" w:cs="宋体" w:hint="eastAsia"/>
              </w:rPr>
              <w:t>伺服电机、伺服驱动器及伺服模组）。该募投项目规划年产181万台工控产品产能，其中伺服系统规划120万产能，项目投产后将首先对伺服系统的收入产生积极影响。</w:t>
            </w:r>
          </w:p>
        </w:tc>
      </w:tr>
      <w:tr w:rsidR="009E0FA9" w14:paraId="2610FEC7" w14:textId="77777777">
        <w:trPr>
          <w:trHeight w:val="604"/>
        </w:trPr>
        <w:tc>
          <w:tcPr>
            <w:tcW w:w="2376" w:type="dxa"/>
            <w:vAlign w:val="center"/>
          </w:tcPr>
          <w:p w14:paraId="026D4E02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8" w:type="dxa"/>
            <w:vAlign w:val="center"/>
          </w:tcPr>
          <w:p w14:paraId="36564139" w14:textId="77777777" w:rsidR="009E0FA9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9E0FA9" w14:paraId="78850856" w14:textId="77777777">
        <w:trPr>
          <w:trHeight w:val="698"/>
        </w:trPr>
        <w:tc>
          <w:tcPr>
            <w:tcW w:w="2376" w:type="dxa"/>
            <w:vAlign w:val="center"/>
          </w:tcPr>
          <w:p w14:paraId="750AE551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88" w:type="dxa"/>
            <w:vAlign w:val="center"/>
          </w:tcPr>
          <w:p w14:paraId="3E0C4A23" w14:textId="77777777" w:rsidR="009E0FA9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2025年4月25日-29日</w:t>
            </w:r>
          </w:p>
        </w:tc>
      </w:tr>
    </w:tbl>
    <w:p w14:paraId="229DD377" w14:textId="77777777" w:rsidR="009E0FA9" w:rsidRDefault="009E0FA9">
      <w:pPr>
        <w:rPr>
          <w:rFonts w:ascii="宋体" w:hAnsi="宋体" w:cs="宋体" w:hint="eastAsia"/>
          <w:color w:val="000000"/>
          <w:kern w:val="0"/>
          <w:sz w:val="24"/>
        </w:rPr>
      </w:pPr>
    </w:p>
    <w:sectPr w:rsidR="009E0F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4F9D" w14:textId="77777777" w:rsidR="00B47573" w:rsidRDefault="00B47573">
      <w:r>
        <w:separator/>
      </w:r>
    </w:p>
  </w:endnote>
  <w:endnote w:type="continuationSeparator" w:id="0">
    <w:p w14:paraId="32196933" w14:textId="77777777" w:rsidR="00B47573" w:rsidRDefault="00B4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AA45" w14:textId="77777777" w:rsidR="009E0FA9" w:rsidRDefault="009E0FA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ED74" w14:textId="77777777" w:rsidR="009E0FA9" w:rsidRDefault="009E0FA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A426" w14:textId="77777777" w:rsidR="009E0FA9" w:rsidRDefault="00000000">
    <w:pPr>
      <w:pStyle w:val="a3"/>
      <w:jc w:val="center"/>
    </w:pPr>
    <w:r>
      <w:t xml:space="preserve">- 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  <w:r>
      <w:rPr>
        <w:rStyle w:val="aa"/>
      </w:rPr>
      <w:t xml:space="preserve"> -</w:t>
    </w:r>
  </w:p>
  <w:p w14:paraId="45B74230" w14:textId="77777777" w:rsidR="009E0FA9" w:rsidRDefault="009E0F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73FC" w14:textId="77777777" w:rsidR="00B47573" w:rsidRDefault="00B47573">
      <w:r>
        <w:separator/>
      </w:r>
    </w:p>
  </w:footnote>
  <w:footnote w:type="continuationSeparator" w:id="0">
    <w:p w14:paraId="102D493C" w14:textId="77777777" w:rsidR="00B47573" w:rsidRDefault="00B47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8F" w14:textId="77777777" w:rsidR="009E0FA9" w:rsidRDefault="009E0F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4B1E" w14:textId="77777777" w:rsidR="009E0FA9" w:rsidRDefault="009E0FA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EC98" w14:textId="77777777" w:rsidR="009E0FA9" w:rsidRDefault="009E0FA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4FFF1"/>
    <w:multiLevelType w:val="singleLevel"/>
    <w:tmpl w:val="2114FFF1"/>
    <w:lvl w:ilvl="0">
      <w:start w:val="1"/>
      <w:numFmt w:val="decimal"/>
      <w:suff w:val="nothing"/>
      <w:lvlText w:val="%1、"/>
      <w:lvlJc w:val="left"/>
    </w:lvl>
  </w:abstractNum>
  <w:num w:numId="1" w16cid:durableId="181537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5NjRiNjhhOWIwYzE1Y2RkNmQwNDhkNDE3MTMzZjcifQ=="/>
  </w:docVars>
  <w:rsids>
    <w:rsidRoot w:val="00AA53F6"/>
    <w:rsid w:val="00002630"/>
    <w:rsid w:val="00002D64"/>
    <w:rsid w:val="000070C5"/>
    <w:rsid w:val="00010ED3"/>
    <w:rsid w:val="000112D6"/>
    <w:rsid w:val="0001156E"/>
    <w:rsid w:val="0001454A"/>
    <w:rsid w:val="00015290"/>
    <w:rsid w:val="000173BA"/>
    <w:rsid w:val="00030C1A"/>
    <w:rsid w:val="000310B3"/>
    <w:rsid w:val="0003227D"/>
    <w:rsid w:val="000353B0"/>
    <w:rsid w:val="000355E0"/>
    <w:rsid w:val="00040138"/>
    <w:rsid w:val="00044252"/>
    <w:rsid w:val="0004465F"/>
    <w:rsid w:val="00046C96"/>
    <w:rsid w:val="000509EF"/>
    <w:rsid w:val="00052824"/>
    <w:rsid w:val="000541A0"/>
    <w:rsid w:val="00057C59"/>
    <w:rsid w:val="00066D53"/>
    <w:rsid w:val="00070C32"/>
    <w:rsid w:val="00070C9B"/>
    <w:rsid w:val="00075660"/>
    <w:rsid w:val="00080DB4"/>
    <w:rsid w:val="0008442A"/>
    <w:rsid w:val="00084869"/>
    <w:rsid w:val="0008740B"/>
    <w:rsid w:val="00087B0F"/>
    <w:rsid w:val="000930D4"/>
    <w:rsid w:val="00093E67"/>
    <w:rsid w:val="00096874"/>
    <w:rsid w:val="000969E1"/>
    <w:rsid w:val="0009754C"/>
    <w:rsid w:val="000A2288"/>
    <w:rsid w:val="000A243B"/>
    <w:rsid w:val="000A2A96"/>
    <w:rsid w:val="000A5027"/>
    <w:rsid w:val="000A6760"/>
    <w:rsid w:val="000A7BA5"/>
    <w:rsid w:val="000B1703"/>
    <w:rsid w:val="000B18AD"/>
    <w:rsid w:val="000B2347"/>
    <w:rsid w:val="000B4C1B"/>
    <w:rsid w:val="000B72F0"/>
    <w:rsid w:val="000B7DF6"/>
    <w:rsid w:val="000C0CE4"/>
    <w:rsid w:val="000C1B56"/>
    <w:rsid w:val="000C1EAC"/>
    <w:rsid w:val="000C59A8"/>
    <w:rsid w:val="000C63A1"/>
    <w:rsid w:val="000C6DBA"/>
    <w:rsid w:val="000D3B07"/>
    <w:rsid w:val="000D42E1"/>
    <w:rsid w:val="000D559B"/>
    <w:rsid w:val="000D5ACA"/>
    <w:rsid w:val="000D799E"/>
    <w:rsid w:val="000E1EEB"/>
    <w:rsid w:val="000F320D"/>
    <w:rsid w:val="000F430E"/>
    <w:rsid w:val="000F4BC9"/>
    <w:rsid w:val="000F79D6"/>
    <w:rsid w:val="000F7B2B"/>
    <w:rsid w:val="00100182"/>
    <w:rsid w:val="00100DAC"/>
    <w:rsid w:val="0010162A"/>
    <w:rsid w:val="00101C3A"/>
    <w:rsid w:val="0010216D"/>
    <w:rsid w:val="0010602E"/>
    <w:rsid w:val="001069EF"/>
    <w:rsid w:val="00110FD1"/>
    <w:rsid w:val="00110FD8"/>
    <w:rsid w:val="00113882"/>
    <w:rsid w:val="0011404E"/>
    <w:rsid w:val="001143FA"/>
    <w:rsid w:val="00122A1B"/>
    <w:rsid w:val="0012692F"/>
    <w:rsid w:val="00134AF4"/>
    <w:rsid w:val="00136B86"/>
    <w:rsid w:val="00137811"/>
    <w:rsid w:val="00141548"/>
    <w:rsid w:val="00144672"/>
    <w:rsid w:val="001452ED"/>
    <w:rsid w:val="0014762D"/>
    <w:rsid w:val="001478E6"/>
    <w:rsid w:val="0015242C"/>
    <w:rsid w:val="00156291"/>
    <w:rsid w:val="0016048D"/>
    <w:rsid w:val="00160918"/>
    <w:rsid w:val="0016209F"/>
    <w:rsid w:val="00167295"/>
    <w:rsid w:val="00176017"/>
    <w:rsid w:val="001774F6"/>
    <w:rsid w:val="001802BB"/>
    <w:rsid w:val="001803FC"/>
    <w:rsid w:val="00183AB8"/>
    <w:rsid w:val="001863AC"/>
    <w:rsid w:val="00187E2D"/>
    <w:rsid w:val="00190B16"/>
    <w:rsid w:val="001937BB"/>
    <w:rsid w:val="001937EA"/>
    <w:rsid w:val="0019473E"/>
    <w:rsid w:val="001957FC"/>
    <w:rsid w:val="00195DD3"/>
    <w:rsid w:val="0019700E"/>
    <w:rsid w:val="00197D58"/>
    <w:rsid w:val="001A13BD"/>
    <w:rsid w:val="001A6A74"/>
    <w:rsid w:val="001B11DF"/>
    <w:rsid w:val="001B2DE4"/>
    <w:rsid w:val="001B38DC"/>
    <w:rsid w:val="001D1DC1"/>
    <w:rsid w:val="001E2351"/>
    <w:rsid w:val="001E2594"/>
    <w:rsid w:val="001E3944"/>
    <w:rsid w:val="001E5FB2"/>
    <w:rsid w:val="001E7F54"/>
    <w:rsid w:val="001F0AA0"/>
    <w:rsid w:val="001F387D"/>
    <w:rsid w:val="001F4440"/>
    <w:rsid w:val="001F7AE7"/>
    <w:rsid w:val="00202304"/>
    <w:rsid w:val="00202EDF"/>
    <w:rsid w:val="00203129"/>
    <w:rsid w:val="002105EA"/>
    <w:rsid w:val="0021285C"/>
    <w:rsid w:val="00215484"/>
    <w:rsid w:val="0022286C"/>
    <w:rsid w:val="00224B97"/>
    <w:rsid w:val="00230161"/>
    <w:rsid w:val="00233E74"/>
    <w:rsid w:val="00234FC8"/>
    <w:rsid w:val="00236E5A"/>
    <w:rsid w:val="00237CA7"/>
    <w:rsid w:val="002401D3"/>
    <w:rsid w:val="002413F3"/>
    <w:rsid w:val="00241804"/>
    <w:rsid w:val="002443F0"/>
    <w:rsid w:val="00245A1F"/>
    <w:rsid w:val="00247FAD"/>
    <w:rsid w:val="00252BB0"/>
    <w:rsid w:val="0025353D"/>
    <w:rsid w:val="0026332C"/>
    <w:rsid w:val="00264CB8"/>
    <w:rsid w:val="00271061"/>
    <w:rsid w:val="00271153"/>
    <w:rsid w:val="00271D2A"/>
    <w:rsid w:val="00271D5A"/>
    <w:rsid w:val="00282D54"/>
    <w:rsid w:val="00294D34"/>
    <w:rsid w:val="00296E21"/>
    <w:rsid w:val="002978AA"/>
    <w:rsid w:val="002A0C59"/>
    <w:rsid w:val="002A1080"/>
    <w:rsid w:val="002A1959"/>
    <w:rsid w:val="002A4381"/>
    <w:rsid w:val="002A44F3"/>
    <w:rsid w:val="002A5BED"/>
    <w:rsid w:val="002B0A3B"/>
    <w:rsid w:val="002B1777"/>
    <w:rsid w:val="002B327F"/>
    <w:rsid w:val="002B3F7E"/>
    <w:rsid w:val="002B67C7"/>
    <w:rsid w:val="002B719E"/>
    <w:rsid w:val="002C10C4"/>
    <w:rsid w:val="002C19EE"/>
    <w:rsid w:val="002C1A85"/>
    <w:rsid w:val="002C3244"/>
    <w:rsid w:val="002C570B"/>
    <w:rsid w:val="002C6A9B"/>
    <w:rsid w:val="002D0275"/>
    <w:rsid w:val="002D0CAB"/>
    <w:rsid w:val="002D122F"/>
    <w:rsid w:val="002D1756"/>
    <w:rsid w:val="002D2B91"/>
    <w:rsid w:val="002D443D"/>
    <w:rsid w:val="002D491D"/>
    <w:rsid w:val="002E1E48"/>
    <w:rsid w:val="002E47B8"/>
    <w:rsid w:val="002E7675"/>
    <w:rsid w:val="002F1A3F"/>
    <w:rsid w:val="002F76F7"/>
    <w:rsid w:val="0030017E"/>
    <w:rsid w:val="00302B55"/>
    <w:rsid w:val="00304BDB"/>
    <w:rsid w:val="003058FF"/>
    <w:rsid w:val="00305B02"/>
    <w:rsid w:val="00306CAF"/>
    <w:rsid w:val="00307732"/>
    <w:rsid w:val="00307A3A"/>
    <w:rsid w:val="00307CFF"/>
    <w:rsid w:val="00310B60"/>
    <w:rsid w:val="0031309C"/>
    <w:rsid w:val="00313794"/>
    <w:rsid w:val="0031557F"/>
    <w:rsid w:val="00315908"/>
    <w:rsid w:val="00315E48"/>
    <w:rsid w:val="00323FCA"/>
    <w:rsid w:val="00333A33"/>
    <w:rsid w:val="00336BC6"/>
    <w:rsid w:val="003546BD"/>
    <w:rsid w:val="00355773"/>
    <w:rsid w:val="00355C2D"/>
    <w:rsid w:val="00356F0B"/>
    <w:rsid w:val="003576D8"/>
    <w:rsid w:val="00360FA4"/>
    <w:rsid w:val="00361BCC"/>
    <w:rsid w:val="00362075"/>
    <w:rsid w:val="00365680"/>
    <w:rsid w:val="00367740"/>
    <w:rsid w:val="00370BBA"/>
    <w:rsid w:val="00370C8B"/>
    <w:rsid w:val="00374DE3"/>
    <w:rsid w:val="00376978"/>
    <w:rsid w:val="0039179F"/>
    <w:rsid w:val="00395A02"/>
    <w:rsid w:val="003A0904"/>
    <w:rsid w:val="003A17B6"/>
    <w:rsid w:val="003A2029"/>
    <w:rsid w:val="003A21A8"/>
    <w:rsid w:val="003A7F38"/>
    <w:rsid w:val="003B655C"/>
    <w:rsid w:val="003C5857"/>
    <w:rsid w:val="003C589E"/>
    <w:rsid w:val="003C666A"/>
    <w:rsid w:val="003D05BD"/>
    <w:rsid w:val="003D089D"/>
    <w:rsid w:val="003D1054"/>
    <w:rsid w:val="003D6191"/>
    <w:rsid w:val="003E3F5C"/>
    <w:rsid w:val="003E5DEA"/>
    <w:rsid w:val="003E660D"/>
    <w:rsid w:val="003F0259"/>
    <w:rsid w:val="003F651B"/>
    <w:rsid w:val="00400B55"/>
    <w:rsid w:val="00401E7F"/>
    <w:rsid w:val="00402FA2"/>
    <w:rsid w:val="0040506C"/>
    <w:rsid w:val="00407AB7"/>
    <w:rsid w:val="0041176E"/>
    <w:rsid w:val="00413084"/>
    <w:rsid w:val="004131C6"/>
    <w:rsid w:val="00414E34"/>
    <w:rsid w:val="004163B6"/>
    <w:rsid w:val="004176B8"/>
    <w:rsid w:val="00421CFD"/>
    <w:rsid w:val="004228E9"/>
    <w:rsid w:val="00424694"/>
    <w:rsid w:val="004249A9"/>
    <w:rsid w:val="004270C5"/>
    <w:rsid w:val="004304CE"/>
    <w:rsid w:val="00431819"/>
    <w:rsid w:val="00431B2F"/>
    <w:rsid w:val="00434384"/>
    <w:rsid w:val="00435BDA"/>
    <w:rsid w:val="00436C3A"/>
    <w:rsid w:val="004415F8"/>
    <w:rsid w:val="00451CF3"/>
    <w:rsid w:val="00454B90"/>
    <w:rsid w:val="00466AC8"/>
    <w:rsid w:val="00466B17"/>
    <w:rsid w:val="00470220"/>
    <w:rsid w:val="00477012"/>
    <w:rsid w:val="0048081E"/>
    <w:rsid w:val="004819B3"/>
    <w:rsid w:val="004830CF"/>
    <w:rsid w:val="00483C46"/>
    <w:rsid w:val="004857CA"/>
    <w:rsid w:val="00491B9E"/>
    <w:rsid w:val="0049589E"/>
    <w:rsid w:val="00496148"/>
    <w:rsid w:val="004963A9"/>
    <w:rsid w:val="0049713B"/>
    <w:rsid w:val="004A621C"/>
    <w:rsid w:val="004A63AC"/>
    <w:rsid w:val="004A711E"/>
    <w:rsid w:val="004B0021"/>
    <w:rsid w:val="004B172B"/>
    <w:rsid w:val="004B53EE"/>
    <w:rsid w:val="004C01F3"/>
    <w:rsid w:val="004C0A61"/>
    <w:rsid w:val="004C3D06"/>
    <w:rsid w:val="004C58E4"/>
    <w:rsid w:val="004C5D34"/>
    <w:rsid w:val="004C68E4"/>
    <w:rsid w:val="004C71C8"/>
    <w:rsid w:val="004D77FB"/>
    <w:rsid w:val="004E1F3B"/>
    <w:rsid w:val="004F02F4"/>
    <w:rsid w:val="0050316E"/>
    <w:rsid w:val="00504FEC"/>
    <w:rsid w:val="00506547"/>
    <w:rsid w:val="00511864"/>
    <w:rsid w:val="0051509E"/>
    <w:rsid w:val="0052041F"/>
    <w:rsid w:val="00521FA0"/>
    <w:rsid w:val="00522248"/>
    <w:rsid w:val="00522435"/>
    <w:rsid w:val="00524BBF"/>
    <w:rsid w:val="00525685"/>
    <w:rsid w:val="005358AD"/>
    <w:rsid w:val="005446F8"/>
    <w:rsid w:val="00545068"/>
    <w:rsid w:val="00545EDA"/>
    <w:rsid w:val="00550B83"/>
    <w:rsid w:val="005518C5"/>
    <w:rsid w:val="00560149"/>
    <w:rsid w:val="00562BE2"/>
    <w:rsid w:val="005642B9"/>
    <w:rsid w:val="0057528F"/>
    <w:rsid w:val="0057636C"/>
    <w:rsid w:val="00580352"/>
    <w:rsid w:val="00583A33"/>
    <w:rsid w:val="00586D1C"/>
    <w:rsid w:val="00587C21"/>
    <w:rsid w:val="00591C01"/>
    <w:rsid w:val="00594A8A"/>
    <w:rsid w:val="005970C2"/>
    <w:rsid w:val="00597E1C"/>
    <w:rsid w:val="005A00C0"/>
    <w:rsid w:val="005A0C2C"/>
    <w:rsid w:val="005B10B7"/>
    <w:rsid w:val="005B309C"/>
    <w:rsid w:val="005B4EDC"/>
    <w:rsid w:val="005B6009"/>
    <w:rsid w:val="005C1129"/>
    <w:rsid w:val="005C2935"/>
    <w:rsid w:val="005C5FA6"/>
    <w:rsid w:val="005C77A0"/>
    <w:rsid w:val="005D6E9D"/>
    <w:rsid w:val="005E2D00"/>
    <w:rsid w:val="005E534C"/>
    <w:rsid w:val="005E5878"/>
    <w:rsid w:val="005E6D06"/>
    <w:rsid w:val="005F3D34"/>
    <w:rsid w:val="005F43F3"/>
    <w:rsid w:val="005F500A"/>
    <w:rsid w:val="005F5C2E"/>
    <w:rsid w:val="005F62DB"/>
    <w:rsid w:val="00600354"/>
    <w:rsid w:val="006019BC"/>
    <w:rsid w:val="0060254D"/>
    <w:rsid w:val="006060BF"/>
    <w:rsid w:val="00606753"/>
    <w:rsid w:val="00612129"/>
    <w:rsid w:val="00615F74"/>
    <w:rsid w:val="00616BB1"/>
    <w:rsid w:val="00617CC5"/>
    <w:rsid w:val="006205DD"/>
    <w:rsid w:val="00621D61"/>
    <w:rsid w:val="00624F16"/>
    <w:rsid w:val="00625A06"/>
    <w:rsid w:val="006320B4"/>
    <w:rsid w:val="00633D4E"/>
    <w:rsid w:val="006340F8"/>
    <w:rsid w:val="006342C8"/>
    <w:rsid w:val="006354E6"/>
    <w:rsid w:val="00636800"/>
    <w:rsid w:val="00636CC5"/>
    <w:rsid w:val="00641317"/>
    <w:rsid w:val="006427F7"/>
    <w:rsid w:val="0064436B"/>
    <w:rsid w:val="006467CA"/>
    <w:rsid w:val="00647405"/>
    <w:rsid w:val="00650403"/>
    <w:rsid w:val="00652CC8"/>
    <w:rsid w:val="0065372F"/>
    <w:rsid w:val="0065556C"/>
    <w:rsid w:val="006555C7"/>
    <w:rsid w:val="0065637B"/>
    <w:rsid w:val="006568F7"/>
    <w:rsid w:val="00657A82"/>
    <w:rsid w:val="006623CA"/>
    <w:rsid w:val="00662719"/>
    <w:rsid w:val="006651F9"/>
    <w:rsid w:val="0066781E"/>
    <w:rsid w:val="00675BA9"/>
    <w:rsid w:val="00677195"/>
    <w:rsid w:val="0068000D"/>
    <w:rsid w:val="006869C0"/>
    <w:rsid w:val="00693541"/>
    <w:rsid w:val="0069632D"/>
    <w:rsid w:val="006A5561"/>
    <w:rsid w:val="006A5A66"/>
    <w:rsid w:val="006B0D69"/>
    <w:rsid w:val="006B10A4"/>
    <w:rsid w:val="006B3D43"/>
    <w:rsid w:val="006B4BD6"/>
    <w:rsid w:val="006B6882"/>
    <w:rsid w:val="006C0103"/>
    <w:rsid w:val="006C17FF"/>
    <w:rsid w:val="006C2040"/>
    <w:rsid w:val="006C45BB"/>
    <w:rsid w:val="006C5656"/>
    <w:rsid w:val="006C7409"/>
    <w:rsid w:val="006C7772"/>
    <w:rsid w:val="006D1871"/>
    <w:rsid w:val="006D36A3"/>
    <w:rsid w:val="006E33B7"/>
    <w:rsid w:val="006E3CE7"/>
    <w:rsid w:val="006E66AA"/>
    <w:rsid w:val="006F4A49"/>
    <w:rsid w:val="006F5417"/>
    <w:rsid w:val="006F6805"/>
    <w:rsid w:val="007014C2"/>
    <w:rsid w:val="00702429"/>
    <w:rsid w:val="00702CA8"/>
    <w:rsid w:val="00703D34"/>
    <w:rsid w:val="00711ACC"/>
    <w:rsid w:val="00711F3E"/>
    <w:rsid w:val="0071220C"/>
    <w:rsid w:val="007141D9"/>
    <w:rsid w:val="00715181"/>
    <w:rsid w:val="00716522"/>
    <w:rsid w:val="00717BC8"/>
    <w:rsid w:val="007200ED"/>
    <w:rsid w:val="00722379"/>
    <w:rsid w:val="0072257C"/>
    <w:rsid w:val="00722AA6"/>
    <w:rsid w:val="00722DCC"/>
    <w:rsid w:val="00722F25"/>
    <w:rsid w:val="00722F43"/>
    <w:rsid w:val="00725669"/>
    <w:rsid w:val="007264CB"/>
    <w:rsid w:val="00732461"/>
    <w:rsid w:val="007349E1"/>
    <w:rsid w:val="00735B69"/>
    <w:rsid w:val="007379D5"/>
    <w:rsid w:val="00744735"/>
    <w:rsid w:val="00744AA2"/>
    <w:rsid w:val="007450DE"/>
    <w:rsid w:val="00752033"/>
    <w:rsid w:val="007556EE"/>
    <w:rsid w:val="00755DDE"/>
    <w:rsid w:val="0075727C"/>
    <w:rsid w:val="007620AB"/>
    <w:rsid w:val="0076376D"/>
    <w:rsid w:val="007639EC"/>
    <w:rsid w:val="00764494"/>
    <w:rsid w:val="007733EB"/>
    <w:rsid w:val="00774126"/>
    <w:rsid w:val="0077533E"/>
    <w:rsid w:val="00776728"/>
    <w:rsid w:val="00780442"/>
    <w:rsid w:val="00784740"/>
    <w:rsid w:val="00791664"/>
    <w:rsid w:val="007933FB"/>
    <w:rsid w:val="0079574E"/>
    <w:rsid w:val="00796DA0"/>
    <w:rsid w:val="00796F05"/>
    <w:rsid w:val="007A1E29"/>
    <w:rsid w:val="007A3CA3"/>
    <w:rsid w:val="007B2C3B"/>
    <w:rsid w:val="007B384E"/>
    <w:rsid w:val="007B490E"/>
    <w:rsid w:val="007B5BEC"/>
    <w:rsid w:val="007C1402"/>
    <w:rsid w:val="007C31C0"/>
    <w:rsid w:val="007C3998"/>
    <w:rsid w:val="007C5741"/>
    <w:rsid w:val="007C5AAC"/>
    <w:rsid w:val="007D12FB"/>
    <w:rsid w:val="007D1B9B"/>
    <w:rsid w:val="007D3EFF"/>
    <w:rsid w:val="007D7222"/>
    <w:rsid w:val="007D725A"/>
    <w:rsid w:val="007D7676"/>
    <w:rsid w:val="007E2D93"/>
    <w:rsid w:val="007E56F0"/>
    <w:rsid w:val="007E63FD"/>
    <w:rsid w:val="007F0C4E"/>
    <w:rsid w:val="007F214E"/>
    <w:rsid w:val="007F27EB"/>
    <w:rsid w:val="007F5E30"/>
    <w:rsid w:val="007F6F05"/>
    <w:rsid w:val="008000BE"/>
    <w:rsid w:val="008012A0"/>
    <w:rsid w:val="00801755"/>
    <w:rsid w:val="00803850"/>
    <w:rsid w:val="008050A0"/>
    <w:rsid w:val="008055A3"/>
    <w:rsid w:val="00805E02"/>
    <w:rsid w:val="008126EC"/>
    <w:rsid w:val="00813113"/>
    <w:rsid w:val="00813AD5"/>
    <w:rsid w:val="008225AD"/>
    <w:rsid w:val="00824D8B"/>
    <w:rsid w:val="00826F14"/>
    <w:rsid w:val="008307A2"/>
    <w:rsid w:val="008309D7"/>
    <w:rsid w:val="00831EC2"/>
    <w:rsid w:val="008356A8"/>
    <w:rsid w:val="0084060D"/>
    <w:rsid w:val="008411CB"/>
    <w:rsid w:val="008419A2"/>
    <w:rsid w:val="00843D5F"/>
    <w:rsid w:val="0084473D"/>
    <w:rsid w:val="008561A3"/>
    <w:rsid w:val="00857D49"/>
    <w:rsid w:val="00874B42"/>
    <w:rsid w:val="00877449"/>
    <w:rsid w:val="008778C8"/>
    <w:rsid w:val="00877B59"/>
    <w:rsid w:val="00881FED"/>
    <w:rsid w:val="00883F8A"/>
    <w:rsid w:val="00893220"/>
    <w:rsid w:val="008A38E7"/>
    <w:rsid w:val="008A392D"/>
    <w:rsid w:val="008A48DD"/>
    <w:rsid w:val="008A6385"/>
    <w:rsid w:val="008A652B"/>
    <w:rsid w:val="008B04AD"/>
    <w:rsid w:val="008B72A8"/>
    <w:rsid w:val="008D688E"/>
    <w:rsid w:val="008E0865"/>
    <w:rsid w:val="008E1483"/>
    <w:rsid w:val="008E613F"/>
    <w:rsid w:val="008E6C29"/>
    <w:rsid w:val="008E7D2F"/>
    <w:rsid w:val="008F158C"/>
    <w:rsid w:val="008F5411"/>
    <w:rsid w:val="008F6B8E"/>
    <w:rsid w:val="009003C1"/>
    <w:rsid w:val="00901472"/>
    <w:rsid w:val="00904067"/>
    <w:rsid w:val="00905075"/>
    <w:rsid w:val="00905440"/>
    <w:rsid w:val="009063DE"/>
    <w:rsid w:val="00910250"/>
    <w:rsid w:val="0091048F"/>
    <w:rsid w:val="00911546"/>
    <w:rsid w:val="009133BC"/>
    <w:rsid w:val="00914AF6"/>
    <w:rsid w:val="009163CA"/>
    <w:rsid w:val="009204E5"/>
    <w:rsid w:val="00922CCC"/>
    <w:rsid w:val="00926DF8"/>
    <w:rsid w:val="00927614"/>
    <w:rsid w:val="00932C1D"/>
    <w:rsid w:val="00937199"/>
    <w:rsid w:val="00937E96"/>
    <w:rsid w:val="00943376"/>
    <w:rsid w:val="00947011"/>
    <w:rsid w:val="009524FD"/>
    <w:rsid w:val="00954E18"/>
    <w:rsid w:val="00957B91"/>
    <w:rsid w:val="00962C3B"/>
    <w:rsid w:val="00966CDC"/>
    <w:rsid w:val="0097283A"/>
    <w:rsid w:val="00973027"/>
    <w:rsid w:val="009740B6"/>
    <w:rsid w:val="00983BFD"/>
    <w:rsid w:val="00984903"/>
    <w:rsid w:val="00984DBF"/>
    <w:rsid w:val="009854DD"/>
    <w:rsid w:val="00992AC5"/>
    <w:rsid w:val="009A5868"/>
    <w:rsid w:val="009A72D1"/>
    <w:rsid w:val="009B3AA8"/>
    <w:rsid w:val="009B4482"/>
    <w:rsid w:val="009B7476"/>
    <w:rsid w:val="009C4CBD"/>
    <w:rsid w:val="009C4D0F"/>
    <w:rsid w:val="009C75B6"/>
    <w:rsid w:val="009D22A0"/>
    <w:rsid w:val="009E0FA9"/>
    <w:rsid w:val="009E34A7"/>
    <w:rsid w:val="009E5652"/>
    <w:rsid w:val="009E72F7"/>
    <w:rsid w:val="009E7AC4"/>
    <w:rsid w:val="009F0322"/>
    <w:rsid w:val="009F5661"/>
    <w:rsid w:val="00A02442"/>
    <w:rsid w:val="00A03629"/>
    <w:rsid w:val="00A05E5B"/>
    <w:rsid w:val="00A07BF0"/>
    <w:rsid w:val="00A12CFB"/>
    <w:rsid w:val="00A14186"/>
    <w:rsid w:val="00A204F7"/>
    <w:rsid w:val="00A225C6"/>
    <w:rsid w:val="00A272ED"/>
    <w:rsid w:val="00A275E5"/>
    <w:rsid w:val="00A303A9"/>
    <w:rsid w:val="00A35769"/>
    <w:rsid w:val="00A416B6"/>
    <w:rsid w:val="00A437EA"/>
    <w:rsid w:val="00A45BF1"/>
    <w:rsid w:val="00A5175A"/>
    <w:rsid w:val="00A536DE"/>
    <w:rsid w:val="00A552F3"/>
    <w:rsid w:val="00A576FD"/>
    <w:rsid w:val="00A62D25"/>
    <w:rsid w:val="00A630D3"/>
    <w:rsid w:val="00A63E52"/>
    <w:rsid w:val="00A640A8"/>
    <w:rsid w:val="00A67EAD"/>
    <w:rsid w:val="00A705D4"/>
    <w:rsid w:val="00A7436E"/>
    <w:rsid w:val="00A778D9"/>
    <w:rsid w:val="00A77B3B"/>
    <w:rsid w:val="00A77DA5"/>
    <w:rsid w:val="00A80B78"/>
    <w:rsid w:val="00A80F7C"/>
    <w:rsid w:val="00A822AB"/>
    <w:rsid w:val="00A8620C"/>
    <w:rsid w:val="00A90A49"/>
    <w:rsid w:val="00A913F8"/>
    <w:rsid w:val="00A91D52"/>
    <w:rsid w:val="00A93385"/>
    <w:rsid w:val="00AA0E10"/>
    <w:rsid w:val="00AA53F6"/>
    <w:rsid w:val="00AA5787"/>
    <w:rsid w:val="00AA6426"/>
    <w:rsid w:val="00AA7338"/>
    <w:rsid w:val="00AA79F0"/>
    <w:rsid w:val="00AB3CA6"/>
    <w:rsid w:val="00AB5833"/>
    <w:rsid w:val="00AB5D81"/>
    <w:rsid w:val="00AB6267"/>
    <w:rsid w:val="00AB6BF6"/>
    <w:rsid w:val="00AB7CD6"/>
    <w:rsid w:val="00AC23A7"/>
    <w:rsid w:val="00AC56A8"/>
    <w:rsid w:val="00AC6367"/>
    <w:rsid w:val="00AC724E"/>
    <w:rsid w:val="00AD56F8"/>
    <w:rsid w:val="00AD595D"/>
    <w:rsid w:val="00AE0BBC"/>
    <w:rsid w:val="00AE47A1"/>
    <w:rsid w:val="00AF1D58"/>
    <w:rsid w:val="00AF1E7E"/>
    <w:rsid w:val="00AF2564"/>
    <w:rsid w:val="00AF390A"/>
    <w:rsid w:val="00AF395D"/>
    <w:rsid w:val="00AF5FE5"/>
    <w:rsid w:val="00B00139"/>
    <w:rsid w:val="00B05CB3"/>
    <w:rsid w:val="00B07913"/>
    <w:rsid w:val="00B10FF2"/>
    <w:rsid w:val="00B14993"/>
    <w:rsid w:val="00B177B7"/>
    <w:rsid w:val="00B22408"/>
    <w:rsid w:val="00B2360F"/>
    <w:rsid w:val="00B27E0C"/>
    <w:rsid w:val="00B32DF1"/>
    <w:rsid w:val="00B33377"/>
    <w:rsid w:val="00B33753"/>
    <w:rsid w:val="00B339BA"/>
    <w:rsid w:val="00B35314"/>
    <w:rsid w:val="00B361FA"/>
    <w:rsid w:val="00B41A21"/>
    <w:rsid w:val="00B44347"/>
    <w:rsid w:val="00B46924"/>
    <w:rsid w:val="00B47573"/>
    <w:rsid w:val="00B477C6"/>
    <w:rsid w:val="00B5127F"/>
    <w:rsid w:val="00B5280A"/>
    <w:rsid w:val="00B566FD"/>
    <w:rsid w:val="00B57AAE"/>
    <w:rsid w:val="00B60E40"/>
    <w:rsid w:val="00B614C6"/>
    <w:rsid w:val="00B61E55"/>
    <w:rsid w:val="00B7165F"/>
    <w:rsid w:val="00B74600"/>
    <w:rsid w:val="00B74998"/>
    <w:rsid w:val="00B7786F"/>
    <w:rsid w:val="00B8089A"/>
    <w:rsid w:val="00B8263C"/>
    <w:rsid w:val="00B84878"/>
    <w:rsid w:val="00B8491C"/>
    <w:rsid w:val="00B864E9"/>
    <w:rsid w:val="00B8787B"/>
    <w:rsid w:val="00B87922"/>
    <w:rsid w:val="00B933AD"/>
    <w:rsid w:val="00B94C05"/>
    <w:rsid w:val="00B9569A"/>
    <w:rsid w:val="00B97D0B"/>
    <w:rsid w:val="00BA1575"/>
    <w:rsid w:val="00BA1B51"/>
    <w:rsid w:val="00BA21CB"/>
    <w:rsid w:val="00BB0673"/>
    <w:rsid w:val="00BC020D"/>
    <w:rsid w:val="00BC44BA"/>
    <w:rsid w:val="00BC54F9"/>
    <w:rsid w:val="00BC595E"/>
    <w:rsid w:val="00BC5B68"/>
    <w:rsid w:val="00BC7EB2"/>
    <w:rsid w:val="00BD0E58"/>
    <w:rsid w:val="00BD2C2F"/>
    <w:rsid w:val="00BD2CF7"/>
    <w:rsid w:val="00BD50C7"/>
    <w:rsid w:val="00BD575C"/>
    <w:rsid w:val="00BD7DB9"/>
    <w:rsid w:val="00BE0A85"/>
    <w:rsid w:val="00BE1515"/>
    <w:rsid w:val="00BE2523"/>
    <w:rsid w:val="00BE382C"/>
    <w:rsid w:val="00BE3F1B"/>
    <w:rsid w:val="00BE469D"/>
    <w:rsid w:val="00BE5AE4"/>
    <w:rsid w:val="00BE77FA"/>
    <w:rsid w:val="00BF44FD"/>
    <w:rsid w:val="00BF6E14"/>
    <w:rsid w:val="00BF6FE2"/>
    <w:rsid w:val="00BF7CB3"/>
    <w:rsid w:val="00C04AD7"/>
    <w:rsid w:val="00C07EE8"/>
    <w:rsid w:val="00C103A1"/>
    <w:rsid w:val="00C17A94"/>
    <w:rsid w:val="00C23C73"/>
    <w:rsid w:val="00C25035"/>
    <w:rsid w:val="00C26593"/>
    <w:rsid w:val="00C2736A"/>
    <w:rsid w:val="00C352F7"/>
    <w:rsid w:val="00C359B7"/>
    <w:rsid w:val="00C371D1"/>
    <w:rsid w:val="00C37709"/>
    <w:rsid w:val="00C429BC"/>
    <w:rsid w:val="00C43BC5"/>
    <w:rsid w:val="00C44925"/>
    <w:rsid w:val="00C47485"/>
    <w:rsid w:val="00C477D1"/>
    <w:rsid w:val="00C5032D"/>
    <w:rsid w:val="00C50F4F"/>
    <w:rsid w:val="00C51070"/>
    <w:rsid w:val="00C52FE9"/>
    <w:rsid w:val="00C61E9A"/>
    <w:rsid w:val="00C630C2"/>
    <w:rsid w:val="00C673F9"/>
    <w:rsid w:val="00C676E8"/>
    <w:rsid w:val="00C70107"/>
    <w:rsid w:val="00C754A0"/>
    <w:rsid w:val="00C75D9B"/>
    <w:rsid w:val="00C8070A"/>
    <w:rsid w:val="00C827FB"/>
    <w:rsid w:val="00C915DF"/>
    <w:rsid w:val="00C97850"/>
    <w:rsid w:val="00CA0B26"/>
    <w:rsid w:val="00CA19FF"/>
    <w:rsid w:val="00CA2078"/>
    <w:rsid w:val="00CA3888"/>
    <w:rsid w:val="00CA3AE0"/>
    <w:rsid w:val="00CA5CE3"/>
    <w:rsid w:val="00CA61C6"/>
    <w:rsid w:val="00CB0B28"/>
    <w:rsid w:val="00CB18D5"/>
    <w:rsid w:val="00CB6086"/>
    <w:rsid w:val="00CC1051"/>
    <w:rsid w:val="00CC6FB9"/>
    <w:rsid w:val="00CD3967"/>
    <w:rsid w:val="00CD5292"/>
    <w:rsid w:val="00CD5BB8"/>
    <w:rsid w:val="00CE29D0"/>
    <w:rsid w:val="00CE2A6C"/>
    <w:rsid w:val="00CE38AA"/>
    <w:rsid w:val="00CE799E"/>
    <w:rsid w:val="00CF173A"/>
    <w:rsid w:val="00CF365D"/>
    <w:rsid w:val="00D00EC1"/>
    <w:rsid w:val="00D022EA"/>
    <w:rsid w:val="00D03BF4"/>
    <w:rsid w:val="00D04A70"/>
    <w:rsid w:val="00D06A27"/>
    <w:rsid w:val="00D06CB1"/>
    <w:rsid w:val="00D11E60"/>
    <w:rsid w:val="00D16C06"/>
    <w:rsid w:val="00D21B74"/>
    <w:rsid w:val="00D22E82"/>
    <w:rsid w:val="00D3109B"/>
    <w:rsid w:val="00D32235"/>
    <w:rsid w:val="00D32BB5"/>
    <w:rsid w:val="00D358C8"/>
    <w:rsid w:val="00D35B0F"/>
    <w:rsid w:val="00D37974"/>
    <w:rsid w:val="00D37AAB"/>
    <w:rsid w:val="00D4042B"/>
    <w:rsid w:val="00D450C1"/>
    <w:rsid w:val="00D463A9"/>
    <w:rsid w:val="00D52583"/>
    <w:rsid w:val="00D55DF4"/>
    <w:rsid w:val="00D60C8C"/>
    <w:rsid w:val="00D64C98"/>
    <w:rsid w:val="00D66F0C"/>
    <w:rsid w:val="00D7095E"/>
    <w:rsid w:val="00D72CAC"/>
    <w:rsid w:val="00D842F3"/>
    <w:rsid w:val="00D85D76"/>
    <w:rsid w:val="00D87838"/>
    <w:rsid w:val="00D93BC6"/>
    <w:rsid w:val="00D93CBF"/>
    <w:rsid w:val="00D95A84"/>
    <w:rsid w:val="00D97A87"/>
    <w:rsid w:val="00DA0673"/>
    <w:rsid w:val="00DA2051"/>
    <w:rsid w:val="00DA492F"/>
    <w:rsid w:val="00DA588D"/>
    <w:rsid w:val="00DB1147"/>
    <w:rsid w:val="00DB3616"/>
    <w:rsid w:val="00DB3C97"/>
    <w:rsid w:val="00DD0B11"/>
    <w:rsid w:val="00DD157B"/>
    <w:rsid w:val="00DD291D"/>
    <w:rsid w:val="00DD3498"/>
    <w:rsid w:val="00DD4E4E"/>
    <w:rsid w:val="00DD6DF8"/>
    <w:rsid w:val="00DE3B53"/>
    <w:rsid w:val="00DF7060"/>
    <w:rsid w:val="00E018A5"/>
    <w:rsid w:val="00E02DD8"/>
    <w:rsid w:val="00E03494"/>
    <w:rsid w:val="00E04FD8"/>
    <w:rsid w:val="00E055E3"/>
    <w:rsid w:val="00E10267"/>
    <w:rsid w:val="00E1248C"/>
    <w:rsid w:val="00E12BE7"/>
    <w:rsid w:val="00E17CCC"/>
    <w:rsid w:val="00E21C06"/>
    <w:rsid w:val="00E2717F"/>
    <w:rsid w:val="00E3198F"/>
    <w:rsid w:val="00E3212D"/>
    <w:rsid w:val="00E350E6"/>
    <w:rsid w:val="00E35600"/>
    <w:rsid w:val="00E35B6B"/>
    <w:rsid w:val="00E35DCE"/>
    <w:rsid w:val="00E43168"/>
    <w:rsid w:val="00E44A97"/>
    <w:rsid w:val="00E46B84"/>
    <w:rsid w:val="00E4758E"/>
    <w:rsid w:val="00E52AB4"/>
    <w:rsid w:val="00E53057"/>
    <w:rsid w:val="00E6085F"/>
    <w:rsid w:val="00E628B6"/>
    <w:rsid w:val="00E62D82"/>
    <w:rsid w:val="00E63C58"/>
    <w:rsid w:val="00E64113"/>
    <w:rsid w:val="00E6659E"/>
    <w:rsid w:val="00E70D0D"/>
    <w:rsid w:val="00E716AD"/>
    <w:rsid w:val="00E7179C"/>
    <w:rsid w:val="00E71E8A"/>
    <w:rsid w:val="00E71F08"/>
    <w:rsid w:val="00E71F34"/>
    <w:rsid w:val="00E81028"/>
    <w:rsid w:val="00E82D60"/>
    <w:rsid w:val="00E84C8D"/>
    <w:rsid w:val="00E92380"/>
    <w:rsid w:val="00E96DB8"/>
    <w:rsid w:val="00E97F26"/>
    <w:rsid w:val="00EA08D0"/>
    <w:rsid w:val="00EA1A60"/>
    <w:rsid w:val="00EA7FF3"/>
    <w:rsid w:val="00EB31B4"/>
    <w:rsid w:val="00EB413C"/>
    <w:rsid w:val="00EC15CD"/>
    <w:rsid w:val="00EC4071"/>
    <w:rsid w:val="00EC5341"/>
    <w:rsid w:val="00EC5894"/>
    <w:rsid w:val="00EF0F24"/>
    <w:rsid w:val="00EF60A5"/>
    <w:rsid w:val="00EF6875"/>
    <w:rsid w:val="00EF7763"/>
    <w:rsid w:val="00F02B9D"/>
    <w:rsid w:val="00F1059E"/>
    <w:rsid w:val="00F1062B"/>
    <w:rsid w:val="00F10FA0"/>
    <w:rsid w:val="00F141EA"/>
    <w:rsid w:val="00F15F42"/>
    <w:rsid w:val="00F27A07"/>
    <w:rsid w:val="00F31F2E"/>
    <w:rsid w:val="00F3623B"/>
    <w:rsid w:val="00F37C86"/>
    <w:rsid w:val="00F422EE"/>
    <w:rsid w:val="00F42CF4"/>
    <w:rsid w:val="00F45CF8"/>
    <w:rsid w:val="00F462BA"/>
    <w:rsid w:val="00F4695C"/>
    <w:rsid w:val="00F5415B"/>
    <w:rsid w:val="00F65ED7"/>
    <w:rsid w:val="00F66AB3"/>
    <w:rsid w:val="00F7596E"/>
    <w:rsid w:val="00F8417F"/>
    <w:rsid w:val="00F86A8E"/>
    <w:rsid w:val="00F91DD2"/>
    <w:rsid w:val="00F92761"/>
    <w:rsid w:val="00F94159"/>
    <w:rsid w:val="00F9422E"/>
    <w:rsid w:val="00F94ED4"/>
    <w:rsid w:val="00F96B0A"/>
    <w:rsid w:val="00FA31AA"/>
    <w:rsid w:val="00FA33F1"/>
    <w:rsid w:val="00FA475D"/>
    <w:rsid w:val="00FA6D59"/>
    <w:rsid w:val="00FA73EF"/>
    <w:rsid w:val="00FB0278"/>
    <w:rsid w:val="00FB03B4"/>
    <w:rsid w:val="00FB4CB6"/>
    <w:rsid w:val="00FB7842"/>
    <w:rsid w:val="00FC3914"/>
    <w:rsid w:val="00FD3CCA"/>
    <w:rsid w:val="00FD4D02"/>
    <w:rsid w:val="00FD73F9"/>
    <w:rsid w:val="00FD7656"/>
    <w:rsid w:val="00FE0DA4"/>
    <w:rsid w:val="00FE12C9"/>
    <w:rsid w:val="00FE63C2"/>
    <w:rsid w:val="00FE6567"/>
    <w:rsid w:val="00FF61C3"/>
    <w:rsid w:val="00FF635B"/>
    <w:rsid w:val="00FF663E"/>
    <w:rsid w:val="08F22310"/>
    <w:rsid w:val="0A892B70"/>
    <w:rsid w:val="0AE46124"/>
    <w:rsid w:val="0B070D72"/>
    <w:rsid w:val="0D485C6D"/>
    <w:rsid w:val="11225029"/>
    <w:rsid w:val="13953170"/>
    <w:rsid w:val="150F1CC1"/>
    <w:rsid w:val="17E832D2"/>
    <w:rsid w:val="18BE10E1"/>
    <w:rsid w:val="199E2BAF"/>
    <w:rsid w:val="1C4D6B4A"/>
    <w:rsid w:val="1CE369D3"/>
    <w:rsid w:val="256B7C3C"/>
    <w:rsid w:val="2882583F"/>
    <w:rsid w:val="2890546A"/>
    <w:rsid w:val="28AA4C8C"/>
    <w:rsid w:val="2C0249DE"/>
    <w:rsid w:val="2C135BA6"/>
    <w:rsid w:val="31ED3847"/>
    <w:rsid w:val="36F55639"/>
    <w:rsid w:val="37281286"/>
    <w:rsid w:val="394A4F7D"/>
    <w:rsid w:val="39BA3AAC"/>
    <w:rsid w:val="3A7C306D"/>
    <w:rsid w:val="3B615F63"/>
    <w:rsid w:val="40E90548"/>
    <w:rsid w:val="448752F6"/>
    <w:rsid w:val="45827F0C"/>
    <w:rsid w:val="459F0946"/>
    <w:rsid w:val="46667111"/>
    <w:rsid w:val="46BA3DD4"/>
    <w:rsid w:val="480466DD"/>
    <w:rsid w:val="48B83E39"/>
    <w:rsid w:val="49456EB1"/>
    <w:rsid w:val="4A211AF6"/>
    <w:rsid w:val="4CBC6B75"/>
    <w:rsid w:val="4D0351FB"/>
    <w:rsid w:val="517174DB"/>
    <w:rsid w:val="531131EA"/>
    <w:rsid w:val="547F7A92"/>
    <w:rsid w:val="54CA6068"/>
    <w:rsid w:val="55861A89"/>
    <w:rsid w:val="569F4D86"/>
    <w:rsid w:val="56C44AAA"/>
    <w:rsid w:val="5756142C"/>
    <w:rsid w:val="57FF3520"/>
    <w:rsid w:val="58A272C8"/>
    <w:rsid w:val="59656DA6"/>
    <w:rsid w:val="5A184997"/>
    <w:rsid w:val="5B4F2B6D"/>
    <w:rsid w:val="5DA55EF8"/>
    <w:rsid w:val="60E84350"/>
    <w:rsid w:val="616012AC"/>
    <w:rsid w:val="6812734C"/>
    <w:rsid w:val="6B726158"/>
    <w:rsid w:val="6C762E7E"/>
    <w:rsid w:val="6EDE743A"/>
    <w:rsid w:val="731C6D76"/>
    <w:rsid w:val="73300323"/>
    <w:rsid w:val="74895A9B"/>
    <w:rsid w:val="75CC4F23"/>
    <w:rsid w:val="75F670F6"/>
    <w:rsid w:val="79C1605A"/>
    <w:rsid w:val="7C52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A7A190"/>
  <w15:docId w15:val="{4FD2FF84-7340-4900-94C1-424C336A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60" w:line="360" w:lineRule="auto"/>
      <w:outlineLvl w:val="3"/>
    </w:pPr>
    <w:rPr>
      <w:rFonts w:asciiTheme="minorEastAsia" w:eastAsiaTheme="minorEastAsia" w:hAnsiTheme="minorEastAsia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page number"/>
    <w:basedOn w:val="a0"/>
    <w:autoRedefine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link w:val="a3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sh-highlight">
    <w:name w:val="sh-highlight"/>
    <w:basedOn w:val="a0"/>
    <w:autoRedefine/>
    <w:qFormat/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30">
    <w:name w:val="修订3"/>
    <w:autoRedefine/>
    <w:hidden/>
    <w:uiPriority w:val="99"/>
    <w:unhideWhenUsed/>
    <w:qFormat/>
    <w:rPr>
      <w:kern w:val="2"/>
      <w:sz w:val="21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hAnsi="Courier New" w:cs="Courier New"/>
      <w:kern w:val="2"/>
    </w:rPr>
  </w:style>
  <w:style w:type="paragraph" w:customStyle="1" w:styleId="40">
    <w:name w:val="修订4"/>
    <w:hidden/>
    <w:uiPriority w:val="99"/>
    <w:unhideWhenUsed/>
    <w:qFormat/>
    <w:rPr>
      <w:kern w:val="2"/>
      <w:sz w:val="21"/>
      <w:szCs w:val="24"/>
    </w:rPr>
  </w:style>
  <w:style w:type="paragraph" w:customStyle="1" w:styleId="5">
    <w:name w:val="修订5"/>
    <w:hidden/>
    <w:uiPriority w:val="99"/>
    <w:unhideWhenUsed/>
    <w:rPr>
      <w:kern w:val="2"/>
      <w:sz w:val="21"/>
      <w:szCs w:val="24"/>
    </w:rPr>
  </w:style>
  <w:style w:type="paragraph" w:styleId="ad">
    <w:name w:val="Revision"/>
    <w:hidden/>
    <w:uiPriority w:val="99"/>
    <w:unhideWhenUsed/>
    <w:rsid w:val="00D11E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F122-31ED-4280-8E03-AFCF3980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1235</Words>
  <Characters>1335</Characters>
  <Application>Microsoft Office Word</Application>
  <DocSecurity>0</DocSecurity>
  <Lines>70</Lines>
  <Paragraphs>45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kzh Shao</cp:lastModifiedBy>
  <cp:revision>696</cp:revision>
  <dcterms:created xsi:type="dcterms:W3CDTF">2015-05-14T07:43:00Z</dcterms:created>
  <dcterms:modified xsi:type="dcterms:W3CDTF">2025-04-30T08:06:00Z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C9C770CE6E4D449F81357D40CB3EC159_13</vt:lpwstr>
  </property>
  <property fmtid="{D5CDD505-2E9C-101B-9397-08002B2CF9AE}" pid="4" name="KSOTemplateDocerSaveRecord">
    <vt:lpwstr>eyJoZGlkIjoiOTI0ZGRjOGEyMjU1YjU2YmI2NDA5MGRjMTUxMjM3ZjgiLCJ1c2VySWQiOiIxMjYwMTIwNTkzIn0=</vt:lpwstr>
  </property>
</Properties>
</file>