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4</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55D85012">
            <w:pPr>
              <w:pStyle w:val="3"/>
              <w:numPr>
                <w:ilvl w:val="0"/>
                <w:numId w:val="1"/>
              </w:numPr>
              <w:ind w:left="0" w:leftChars="0" w:firstLine="0" w:firstLineChars="0"/>
              <w:rPr>
                <w:rFonts w:hint="eastAsia"/>
                <w:lang w:val="en-US" w:eastAsia="zh-CN"/>
              </w:rPr>
            </w:pPr>
            <w:r>
              <w:rPr>
                <w:rFonts w:hint="eastAsia"/>
                <w:lang w:val="en-US" w:eastAsia="zh-CN"/>
              </w:rPr>
              <w:t>国泰海通证券：杨林</w:t>
            </w:r>
          </w:p>
          <w:p w14:paraId="4F785CEA">
            <w:pPr>
              <w:pStyle w:val="3"/>
              <w:numPr>
                <w:ilvl w:val="0"/>
                <w:numId w:val="1"/>
              </w:numPr>
              <w:ind w:left="0" w:leftChars="0" w:firstLine="0" w:firstLineChars="0"/>
              <w:rPr>
                <w:rFonts w:hint="default"/>
                <w:lang w:val="en-US" w:eastAsia="zh-CN"/>
              </w:rPr>
            </w:pPr>
            <w:r>
              <w:rPr>
                <w:rFonts w:hint="eastAsia"/>
                <w:lang w:val="en-US" w:eastAsia="zh-CN"/>
              </w:rPr>
              <w:t>生命资产：黄进</w:t>
            </w:r>
          </w:p>
          <w:p w14:paraId="7BBA4EFA">
            <w:pPr>
              <w:pStyle w:val="3"/>
              <w:numPr>
                <w:ilvl w:val="0"/>
                <w:numId w:val="1"/>
              </w:numPr>
              <w:ind w:left="0" w:leftChars="0" w:firstLine="0" w:firstLineChars="0"/>
              <w:rPr>
                <w:rFonts w:hint="default"/>
                <w:lang w:val="en-US" w:eastAsia="zh-CN"/>
              </w:rPr>
            </w:pPr>
            <w:r>
              <w:rPr>
                <w:rFonts w:hint="eastAsia"/>
                <w:lang w:val="en-US" w:eastAsia="zh-CN"/>
              </w:rPr>
              <w:t>西部证券：刘荣辉</w:t>
            </w:r>
          </w:p>
          <w:p w14:paraId="023682F4">
            <w:pPr>
              <w:pStyle w:val="3"/>
              <w:numPr>
                <w:ilvl w:val="0"/>
                <w:numId w:val="1"/>
              </w:numPr>
              <w:ind w:left="0" w:leftChars="0" w:firstLine="0" w:firstLineChars="0"/>
              <w:rPr>
                <w:rFonts w:hint="default"/>
                <w:lang w:val="en-US" w:eastAsia="zh-CN"/>
              </w:rPr>
            </w:pPr>
            <w:r>
              <w:rPr>
                <w:rFonts w:hint="eastAsia"/>
                <w:lang w:val="en-US" w:eastAsia="zh-CN"/>
              </w:rPr>
              <w:t>重阳投资：卫书根</w:t>
            </w:r>
          </w:p>
          <w:p w14:paraId="3872E7C7">
            <w:pPr>
              <w:pStyle w:val="3"/>
              <w:numPr>
                <w:ilvl w:val="0"/>
                <w:numId w:val="1"/>
              </w:numPr>
              <w:ind w:left="0" w:leftChars="0" w:firstLine="0" w:firstLineChars="0"/>
              <w:rPr>
                <w:rFonts w:hint="default"/>
                <w:lang w:val="en-US" w:eastAsia="zh-CN"/>
              </w:rPr>
            </w:pPr>
            <w:r>
              <w:rPr>
                <w:rFonts w:hint="eastAsia"/>
                <w:lang w:val="en-US" w:eastAsia="zh-CN"/>
              </w:rPr>
              <w:t>平安基金：李辻</w:t>
            </w:r>
          </w:p>
          <w:p w14:paraId="5D5BD06C">
            <w:pPr>
              <w:pStyle w:val="3"/>
              <w:numPr>
                <w:ilvl w:val="0"/>
                <w:numId w:val="1"/>
              </w:numPr>
              <w:ind w:left="0" w:leftChars="0" w:firstLine="0" w:firstLineChars="0"/>
              <w:rPr>
                <w:rFonts w:hint="default"/>
                <w:lang w:val="en-US" w:eastAsia="zh-CN"/>
              </w:rPr>
            </w:pPr>
            <w:r>
              <w:rPr>
                <w:rFonts w:hint="eastAsia"/>
                <w:lang w:val="en-US" w:eastAsia="zh-CN"/>
              </w:rPr>
              <w:t>大成基金：于威业</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2916CF0C">
            <w:pPr>
              <w:pStyle w:val="3"/>
              <w:ind w:firstLine="0" w:firstLineChars="0"/>
              <w:rPr>
                <w:rFonts w:hint="eastAsia"/>
                <w:lang w:val="en-US" w:eastAsia="zh-CN"/>
              </w:rPr>
            </w:pPr>
            <w:r>
              <w:rPr>
                <w:rFonts w:hint="eastAsia"/>
                <w:lang w:val="en-US" w:eastAsia="zh-CN"/>
              </w:rPr>
              <w:t>2025年4月28日9：00</w:t>
            </w:r>
          </w:p>
          <w:p w14:paraId="62742002">
            <w:pPr>
              <w:pStyle w:val="3"/>
              <w:ind w:firstLine="0" w:firstLineChars="0"/>
              <w:rPr>
                <w:rFonts w:hint="eastAsia"/>
                <w:lang w:val="en-US" w:eastAsia="zh-CN"/>
              </w:rPr>
            </w:pPr>
            <w:r>
              <w:rPr>
                <w:rFonts w:hint="eastAsia"/>
                <w:lang w:val="en-US" w:eastAsia="zh-CN"/>
              </w:rPr>
              <w:t>2025年4月28日10：00</w:t>
            </w:r>
          </w:p>
          <w:p w14:paraId="6F349713">
            <w:pPr>
              <w:pStyle w:val="3"/>
              <w:ind w:firstLine="0" w:firstLineChars="0"/>
              <w:rPr>
                <w:rFonts w:hint="eastAsia"/>
                <w:lang w:val="en-US" w:eastAsia="zh-CN"/>
              </w:rPr>
            </w:pPr>
            <w:r>
              <w:rPr>
                <w:rFonts w:hint="eastAsia"/>
                <w:lang w:val="en-US" w:eastAsia="zh-CN"/>
              </w:rPr>
              <w:t>2025年4月28日13：30</w:t>
            </w:r>
          </w:p>
          <w:p w14:paraId="2B919675">
            <w:pPr>
              <w:pStyle w:val="3"/>
              <w:ind w:firstLine="0" w:firstLineChars="0"/>
              <w:rPr>
                <w:rFonts w:hint="eastAsia"/>
                <w:lang w:val="en-US" w:eastAsia="zh-CN"/>
              </w:rPr>
            </w:pPr>
            <w:r>
              <w:rPr>
                <w:rFonts w:hint="eastAsia"/>
                <w:lang w:val="en-US" w:eastAsia="zh-CN"/>
              </w:rPr>
              <w:t>2025年4月28日15：00</w:t>
            </w:r>
          </w:p>
          <w:p w14:paraId="05A529EE">
            <w:pPr>
              <w:pStyle w:val="3"/>
              <w:ind w:firstLine="0" w:firstLineChars="0"/>
              <w:rPr>
                <w:rFonts w:hint="default"/>
                <w:lang w:val="en-US" w:eastAsia="zh-CN"/>
              </w:rPr>
            </w:pPr>
            <w:r>
              <w:rPr>
                <w:rFonts w:hint="eastAsia"/>
                <w:lang w:val="en-US" w:eastAsia="zh-CN"/>
              </w:rPr>
              <w:t>2025年4月28日16：00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7C1F215F">
            <w:pPr>
              <w:widowControl/>
              <w:jc w:val="both"/>
              <w:rPr>
                <w:rFonts w:hint="default" w:ascii="宋体" w:hAnsi="宋体" w:eastAsia="宋体" w:cs="宋体"/>
                <w:kern w:val="0"/>
                <w:sz w:val="22"/>
                <w:lang w:val="en-US" w:eastAsia="zh-CN"/>
              </w:rPr>
            </w:pPr>
            <w:r>
              <w:rPr>
                <w:rFonts w:hint="eastAsia" w:ascii="宋体" w:hAnsi="宋体" w:eastAsia="宋体" w:cs="宋体"/>
                <w:color w:val="000000"/>
                <w:kern w:val="0"/>
                <w:szCs w:val="21"/>
                <w:lang w:val="en-US" w:eastAsia="zh-CN"/>
              </w:rPr>
              <w:t>智洋创新4楼会议室</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6F379D2A">
            <w:pPr>
              <w:widowControl/>
              <w:ind w:firstLineChars="0"/>
              <w:rPr>
                <w:rFonts w:hint="eastAsia"/>
                <w:lang w:val="en-US" w:eastAsia="zh-CN"/>
              </w:rPr>
            </w:pPr>
            <w:r>
              <w:rPr>
                <w:rFonts w:hint="eastAsia"/>
                <w:lang w:val="en-US" w:eastAsia="zh-CN"/>
              </w:rPr>
              <w:t>董事会秘书：刘俊鹏</w:t>
            </w:r>
          </w:p>
          <w:p w14:paraId="50B1CC8E">
            <w:pPr>
              <w:widowControl/>
              <w:ind w:firstLineChars="0"/>
              <w:rPr>
                <w:rFonts w:hint="default"/>
                <w:lang w:val="en-US" w:eastAsia="zh-CN"/>
              </w:rPr>
            </w:pPr>
            <w:r>
              <w:rPr>
                <w:rFonts w:hint="eastAsia"/>
                <w:lang w:val="en-US" w:eastAsia="zh-CN"/>
              </w:rPr>
              <w:t>证券事务代表：韩美月</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3D30BD58">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lang w:val="en-US" w:eastAsia="zh-CN"/>
              </w:rPr>
            </w:pPr>
            <w:r>
              <w:rPr>
                <w:rFonts w:hint="eastAsia"/>
                <w:b/>
                <w:bCs/>
                <w:lang w:val="en-US" w:eastAsia="zh-CN"/>
              </w:rPr>
              <w:t>1、2024年年度主要经营数据？</w:t>
            </w:r>
          </w:p>
          <w:p w14:paraId="3691EADF">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lang w:val="en-US" w:eastAsia="zh-CN"/>
              </w:rPr>
              <w:t>（1）营收及利润：</w:t>
            </w:r>
            <w:r>
              <w:rPr>
                <w:rFonts w:hint="eastAsia"/>
                <w:sz w:val="21"/>
                <w:szCs w:val="21"/>
              </w:rPr>
              <w:t>报告期内，公司经营业绩实现稳健增长，实现营业收入9.71亿元，同比增长21.62%；营业利润5,347.08万元，同比增长19.07%；利润总额5,352.16万元，同比增长20.08%；归属于母公司所有者的净利润5,133.69万元，同比增长23.60%；归属于母公司所有者的扣除非经常性损益的净利润3,855.01万元，同比增长40.37%。</w:t>
            </w:r>
          </w:p>
          <w:p w14:paraId="1215F358">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lang w:val="en-US" w:eastAsia="zh-CN"/>
              </w:rPr>
              <w:t>（2）资产及所有者权益：</w:t>
            </w:r>
            <w:r>
              <w:rPr>
                <w:rFonts w:hint="eastAsia"/>
                <w:sz w:val="21"/>
                <w:szCs w:val="21"/>
              </w:rPr>
              <w:t>报告期末，公司资产规模稳步扩张，总资产15.21亿元，同比增长8.06%；归属于母公司的所有者权益8.87亿元，同比增长2.04%。</w:t>
            </w:r>
          </w:p>
          <w:p w14:paraId="00B30D55">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lang w:val="en-US" w:eastAsia="zh-CN"/>
              </w:rPr>
              <w:t>（3）研发投入：</w:t>
            </w:r>
            <w:r>
              <w:rPr>
                <w:rFonts w:hint="eastAsia"/>
                <w:sz w:val="21"/>
                <w:szCs w:val="21"/>
              </w:rPr>
              <w:t>公司持续加大研发投入</w:t>
            </w:r>
            <w:r>
              <w:rPr>
                <w:rFonts w:hint="eastAsia"/>
                <w:sz w:val="21"/>
                <w:szCs w:val="21"/>
                <w:lang w:eastAsia="zh-CN"/>
              </w:rPr>
              <w:t>。</w:t>
            </w:r>
            <w:r>
              <w:rPr>
                <w:rFonts w:hint="eastAsia"/>
                <w:sz w:val="21"/>
                <w:szCs w:val="21"/>
              </w:rPr>
              <w:t>2024年公司研发费用投入为1.11亿元，占当期营业收入的比例为11.46%。</w:t>
            </w:r>
          </w:p>
          <w:p w14:paraId="64E095B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lang w:val="en-US" w:eastAsia="zh-CN"/>
              </w:rPr>
              <w:t>（4）各领域业务：</w:t>
            </w:r>
            <w:r>
              <w:rPr>
                <w:rFonts w:hint="eastAsia"/>
                <w:sz w:val="21"/>
                <w:szCs w:val="21"/>
              </w:rPr>
              <w:t>公司在电力领域的业务得到持续稳定增长，水利领域、轨道交通领域业绩实现快速增长。其中轨道交通行业主营业务收入9,300.67万元，同比增长484.79%，水利行业主营业务收入7,267.05万元，同比增长47.81%。</w:t>
            </w:r>
          </w:p>
          <w:p w14:paraId="6BC42EA2">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lang w:val="en-US" w:eastAsia="zh-CN"/>
              </w:rPr>
              <w:t>（5）期间费用：</w:t>
            </w:r>
            <w:r>
              <w:rPr>
                <w:rFonts w:hint="eastAsia"/>
                <w:sz w:val="21"/>
                <w:szCs w:val="21"/>
              </w:rPr>
              <w:t>公司持续加强内部运营管理，期间费用收入占比27.73%较去年同期的30.03%下降2.30个百分点。</w:t>
            </w:r>
          </w:p>
          <w:p w14:paraId="5E0642B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lang w:val="en-US" w:eastAsia="zh-CN"/>
              </w:rPr>
              <w:t>（6）现金流：</w:t>
            </w:r>
            <w:r>
              <w:rPr>
                <w:rFonts w:hint="eastAsia"/>
                <w:sz w:val="21"/>
                <w:szCs w:val="21"/>
              </w:rPr>
              <w:t>报告期内，经营活动产生的</w:t>
            </w:r>
            <w:bookmarkStart w:id="0" w:name="_GoBack"/>
            <w:bookmarkEnd w:id="0"/>
            <w:r>
              <w:rPr>
                <w:rFonts w:hint="eastAsia"/>
                <w:sz w:val="21"/>
                <w:szCs w:val="21"/>
              </w:rPr>
              <w:t>现金流量净额</w:t>
            </w:r>
            <w:r>
              <w:rPr>
                <w:rFonts w:hint="eastAsia"/>
                <w:sz w:val="21"/>
                <w:szCs w:val="21"/>
                <w:lang w:val="en-US" w:eastAsia="zh-CN"/>
              </w:rPr>
              <w:t>为</w:t>
            </w:r>
            <w:r>
              <w:rPr>
                <w:rFonts w:hint="eastAsia"/>
                <w:szCs w:val="21"/>
              </w:rPr>
              <w:t>7</w:t>
            </w:r>
            <w:r>
              <w:rPr>
                <w:rFonts w:hint="eastAsia"/>
                <w:szCs w:val="21"/>
                <w:lang w:val="en-US" w:eastAsia="zh-CN"/>
              </w:rPr>
              <w:t>,</w:t>
            </w:r>
            <w:r>
              <w:rPr>
                <w:rFonts w:hint="eastAsia"/>
                <w:szCs w:val="21"/>
              </w:rPr>
              <w:t>315.76</w:t>
            </w:r>
            <w:r>
              <w:rPr>
                <w:rFonts w:hint="eastAsia"/>
                <w:sz w:val="21"/>
                <w:szCs w:val="21"/>
                <w:lang w:val="en-US" w:eastAsia="zh-CN"/>
              </w:rPr>
              <w:t>万元，虽</w:t>
            </w:r>
            <w:r>
              <w:rPr>
                <w:rFonts w:hint="eastAsia"/>
                <w:sz w:val="21"/>
                <w:szCs w:val="21"/>
              </w:rPr>
              <w:t>较上年同期</w:t>
            </w:r>
            <w:r>
              <w:rPr>
                <w:rFonts w:hint="eastAsia"/>
                <w:sz w:val="21"/>
                <w:szCs w:val="21"/>
                <w:lang w:val="en-US" w:eastAsia="zh-CN"/>
              </w:rPr>
              <w:t>有所下降，但净额高于净利润</w:t>
            </w:r>
            <w:r>
              <w:rPr>
                <w:rFonts w:hint="eastAsia"/>
                <w:sz w:val="21"/>
                <w:szCs w:val="21"/>
                <w:lang w:eastAsia="zh-CN"/>
              </w:rPr>
              <w:t>，</w:t>
            </w:r>
            <w:r>
              <w:rPr>
                <w:rFonts w:hint="eastAsia"/>
                <w:sz w:val="21"/>
                <w:szCs w:val="21"/>
                <w:lang w:val="en-US" w:eastAsia="zh-CN"/>
              </w:rPr>
              <w:t>经营活动现金流持续稳健。</w:t>
            </w:r>
          </w:p>
          <w:p w14:paraId="50E5033F">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sz w:val="21"/>
                <w:szCs w:val="22"/>
                <w:lang w:eastAsia="zh-CN"/>
              </w:rPr>
            </w:pPr>
            <w:r>
              <w:rPr>
                <w:rFonts w:hint="eastAsia"/>
                <w:b/>
                <w:bCs/>
                <w:sz w:val="21"/>
                <w:szCs w:val="22"/>
                <w:lang w:val="en-US" w:eastAsia="zh-CN"/>
              </w:rPr>
              <w:t>2</w:t>
            </w:r>
            <w:r>
              <w:rPr>
                <w:rFonts w:hint="eastAsia"/>
                <w:b/>
                <w:bCs/>
                <w:sz w:val="21"/>
                <w:szCs w:val="22"/>
              </w:rPr>
              <w:t>、2025年第一季度主要</w:t>
            </w:r>
            <w:r>
              <w:rPr>
                <w:rFonts w:hint="eastAsia"/>
                <w:b/>
                <w:bCs/>
                <w:sz w:val="21"/>
                <w:szCs w:val="22"/>
                <w:lang w:val="en-US" w:eastAsia="zh-CN"/>
              </w:rPr>
              <w:t>经营</w:t>
            </w:r>
            <w:r>
              <w:rPr>
                <w:rFonts w:hint="eastAsia"/>
                <w:b/>
                <w:bCs/>
                <w:sz w:val="21"/>
                <w:szCs w:val="22"/>
              </w:rPr>
              <w:t>数据</w:t>
            </w:r>
            <w:r>
              <w:rPr>
                <w:rFonts w:hint="eastAsia"/>
                <w:b/>
                <w:bCs/>
                <w:sz w:val="21"/>
                <w:szCs w:val="22"/>
                <w:lang w:eastAsia="zh-CN"/>
              </w:rPr>
              <w:t>？</w:t>
            </w:r>
          </w:p>
          <w:p w14:paraId="53550AD3">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eastAsia"/>
                <w:sz w:val="21"/>
                <w:szCs w:val="21"/>
              </w:rPr>
              <w:t>2025年第一季度，公司实现营业收入1.37亿元，同比增长26.54%；归属于母公司所有者的净利润</w:t>
            </w:r>
            <w:r>
              <w:rPr>
                <w:rFonts w:hint="eastAsia"/>
                <w:sz w:val="21"/>
                <w:szCs w:val="21"/>
                <w:lang w:val="en-US" w:eastAsia="zh-CN"/>
              </w:rPr>
              <w:t>-</w:t>
            </w:r>
            <w:r>
              <w:rPr>
                <w:rFonts w:hint="eastAsia"/>
                <w:sz w:val="21"/>
                <w:szCs w:val="21"/>
              </w:rPr>
              <w:t>1,111.92万元，同比下降343.20%。其主要原因如下：</w:t>
            </w:r>
          </w:p>
          <w:p w14:paraId="3C1B13D6">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default"/>
                <w:sz w:val="21"/>
                <w:szCs w:val="21"/>
                <w:lang w:val="en-US" w:eastAsia="zh-CN"/>
              </w:rPr>
              <w:t>（1）</w:t>
            </w:r>
            <w:r>
              <w:rPr>
                <w:rFonts w:hint="eastAsia"/>
                <w:sz w:val="21"/>
                <w:szCs w:val="21"/>
              </w:rPr>
              <w:t>本报告期内，公司综合毛利率28.94%，较上年同期有所下降，主要系亏损处置长库龄物料导致其他业务毛利率同比下降所致。公司主营业务毛利率30.72%，受业务季节性波动影响，本期收入主要为电力行业收入，虽相较于2024年一季度有所下降，但与</w:t>
            </w:r>
            <w:r>
              <w:rPr>
                <w:rFonts w:hint="eastAsia"/>
                <w:sz w:val="21"/>
                <w:szCs w:val="21"/>
                <w:lang w:val="en-US" w:eastAsia="zh-CN"/>
              </w:rPr>
              <w:t>2024</w:t>
            </w:r>
            <w:r>
              <w:rPr>
                <w:rFonts w:hint="eastAsia"/>
                <w:sz w:val="21"/>
                <w:szCs w:val="21"/>
              </w:rPr>
              <w:t>年全年电力行业主营</w:t>
            </w:r>
            <w:r>
              <w:rPr>
                <w:rFonts w:hint="eastAsia"/>
                <w:sz w:val="21"/>
                <w:szCs w:val="21"/>
                <w:lang w:eastAsia="zh-CN"/>
              </w:rPr>
              <w:t>业务</w:t>
            </w:r>
            <w:r>
              <w:rPr>
                <w:rFonts w:hint="eastAsia"/>
                <w:sz w:val="21"/>
                <w:szCs w:val="21"/>
              </w:rPr>
              <w:t>毛利率29.88%持平；</w:t>
            </w:r>
          </w:p>
          <w:p w14:paraId="6E1965A8">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default"/>
                <w:sz w:val="21"/>
                <w:szCs w:val="21"/>
                <w:lang w:val="en-US" w:eastAsia="zh-CN"/>
              </w:rPr>
              <w:t>（2）</w:t>
            </w:r>
            <w:r>
              <w:rPr>
                <w:rFonts w:hint="eastAsia"/>
                <w:sz w:val="21"/>
                <w:szCs w:val="21"/>
              </w:rPr>
              <w:t>本报告期内，公司</w:t>
            </w:r>
            <w:r>
              <w:rPr>
                <w:rFonts w:hint="eastAsia"/>
                <w:sz w:val="21"/>
                <w:szCs w:val="21"/>
                <w:lang w:eastAsia="zh-CN"/>
              </w:rPr>
              <w:t>持续</w:t>
            </w:r>
            <w:r>
              <w:rPr>
                <w:rFonts w:hint="eastAsia"/>
                <w:sz w:val="21"/>
                <w:szCs w:val="21"/>
              </w:rPr>
              <w:t>加大市场开拓及新技术研发，期间费用有所增加；</w:t>
            </w:r>
          </w:p>
          <w:p w14:paraId="2703F6FE">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 w:val="21"/>
                <w:szCs w:val="21"/>
              </w:rPr>
            </w:pPr>
            <w:r>
              <w:rPr>
                <w:rFonts w:hint="default"/>
                <w:sz w:val="21"/>
                <w:szCs w:val="21"/>
                <w:lang w:val="en-US" w:eastAsia="zh-CN"/>
              </w:rPr>
              <w:t>（3）</w:t>
            </w:r>
            <w:r>
              <w:rPr>
                <w:rFonts w:hint="eastAsia"/>
                <w:sz w:val="21"/>
                <w:szCs w:val="21"/>
              </w:rPr>
              <w:t>本报告期内，受集团内部未实现收益及税会差异等因素影响，所得税费用有所增加。</w:t>
            </w:r>
          </w:p>
          <w:p w14:paraId="040E88C8">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szCs w:val="21"/>
                <w:lang w:eastAsia="zh-CN"/>
              </w:rPr>
            </w:pPr>
            <w:r>
              <w:rPr>
                <w:rFonts w:hint="eastAsia"/>
                <w:b/>
                <w:bCs/>
                <w:szCs w:val="21"/>
                <w:lang w:val="en-US" w:eastAsia="zh-CN"/>
              </w:rPr>
              <w:t>3、</w:t>
            </w:r>
            <w:r>
              <w:rPr>
                <w:rFonts w:hint="eastAsia"/>
                <w:b/>
                <w:bCs/>
                <w:color w:val="auto"/>
                <w:lang w:val="en-US" w:eastAsia="zh-CN"/>
              </w:rPr>
              <w:t>公司目前人员情况及未来人员招聘计划</w:t>
            </w:r>
            <w:r>
              <w:rPr>
                <w:rFonts w:hint="eastAsia"/>
                <w:b/>
                <w:bCs/>
                <w:szCs w:val="21"/>
                <w:lang w:eastAsia="zh-CN"/>
              </w:rPr>
              <w:t>？</w:t>
            </w:r>
          </w:p>
          <w:p w14:paraId="53C40DA3">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eastAsia="zh-CN"/>
              </w:rPr>
            </w:pPr>
            <w:r>
              <w:rPr>
                <w:rFonts w:hint="eastAsia"/>
                <w:szCs w:val="21"/>
              </w:rPr>
              <w:t>截至2024年12月31日，公司总人数889人，其中博士5人、硕士127人，合计占比14.85%，本科人数534人，占比60.07%，专科人数172人，占比19.35%；双一流院校人数77人，占比8.66%。研发人员399人，研发人员占比44.88%。研发人员中硕士及以上学历占比27.07%</w:t>
            </w:r>
            <w:r>
              <w:rPr>
                <w:rFonts w:hint="eastAsia"/>
                <w:szCs w:val="21"/>
                <w:lang w:eastAsia="zh-CN"/>
              </w:rPr>
              <w:t>。</w:t>
            </w:r>
            <w:r>
              <w:rPr>
                <w:rFonts w:hint="eastAsia"/>
                <w:szCs w:val="21"/>
                <w:lang w:val="en-US" w:eastAsia="zh-CN"/>
              </w:rPr>
              <w:t>2025年，</w:t>
            </w:r>
            <w:r>
              <w:rPr>
                <w:rFonts w:hint="eastAsia"/>
                <w:szCs w:val="21"/>
              </w:rPr>
              <w:t>公司将紧紧围绕战略发展目标，持续加大对高、精、尖人才的引进和培养，不断优化人员结构，提高人员效率</w:t>
            </w:r>
            <w:r>
              <w:rPr>
                <w:rFonts w:hint="eastAsia"/>
                <w:szCs w:val="21"/>
                <w:lang w:eastAsia="zh-CN"/>
              </w:rPr>
              <w:t>。</w:t>
            </w:r>
          </w:p>
          <w:p w14:paraId="2FB18880">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rPr>
            </w:pPr>
            <w:r>
              <w:rPr>
                <w:rFonts w:hint="eastAsia"/>
                <w:b/>
                <w:bCs/>
                <w:szCs w:val="21"/>
                <w:lang w:val="en-US" w:eastAsia="zh-CN"/>
              </w:rPr>
              <w:t>4</w:t>
            </w:r>
            <w:r>
              <w:rPr>
                <w:rFonts w:hint="eastAsia"/>
                <w:b/>
                <w:bCs/>
                <w:szCs w:val="21"/>
              </w:rPr>
              <w:t>、股权激励情况？</w:t>
            </w:r>
          </w:p>
          <w:p w14:paraId="51ADDAF1">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szCs w:val="21"/>
                <w:lang w:val="en-US" w:eastAsia="zh-CN"/>
              </w:rPr>
            </w:pPr>
            <w:r>
              <w:rPr>
                <w:rFonts w:hint="eastAsia"/>
                <w:szCs w:val="21"/>
                <w:lang w:eastAsia="zh-CN"/>
              </w:rPr>
              <w:t>截至年报披露日，公司已完成2021年限制性股票激励计划的所有归属事项，2021年股权激励计划已经结束。同时2024年公司完成了2023年限制性股票激励计划的首次及预留授予的第一期归属，2025年4月公司审议了关于2023年限制性股票激励计划的首次及预留授予的第二期归属条件达成的议案，本次可归属的股权激励对象共计44人，涉及股票133.65万股，后续将安排股权激励归属事项。</w:t>
            </w:r>
            <w:r>
              <w:rPr>
                <w:rFonts w:hint="eastAsia"/>
                <w:szCs w:val="21"/>
                <w:lang w:val="en-US" w:eastAsia="zh-CN"/>
              </w:rPr>
              <w:t>未来公司将结合公司战略发展规划进行相关激励事项的规划。</w:t>
            </w:r>
          </w:p>
          <w:p w14:paraId="2261279E">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szCs w:val="21"/>
              </w:rPr>
            </w:pPr>
            <w:r>
              <w:rPr>
                <w:rFonts w:hint="eastAsia"/>
                <w:b/>
                <w:bCs/>
                <w:szCs w:val="21"/>
                <w:lang w:val="en-US" w:eastAsia="zh-CN"/>
              </w:rPr>
              <w:t>5、</w:t>
            </w:r>
            <w:r>
              <w:rPr>
                <w:rFonts w:hint="eastAsia"/>
                <w:b/>
                <w:bCs/>
                <w:color w:val="auto"/>
                <w:lang w:val="en-US" w:eastAsia="zh-CN"/>
              </w:rPr>
              <w:t>公司的主要技术体系</w:t>
            </w:r>
            <w:r>
              <w:rPr>
                <w:rFonts w:hint="eastAsia"/>
                <w:b/>
                <w:bCs/>
                <w:szCs w:val="21"/>
                <w:lang w:val="en-US" w:eastAsia="zh-CN"/>
              </w:rPr>
              <w:t>？</w:t>
            </w:r>
          </w:p>
          <w:p w14:paraId="311C8EE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eastAsiaTheme="minorEastAsia"/>
                <w:szCs w:val="21"/>
                <w:lang w:val="en-US" w:eastAsia="zh-CN"/>
              </w:rPr>
            </w:pPr>
            <w:r>
              <w:rPr>
                <w:rFonts w:hint="default"/>
                <w:b w:val="0"/>
                <w:bCs w:val="0"/>
                <w:color w:val="auto"/>
                <w:lang w:val="en-US" w:eastAsia="zh-CN"/>
              </w:rPr>
              <w:t>经过多年积累，公司已经形成了一站式AI平台、大数据及数字孪生平台、智洋工业大模型技术平台、AI智能体（AI Agent）技术平台、AI终端技术平台、具身智能无人机技术平台六大基础技术平台。公司通过算法、软件及硬件的协同设计模式，实现了物联网连接、多模态数据感知、数字孪生交互、智能分析决策和各行业场景应用。</w:t>
            </w:r>
          </w:p>
          <w:p w14:paraId="741915C0">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lang w:val="en-US" w:eastAsia="zh-CN"/>
              </w:rPr>
            </w:pPr>
            <w:r>
              <w:rPr>
                <w:rFonts w:hint="eastAsia"/>
                <w:b/>
                <w:bCs/>
                <w:szCs w:val="21"/>
                <w:lang w:val="en-US" w:eastAsia="zh-CN"/>
              </w:rPr>
              <w:t>6、公司研发团队及研发布局情况？</w:t>
            </w:r>
          </w:p>
          <w:p w14:paraId="5E11535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default"/>
                <w:b w:val="0"/>
                <w:bCs w:val="0"/>
                <w:color w:val="auto"/>
                <w:lang w:val="en-US" w:eastAsia="zh-CN"/>
              </w:rPr>
              <w:t>公司在济南、淄博、广州、北京设有研发中心，</w:t>
            </w:r>
            <w:r>
              <w:rPr>
                <w:rFonts w:hint="eastAsia"/>
                <w:b w:val="0"/>
                <w:bCs w:val="0"/>
                <w:color w:val="auto"/>
                <w:lang w:val="en-US" w:eastAsia="zh-CN"/>
              </w:rPr>
              <w:t>并</w:t>
            </w:r>
            <w:r>
              <w:rPr>
                <w:rFonts w:hint="default"/>
                <w:color w:val="auto"/>
              </w:rPr>
              <w:t>以前沿技术发展与客户需求为研发导向，构建起“前瞻探索-应用创新”双循环的集成产品研发模式</w:t>
            </w:r>
            <w:r>
              <w:rPr>
                <w:rFonts w:hint="eastAsia"/>
                <w:color w:val="auto"/>
                <w:lang w:eastAsia="zh-CN"/>
              </w:rPr>
              <w:t>。</w:t>
            </w:r>
            <w:r>
              <w:rPr>
                <w:rFonts w:hint="default"/>
                <w:color w:val="auto"/>
              </w:rPr>
              <w:t>截至报告期末，公司研发团队规模已达399人，其中硕士及以上学历占比27.07%，公司构建了覆盖济南、淄博、广州、北京的四地协同研发体系，形成跨区域技术联动机制，济南研发中心作为核心研发基地，主导核心战略技术及算法、智能感知终端产品、无人机产品、主站类软件研发；北京研发中心聚焦人工智能算法研发；淄博和广州研发中心参与智能感知终端产品、无人机产品的研发。</w:t>
            </w:r>
          </w:p>
          <w:p w14:paraId="2A140BB2">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szCs w:val="21"/>
                <w:lang w:val="en-US" w:eastAsia="zh-CN"/>
              </w:rPr>
            </w:pPr>
            <w:r>
              <w:rPr>
                <w:rFonts w:hint="eastAsia"/>
                <w:b/>
                <w:bCs/>
                <w:szCs w:val="21"/>
                <w:lang w:val="en-US" w:eastAsia="zh-CN"/>
              </w:rPr>
              <w:t>7、上海子公司成立的原因</w:t>
            </w:r>
            <w:r>
              <w:rPr>
                <w:rFonts w:hint="eastAsia" w:eastAsiaTheme="minorEastAsia"/>
                <w:b/>
                <w:bCs/>
                <w:szCs w:val="21"/>
                <w:lang w:val="en-US" w:eastAsia="zh-CN"/>
              </w:rPr>
              <w:t>？</w:t>
            </w:r>
          </w:p>
          <w:p w14:paraId="581E4538">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b w:val="0"/>
                <w:bCs w:val="0"/>
                <w:szCs w:val="21"/>
                <w:lang w:val="en-US" w:eastAsia="zh-CN"/>
              </w:rPr>
              <w:t>公司在</w:t>
            </w:r>
            <w:r>
              <w:rPr>
                <w:rFonts w:hint="eastAsia" w:eastAsiaTheme="minorEastAsia"/>
                <w:b w:val="0"/>
                <w:bCs w:val="0"/>
                <w:szCs w:val="21"/>
                <w:lang w:val="en-US" w:eastAsia="zh-CN"/>
              </w:rPr>
              <w:t>上海</w:t>
            </w:r>
            <w:r>
              <w:rPr>
                <w:rFonts w:hint="eastAsia"/>
                <w:b w:val="0"/>
                <w:bCs w:val="0"/>
                <w:szCs w:val="21"/>
                <w:lang w:val="en-US" w:eastAsia="zh-CN"/>
              </w:rPr>
              <w:t>成立</w:t>
            </w:r>
            <w:r>
              <w:rPr>
                <w:rFonts w:hint="eastAsia" w:eastAsiaTheme="minorEastAsia"/>
                <w:b w:val="0"/>
                <w:bCs w:val="0"/>
                <w:szCs w:val="21"/>
                <w:lang w:val="en-US" w:eastAsia="zh-CN"/>
              </w:rPr>
              <w:t>子公司，</w:t>
            </w:r>
            <w:r>
              <w:rPr>
                <w:rFonts w:hint="eastAsia"/>
                <w:b w:val="0"/>
                <w:bCs w:val="0"/>
                <w:szCs w:val="21"/>
                <w:lang w:val="en-US" w:eastAsia="zh-CN"/>
              </w:rPr>
              <w:t>是基于</w:t>
            </w:r>
            <w:r>
              <w:rPr>
                <w:rFonts w:hint="eastAsia" w:eastAsiaTheme="minorEastAsia"/>
                <w:b w:val="0"/>
                <w:bCs w:val="0"/>
                <w:szCs w:val="21"/>
                <w:lang w:val="en-US" w:eastAsia="zh-CN"/>
              </w:rPr>
              <w:t>上海在科技</w:t>
            </w:r>
            <w:r>
              <w:rPr>
                <w:rFonts w:hint="eastAsia"/>
                <w:b w:val="0"/>
                <w:bCs w:val="0"/>
                <w:szCs w:val="21"/>
                <w:lang w:val="en-US" w:eastAsia="zh-CN"/>
              </w:rPr>
              <w:t>创新及人才资源方面的优势</w:t>
            </w:r>
            <w:r>
              <w:rPr>
                <w:rFonts w:hint="eastAsia" w:eastAsiaTheme="minorEastAsia"/>
                <w:b w:val="0"/>
                <w:bCs w:val="0"/>
                <w:szCs w:val="21"/>
                <w:lang w:val="en-US" w:eastAsia="zh-CN"/>
              </w:rPr>
              <w:t>，</w:t>
            </w:r>
            <w:r>
              <w:rPr>
                <w:rFonts w:hint="eastAsia"/>
                <w:b w:val="0"/>
                <w:bCs w:val="0"/>
                <w:szCs w:val="21"/>
                <w:lang w:val="en-US" w:eastAsia="zh-CN"/>
              </w:rPr>
              <w:t>以便公司能够</w:t>
            </w:r>
            <w:r>
              <w:rPr>
                <w:rFonts w:hint="eastAsia" w:eastAsiaTheme="minorEastAsia"/>
                <w:b w:val="0"/>
                <w:bCs w:val="0"/>
                <w:szCs w:val="21"/>
                <w:lang w:val="en-US" w:eastAsia="zh-CN"/>
              </w:rPr>
              <w:t>吸引更多的高端人才，提高公司的研发能力</w:t>
            </w:r>
            <w:r>
              <w:rPr>
                <w:rFonts w:hint="eastAsia"/>
                <w:b w:val="0"/>
                <w:bCs w:val="0"/>
                <w:szCs w:val="21"/>
                <w:lang w:val="en-US" w:eastAsia="zh-CN"/>
              </w:rPr>
              <w:t>和综合竞争力，符合</w:t>
            </w:r>
            <w:r>
              <w:rPr>
                <w:rFonts w:hint="eastAsia" w:eastAsiaTheme="minorEastAsia"/>
                <w:b w:val="0"/>
                <w:bCs w:val="0"/>
                <w:szCs w:val="21"/>
                <w:lang w:val="en-US" w:eastAsia="zh-CN"/>
              </w:rPr>
              <w:t>公司</w:t>
            </w:r>
            <w:r>
              <w:rPr>
                <w:rFonts w:hint="eastAsia"/>
                <w:b w:val="0"/>
                <w:bCs w:val="0"/>
                <w:szCs w:val="21"/>
                <w:lang w:val="en-US" w:eastAsia="zh-CN"/>
              </w:rPr>
              <w:t>整体战略规划和需要。</w:t>
            </w:r>
          </w:p>
          <w:p w14:paraId="2C9C72C6">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szCs w:val="21"/>
                <w:lang w:val="en-US" w:eastAsia="zh-CN"/>
              </w:rPr>
              <w:t>8、未来行业的拓展规划</w:t>
            </w:r>
            <w:r>
              <w:rPr>
                <w:rFonts w:hint="eastAsia" w:eastAsiaTheme="minorEastAsia"/>
                <w:b/>
                <w:bCs/>
                <w:szCs w:val="21"/>
                <w:lang w:val="en-US" w:eastAsia="zh-CN"/>
              </w:rPr>
              <w:t>？</w:t>
            </w:r>
          </w:p>
          <w:p w14:paraId="550F3F6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公司始终以“人工智能+行业”作为公司的发展战略，通过人工智能算法、大数据分析、物联网技术、数字孪生技术及具身智能技术等技术，持续推动人工智能在各个行业的商业化应用，助力行业客户实现数字化、智能化转型升级。</w:t>
            </w:r>
          </w:p>
          <w:p w14:paraId="5AD8C1E5">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产品技术能力，公司将持续加大对于人工智能技术的投入，包括不限于工业大模型算法的应用、具身智能技术的突破、智能硬件水平的提升等多方面，通过高端技术人才的引进、研发资源倾斜及产学研合作研发等多种方式，强化公司六大基础技术平台能力。</w:t>
            </w:r>
          </w:p>
          <w:p w14:paraId="4D9FA44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各个行业场景，公司将持续深化对于行业场景的理解、需求挖掘和商业化落地，实现人工智能在行业场景下的价值创造。公司将在对已有行业场景应用深化的同时，积极拓展新行业，助力更多行业客户实现数字化、智能化转型升级。</w:t>
            </w:r>
          </w:p>
          <w:p w14:paraId="3FDD2ED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外延式发展，公司围绕着人工智能发展的三大引擎“数据、算法和算力”进行开展，积极寻找潜在的并购标的，以实现数据维度的拓宽、专用算力性能的提升和基础算法的延展，进一步深化公司在人工智能行业的产业布局。</w:t>
            </w:r>
          </w:p>
          <w:p w14:paraId="7D30D5A3">
            <w:pPr>
              <w:pStyle w:val="3"/>
              <w:keepNext w:val="0"/>
              <w:keepLines w:val="0"/>
              <w:pageBreakBefore w:val="0"/>
              <w:widowControl w:val="0"/>
              <w:numPr>
                <w:ilvl w:val="0"/>
                <w:numId w:val="2"/>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color w:val="auto"/>
                <w:lang w:val="en-US" w:eastAsia="zh-CN"/>
              </w:rPr>
              <w:t>公司人工智能商业化落地方面的能力？</w:t>
            </w:r>
          </w:p>
          <w:p w14:paraId="1512EB2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b w:val="0"/>
                <w:bCs w:val="0"/>
                <w:color w:val="auto"/>
              </w:rPr>
            </w:pPr>
            <w:r>
              <w:rPr>
                <w:rFonts w:hint="default"/>
                <w:b w:val="0"/>
                <w:bCs w:val="0"/>
                <w:color w:val="auto"/>
              </w:rPr>
              <w:t>基于在不同行业落地应用过程中的技术沉淀和行业知识积累，公司拥有根据业务需求调整技术方案以适应特定场景的能力，从数据采集、模型训练到系统部署，公司提供端到端的AI解决方案，确保技术落地的高效性与可靠性。公司拥有专业的研发团队，专注于AI前沿技术的探索与应用，能够快速吸收最新技术成果并实现商业化落地，并始终以解决客户痛点为出发点，确保技术落地后为客户带来实际的经济效益和效率提升。</w:t>
            </w:r>
          </w:p>
          <w:p w14:paraId="4FEEABF1">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b/>
                <w:bCs/>
                <w:color w:val="auto"/>
                <w:lang w:val="en-US" w:eastAsia="zh-CN"/>
              </w:rPr>
            </w:pPr>
            <w:r>
              <w:rPr>
                <w:rFonts w:hint="default"/>
                <w:b w:val="0"/>
                <w:bCs w:val="0"/>
                <w:color w:val="auto"/>
              </w:rPr>
              <w:t>从通用技术的角度来看，公司在人工智能领域的核心竞争力体现在算法研发、数据处理、工程化能力、技术融合、前沿探索、研发创新以及商业化能力等多个方面。这些能力不仅支撑了公司早期在电力行业的成功，还为公司在进入新行业如水利、轨道交通及新能源等行业实现技术落地和商业化扩展提供了坚实基础，保障了公司通过持续的技术创新与生态合作推动更多其他行业的智能化转型。</w:t>
            </w: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A891E"/>
    <w:multiLevelType w:val="singleLevel"/>
    <w:tmpl w:val="E32A891E"/>
    <w:lvl w:ilvl="0" w:tentative="0">
      <w:start w:val="1"/>
      <w:numFmt w:val="decimal"/>
      <w:suff w:val="nothing"/>
      <w:lvlText w:val="%1、"/>
      <w:lvlJc w:val="left"/>
    </w:lvl>
  </w:abstractNum>
  <w:abstractNum w:abstractNumId="1">
    <w:nsid w:val="5BE33658"/>
    <w:multiLevelType w:val="singleLevel"/>
    <w:tmpl w:val="5BE33658"/>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245D47"/>
    <w:rsid w:val="0B585547"/>
    <w:rsid w:val="0B64383C"/>
    <w:rsid w:val="0BB3573E"/>
    <w:rsid w:val="0BD62C31"/>
    <w:rsid w:val="0C1C5DD6"/>
    <w:rsid w:val="0CDC5604"/>
    <w:rsid w:val="0D016360"/>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1A369D"/>
    <w:rsid w:val="136705BC"/>
    <w:rsid w:val="141166AC"/>
    <w:rsid w:val="14211F49"/>
    <w:rsid w:val="15160683"/>
    <w:rsid w:val="15417794"/>
    <w:rsid w:val="156144BC"/>
    <w:rsid w:val="16137463"/>
    <w:rsid w:val="1642631D"/>
    <w:rsid w:val="16612B9C"/>
    <w:rsid w:val="169F72CB"/>
    <w:rsid w:val="16A971B0"/>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D010737"/>
    <w:rsid w:val="1D032DBE"/>
    <w:rsid w:val="1D336832"/>
    <w:rsid w:val="1D342C3A"/>
    <w:rsid w:val="1DF97785"/>
    <w:rsid w:val="1E2612FC"/>
    <w:rsid w:val="1E276378"/>
    <w:rsid w:val="1EA570B7"/>
    <w:rsid w:val="1EF315BA"/>
    <w:rsid w:val="1F54082A"/>
    <w:rsid w:val="1F69641E"/>
    <w:rsid w:val="1F713148"/>
    <w:rsid w:val="1FB57B5F"/>
    <w:rsid w:val="1FBF5D12"/>
    <w:rsid w:val="2020430B"/>
    <w:rsid w:val="209452FD"/>
    <w:rsid w:val="21260517"/>
    <w:rsid w:val="2165773C"/>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7A5499"/>
    <w:rsid w:val="25BA1229"/>
    <w:rsid w:val="27215DF4"/>
    <w:rsid w:val="27397488"/>
    <w:rsid w:val="27760BB9"/>
    <w:rsid w:val="27855555"/>
    <w:rsid w:val="27A2751F"/>
    <w:rsid w:val="27EB31D8"/>
    <w:rsid w:val="28154152"/>
    <w:rsid w:val="281976B6"/>
    <w:rsid w:val="282473C7"/>
    <w:rsid w:val="28C01545"/>
    <w:rsid w:val="28CE09B0"/>
    <w:rsid w:val="293A22CE"/>
    <w:rsid w:val="29477D41"/>
    <w:rsid w:val="297B7E8B"/>
    <w:rsid w:val="299020A1"/>
    <w:rsid w:val="2A032341"/>
    <w:rsid w:val="2A0E5B0E"/>
    <w:rsid w:val="2A4B1DB7"/>
    <w:rsid w:val="2ABD7C20"/>
    <w:rsid w:val="2AC5217D"/>
    <w:rsid w:val="2ADA3454"/>
    <w:rsid w:val="2B6A4497"/>
    <w:rsid w:val="2BC55B39"/>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D005E4"/>
    <w:rsid w:val="35D1418C"/>
    <w:rsid w:val="35F37400"/>
    <w:rsid w:val="363D3C0F"/>
    <w:rsid w:val="363E1541"/>
    <w:rsid w:val="36573053"/>
    <w:rsid w:val="36A67FA0"/>
    <w:rsid w:val="36BB34B9"/>
    <w:rsid w:val="37464610"/>
    <w:rsid w:val="3798061D"/>
    <w:rsid w:val="37C27B03"/>
    <w:rsid w:val="387A6C7E"/>
    <w:rsid w:val="38984EB0"/>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3D0207E"/>
    <w:rsid w:val="44331706"/>
    <w:rsid w:val="444B19CF"/>
    <w:rsid w:val="445642ED"/>
    <w:rsid w:val="446F7A2D"/>
    <w:rsid w:val="447A7409"/>
    <w:rsid w:val="447D0FBB"/>
    <w:rsid w:val="44E15CD4"/>
    <w:rsid w:val="45222596"/>
    <w:rsid w:val="452914D7"/>
    <w:rsid w:val="453136A9"/>
    <w:rsid w:val="45827D99"/>
    <w:rsid w:val="463466FB"/>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6B0BF4"/>
    <w:rsid w:val="4E714C6A"/>
    <w:rsid w:val="4E796E1E"/>
    <w:rsid w:val="4F13449C"/>
    <w:rsid w:val="4F297D4A"/>
    <w:rsid w:val="4F881896"/>
    <w:rsid w:val="4F8E345D"/>
    <w:rsid w:val="503E4904"/>
    <w:rsid w:val="50692847"/>
    <w:rsid w:val="508F5DD3"/>
    <w:rsid w:val="509C43C4"/>
    <w:rsid w:val="50D7421A"/>
    <w:rsid w:val="50D744E9"/>
    <w:rsid w:val="50E161BC"/>
    <w:rsid w:val="512111FB"/>
    <w:rsid w:val="5138209E"/>
    <w:rsid w:val="516F18AB"/>
    <w:rsid w:val="523A1E14"/>
    <w:rsid w:val="529E4657"/>
    <w:rsid w:val="52B753C1"/>
    <w:rsid w:val="52DD2E1E"/>
    <w:rsid w:val="530C7536"/>
    <w:rsid w:val="534E704F"/>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867B1D"/>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382D66"/>
    <w:rsid w:val="684F1CF5"/>
    <w:rsid w:val="68B34299"/>
    <w:rsid w:val="68DA5601"/>
    <w:rsid w:val="68F83862"/>
    <w:rsid w:val="692823E0"/>
    <w:rsid w:val="69370C94"/>
    <w:rsid w:val="69376D7B"/>
    <w:rsid w:val="698353CB"/>
    <w:rsid w:val="69E11460"/>
    <w:rsid w:val="6B131620"/>
    <w:rsid w:val="6B520BFD"/>
    <w:rsid w:val="6BF41431"/>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922E29"/>
    <w:rsid w:val="71AC2D14"/>
    <w:rsid w:val="71EE215A"/>
    <w:rsid w:val="720D65E0"/>
    <w:rsid w:val="72360EE8"/>
    <w:rsid w:val="72646CEB"/>
    <w:rsid w:val="72B90FC4"/>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38369E"/>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2650</Words>
  <Characters>2955</Characters>
  <Lines>1</Lines>
  <Paragraphs>1</Paragraphs>
  <TotalTime>56</TotalTime>
  <ScaleCrop>false</ScaleCrop>
  <LinksUpToDate>false</LinksUpToDate>
  <CharactersWithSpaces>3012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Ivin</cp:lastModifiedBy>
  <cp:lastPrinted>2022-09-30T10:29:00Z</cp:lastPrinted>
  <dcterms:modified xsi:type="dcterms:W3CDTF">2025-04-30T09:22:16Z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F68E36CE0517490DBEA1DFBD5CD69417_13</vt:lpwstr>
  </property>
  <property fmtid="{D5CDD505-2E9C-101B-9397-08002B2CF9AE}" pid="4" name="KSOTemplateDocerSaveRecord">
    <vt:lpwstr>eyJoZGlkIjoiYTVkN2FiZTA1NjZlMGUxMjcxN2IwMWFhYzQ4NGIxN2YiLCJ1c2VySWQiOiIyNjA2MTQ0NzgifQ==</vt:lpwstr>
  </property>
</Properties>
</file>