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E91" w:rsidRDefault="00D73E91" w:rsidP="00D73E91">
      <w:pPr>
        <w:spacing w:beforeLines="50" w:before="156" w:afterLines="50" w:after="156" w:line="400" w:lineRule="exact"/>
        <w:rPr>
          <w:rFonts w:ascii="宋体" w:eastAsia="宋体" w:hAnsi="宋体" w:cs="Times New Roman"/>
          <w:bCs/>
          <w:iCs/>
          <w:color w:val="000000"/>
          <w:sz w:val="28"/>
        </w:rPr>
      </w:pPr>
      <w:r>
        <w:rPr>
          <w:rFonts w:ascii="宋体" w:eastAsia="宋体" w:hAnsi="宋体" w:cs="Times New Roman" w:hint="eastAsia"/>
          <w:bCs/>
          <w:iCs/>
          <w:color w:val="000000"/>
          <w:sz w:val="28"/>
        </w:rPr>
        <w:t>证券代码：</w:t>
      </w:r>
      <w:r>
        <w:rPr>
          <w:rFonts w:ascii="宋体" w:eastAsia="宋体" w:hAnsi="宋体" w:cs="Times New Roman"/>
          <w:bCs/>
          <w:iCs/>
          <w:color w:val="000000"/>
          <w:sz w:val="28"/>
        </w:rPr>
        <w:t>688</w:t>
      </w:r>
      <w:r>
        <w:rPr>
          <w:rFonts w:ascii="宋体" w:eastAsia="宋体" w:hAnsi="宋体" w:cs="Times New Roman" w:hint="eastAsia"/>
          <w:bCs/>
          <w:iCs/>
          <w:color w:val="000000"/>
          <w:sz w:val="28"/>
        </w:rPr>
        <w:t>032                        证券简称：</w:t>
      </w:r>
      <w:proofErr w:type="gramStart"/>
      <w:r>
        <w:rPr>
          <w:rFonts w:ascii="宋体" w:eastAsia="宋体" w:hAnsi="宋体" w:cs="Times New Roman" w:hint="eastAsia"/>
          <w:bCs/>
          <w:iCs/>
          <w:color w:val="000000"/>
          <w:sz w:val="28"/>
        </w:rPr>
        <w:t>禾迈股份</w:t>
      </w:r>
      <w:proofErr w:type="gramEnd"/>
    </w:p>
    <w:p w:rsidR="00D73E91" w:rsidRDefault="00D73E91" w:rsidP="00D73E91">
      <w:pPr>
        <w:spacing w:beforeLines="50" w:before="156" w:afterLines="50" w:after="156" w:line="400" w:lineRule="exact"/>
        <w:jc w:val="center"/>
        <w:rPr>
          <w:rFonts w:ascii="宋体" w:eastAsia="宋体" w:hAnsi="宋体" w:cs="Times New Roman"/>
          <w:b/>
          <w:bCs/>
          <w:iCs/>
          <w:color w:val="000000"/>
          <w:sz w:val="32"/>
          <w:szCs w:val="32"/>
        </w:rPr>
      </w:pPr>
    </w:p>
    <w:p w:rsidR="00D73E91" w:rsidRDefault="00D73E91" w:rsidP="00D73E91">
      <w:pPr>
        <w:spacing w:beforeLines="50" w:before="156" w:afterLines="50" w:after="156" w:line="400" w:lineRule="exact"/>
        <w:jc w:val="center"/>
        <w:rPr>
          <w:rFonts w:ascii="宋体" w:eastAsia="宋体" w:hAnsi="宋体" w:cs="Times New Roman"/>
          <w:bCs/>
          <w:iCs/>
          <w:color w:val="000000"/>
          <w:sz w:val="24"/>
        </w:rPr>
      </w:pPr>
      <w:proofErr w:type="gramStart"/>
      <w:r>
        <w:rPr>
          <w:rFonts w:ascii="宋体" w:eastAsia="宋体" w:hAnsi="宋体" w:cs="Times New Roman" w:hint="eastAsia"/>
          <w:b/>
          <w:bCs/>
          <w:iCs/>
          <w:color w:val="000000"/>
          <w:sz w:val="32"/>
          <w:szCs w:val="32"/>
        </w:rPr>
        <w:t>杭州禾迈电力</w:t>
      </w:r>
      <w:proofErr w:type="gramEnd"/>
      <w:r>
        <w:rPr>
          <w:rFonts w:ascii="宋体" w:eastAsia="宋体" w:hAnsi="宋体" w:cs="Times New Roman" w:hint="eastAsia"/>
          <w:b/>
          <w:bCs/>
          <w:iCs/>
          <w:color w:val="000000"/>
          <w:sz w:val="32"/>
          <w:szCs w:val="32"/>
        </w:rPr>
        <w:t>电子股份有限公司投资者关系活动记录表</w:t>
      </w:r>
      <w:r>
        <w:rPr>
          <w:rFonts w:ascii="宋体" w:eastAsia="宋体" w:hAnsi="宋体" w:cs="Times New Roman" w:hint="eastAsia"/>
          <w:bCs/>
          <w:iCs/>
          <w:color w:val="000000"/>
          <w:sz w:val="24"/>
        </w:rPr>
        <w:t xml:space="preserve">  </w:t>
      </w:r>
    </w:p>
    <w:p w:rsidR="00D73E91" w:rsidRDefault="00D73E91" w:rsidP="00D73E91">
      <w:pPr>
        <w:spacing w:beforeLines="50" w:before="156" w:afterLines="50" w:after="156" w:line="400" w:lineRule="exact"/>
        <w:jc w:val="right"/>
        <w:rPr>
          <w:rFonts w:ascii="宋体" w:eastAsia="宋体" w:hAnsi="宋体" w:cs="Times New Roman"/>
          <w:bCs/>
          <w:iCs/>
          <w:color w:val="000000"/>
          <w:sz w:val="24"/>
        </w:rPr>
      </w:pPr>
      <w:r>
        <w:rPr>
          <w:rFonts w:ascii="宋体" w:eastAsia="宋体" w:hAnsi="宋体" w:cs="Times New Roman" w:hint="eastAsia"/>
          <w:bCs/>
          <w:iCs/>
          <w:color w:val="000000"/>
          <w:sz w:val="24"/>
        </w:rPr>
        <w:t xml:space="preserve"> </w:t>
      </w:r>
      <w:r>
        <w:rPr>
          <w:rFonts w:ascii="宋体" w:eastAsia="宋体" w:hAnsi="宋体" w:cs="Times New Roman"/>
          <w:bCs/>
          <w:iCs/>
          <w:color w:val="000000"/>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6443"/>
      </w:tblGrid>
      <w:tr w:rsidR="00D73E91" w:rsidTr="00166961">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D73E91" w:rsidRDefault="00D73E91" w:rsidP="00166961">
            <w:pPr>
              <w:jc w:val="lef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投资者关系活动类别</w:t>
            </w:r>
          </w:p>
        </w:tc>
        <w:tc>
          <w:tcPr>
            <w:tcW w:w="6614" w:type="dxa"/>
            <w:tcBorders>
              <w:top w:val="single" w:sz="4" w:space="0" w:color="auto"/>
              <w:left w:val="single" w:sz="4" w:space="0" w:color="auto"/>
              <w:bottom w:val="single" w:sz="4" w:space="0" w:color="auto"/>
              <w:right w:val="single" w:sz="4" w:space="0" w:color="auto"/>
            </w:tcBorders>
            <w:shd w:val="clear" w:color="auto" w:fill="auto"/>
          </w:tcPr>
          <w:p w:rsidR="00D73E91" w:rsidRDefault="00D73E91" w:rsidP="00166961">
            <w:pPr>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sym w:font="Wingdings 2" w:char="0052"/>
            </w:r>
            <w:r>
              <w:rPr>
                <w:rFonts w:ascii="宋体" w:eastAsia="宋体" w:hAnsi="宋体" w:cs="Times New Roman" w:hint="eastAsia"/>
                <w:sz w:val="24"/>
                <w:szCs w:val="24"/>
              </w:rPr>
              <w:t xml:space="preserve">特定对象调研      </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分析师会议</w:t>
            </w:r>
          </w:p>
          <w:p w:rsidR="00D73E91" w:rsidRDefault="00D73E91" w:rsidP="00166961">
            <w:pPr>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 xml:space="preserve">媒体采访            </w:t>
            </w: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业绩说明会</w:t>
            </w:r>
          </w:p>
          <w:p w:rsidR="00D73E91" w:rsidRDefault="00D73E91" w:rsidP="00166961">
            <w:pPr>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color w:val="000000"/>
                <w:sz w:val="24"/>
                <w:szCs w:val="24"/>
              </w:rPr>
              <w:sym w:font="Wingdings 2" w:char="00A3"/>
            </w:r>
            <w:r>
              <w:rPr>
                <w:rFonts w:ascii="宋体" w:eastAsia="宋体" w:hAnsi="宋体" w:cs="Times New Roman" w:hint="eastAsia"/>
                <w:sz w:val="24"/>
                <w:szCs w:val="24"/>
              </w:rPr>
              <w:t>路演活动</w:t>
            </w:r>
          </w:p>
          <w:p w:rsidR="00D73E91" w:rsidRDefault="00D73E91" w:rsidP="00166961">
            <w:pPr>
              <w:tabs>
                <w:tab w:val="left" w:pos="3045"/>
                <w:tab w:val="center" w:pos="3199"/>
              </w:tabs>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现场参观</w:t>
            </w:r>
            <w:r>
              <w:rPr>
                <w:rFonts w:ascii="宋体" w:eastAsia="宋体" w:hAnsi="宋体" w:cs="Times New Roman" w:hint="eastAsia"/>
                <w:bCs/>
                <w:iCs/>
                <w:color w:val="000000"/>
                <w:sz w:val="24"/>
                <w:szCs w:val="24"/>
              </w:rPr>
              <w:tab/>
            </w:r>
          </w:p>
          <w:p w:rsidR="00D73E91" w:rsidRDefault="00D73E91" w:rsidP="00166961">
            <w:pPr>
              <w:tabs>
                <w:tab w:val="center" w:pos="3199"/>
              </w:tabs>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其他（</w:t>
            </w:r>
            <w:r>
              <w:rPr>
                <w:rFonts w:ascii="宋体" w:eastAsia="宋体" w:hAnsi="宋体" w:cs="Times New Roman" w:hint="eastAsia"/>
                <w:sz w:val="24"/>
                <w:szCs w:val="24"/>
                <w:u w:val="single"/>
              </w:rPr>
              <w:t>电话会议）</w:t>
            </w:r>
          </w:p>
        </w:tc>
      </w:tr>
      <w:tr w:rsidR="00D73E91" w:rsidTr="00166961">
        <w:trPr>
          <w:trHeight w:val="772"/>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D73E91" w:rsidRDefault="00D73E91" w:rsidP="00166961">
            <w:pPr>
              <w:jc w:val="lef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参与单位名称及人员姓名</w:t>
            </w:r>
          </w:p>
        </w:tc>
        <w:tc>
          <w:tcPr>
            <w:tcW w:w="6614" w:type="dxa"/>
            <w:tcBorders>
              <w:top w:val="single" w:sz="4" w:space="0" w:color="auto"/>
              <w:left w:val="single" w:sz="4" w:space="0" w:color="auto"/>
              <w:bottom w:val="single" w:sz="4" w:space="0" w:color="auto"/>
              <w:right w:val="single" w:sz="4" w:space="0" w:color="auto"/>
            </w:tcBorders>
            <w:shd w:val="clear" w:color="auto" w:fill="auto"/>
          </w:tcPr>
          <w:p w:rsidR="00D73E91" w:rsidRDefault="00D73E91" w:rsidP="00166961">
            <w:pPr>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东吴证券、长江证券、财通证券等</w:t>
            </w:r>
            <w:r w:rsidRPr="00884699">
              <w:rPr>
                <w:rFonts w:ascii="宋体" w:eastAsia="宋体" w:hAnsi="宋体" w:cs="Times New Roman"/>
                <w:bCs/>
                <w:iCs/>
                <w:color w:val="000000"/>
                <w:sz w:val="24"/>
                <w:szCs w:val="24"/>
              </w:rPr>
              <w:t>200</w:t>
            </w:r>
            <w:r>
              <w:rPr>
                <w:rFonts w:ascii="宋体" w:eastAsia="宋体" w:hAnsi="宋体" w:cs="Times New Roman" w:hint="eastAsia"/>
                <w:bCs/>
                <w:iCs/>
                <w:color w:val="000000"/>
                <w:sz w:val="24"/>
                <w:szCs w:val="24"/>
              </w:rPr>
              <w:t>余人。</w:t>
            </w:r>
          </w:p>
        </w:tc>
      </w:tr>
      <w:tr w:rsidR="00D73E91" w:rsidTr="00166961">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D73E91" w:rsidRDefault="00D73E91" w:rsidP="00166961">
            <w:pP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时间</w:t>
            </w:r>
          </w:p>
        </w:tc>
        <w:tc>
          <w:tcPr>
            <w:tcW w:w="6614" w:type="dxa"/>
            <w:tcBorders>
              <w:top w:val="single" w:sz="4" w:space="0" w:color="auto"/>
              <w:left w:val="single" w:sz="4" w:space="0" w:color="auto"/>
              <w:bottom w:val="single" w:sz="4" w:space="0" w:color="auto"/>
              <w:right w:val="single" w:sz="4" w:space="0" w:color="auto"/>
            </w:tcBorders>
            <w:shd w:val="clear" w:color="auto" w:fill="auto"/>
          </w:tcPr>
          <w:p w:rsidR="00D73E91" w:rsidRDefault="00D73E91" w:rsidP="00166961">
            <w:pPr>
              <w:spacing w:line="480" w:lineRule="atLeas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202</w:t>
            </w:r>
            <w:r>
              <w:rPr>
                <w:rFonts w:ascii="宋体" w:eastAsia="宋体" w:hAnsi="宋体" w:cs="Times New Roman"/>
                <w:bCs/>
                <w:iCs/>
                <w:color w:val="000000"/>
                <w:sz w:val="24"/>
                <w:szCs w:val="24"/>
              </w:rPr>
              <w:t>5</w:t>
            </w:r>
            <w:r>
              <w:rPr>
                <w:rFonts w:ascii="宋体" w:eastAsia="宋体" w:hAnsi="宋体" w:cs="Times New Roman" w:hint="eastAsia"/>
                <w:bCs/>
                <w:iCs/>
                <w:color w:val="000000"/>
                <w:sz w:val="24"/>
                <w:szCs w:val="24"/>
              </w:rPr>
              <w:t>年</w:t>
            </w:r>
            <w:r>
              <w:rPr>
                <w:rFonts w:ascii="宋体" w:eastAsia="宋体" w:hAnsi="宋体" w:cs="Times New Roman"/>
                <w:bCs/>
                <w:iCs/>
                <w:color w:val="000000"/>
                <w:sz w:val="24"/>
                <w:szCs w:val="24"/>
              </w:rPr>
              <w:t>4</w:t>
            </w:r>
            <w:r>
              <w:rPr>
                <w:rFonts w:ascii="宋体" w:eastAsia="宋体" w:hAnsi="宋体" w:cs="Times New Roman" w:hint="eastAsia"/>
                <w:bCs/>
                <w:iCs/>
                <w:color w:val="000000"/>
                <w:sz w:val="24"/>
                <w:szCs w:val="24"/>
              </w:rPr>
              <w:t>月</w:t>
            </w:r>
            <w:r>
              <w:rPr>
                <w:rFonts w:ascii="宋体" w:eastAsia="宋体" w:hAnsi="宋体" w:cs="Times New Roman"/>
                <w:bCs/>
                <w:iCs/>
                <w:color w:val="000000"/>
                <w:sz w:val="24"/>
                <w:szCs w:val="24"/>
              </w:rPr>
              <w:t>30</w:t>
            </w:r>
            <w:r>
              <w:rPr>
                <w:rFonts w:ascii="宋体" w:eastAsia="宋体" w:hAnsi="宋体" w:cs="Times New Roman" w:hint="eastAsia"/>
                <w:bCs/>
                <w:iCs/>
                <w:color w:val="000000"/>
                <w:sz w:val="24"/>
                <w:szCs w:val="24"/>
              </w:rPr>
              <w:t>日</w:t>
            </w:r>
          </w:p>
        </w:tc>
      </w:tr>
      <w:tr w:rsidR="00D73E91" w:rsidTr="00166961">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D73E91" w:rsidRDefault="00D73E91" w:rsidP="00166961">
            <w:pP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地点</w:t>
            </w:r>
          </w:p>
        </w:tc>
        <w:tc>
          <w:tcPr>
            <w:tcW w:w="6614" w:type="dxa"/>
            <w:tcBorders>
              <w:top w:val="single" w:sz="4" w:space="0" w:color="auto"/>
              <w:left w:val="single" w:sz="4" w:space="0" w:color="auto"/>
              <w:bottom w:val="single" w:sz="4" w:space="0" w:color="auto"/>
              <w:right w:val="single" w:sz="4" w:space="0" w:color="auto"/>
            </w:tcBorders>
            <w:shd w:val="clear" w:color="auto" w:fill="auto"/>
          </w:tcPr>
          <w:p w:rsidR="00D73E91" w:rsidRDefault="00D73E91" w:rsidP="00166961">
            <w:pPr>
              <w:spacing w:line="480" w:lineRule="atLeas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现场会议、电话会议</w:t>
            </w:r>
          </w:p>
        </w:tc>
      </w:tr>
      <w:tr w:rsidR="00D73E91" w:rsidTr="00166961">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D73E91" w:rsidRDefault="00D73E91" w:rsidP="00166961">
            <w:pP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上市公司接待人员姓名</w:t>
            </w:r>
          </w:p>
        </w:tc>
        <w:tc>
          <w:tcPr>
            <w:tcW w:w="6614" w:type="dxa"/>
            <w:tcBorders>
              <w:top w:val="single" w:sz="4" w:space="0" w:color="auto"/>
              <w:left w:val="single" w:sz="4" w:space="0" w:color="auto"/>
              <w:bottom w:val="single" w:sz="4" w:space="0" w:color="auto"/>
              <w:right w:val="single" w:sz="4" w:space="0" w:color="auto"/>
            </w:tcBorders>
            <w:shd w:val="clear" w:color="auto" w:fill="auto"/>
          </w:tcPr>
          <w:p w:rsidR="00D73E91" w:rsidRDefault="00D73E91" w:rsidP="00166961">
            <w:pPr>
              <w:spacing w:line="480" w:lineRule="atLeas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总经理、董事：杨波</w:t>
            </w:r>
          </w:p>
          <w:p w:rsidR="00D73E91" w:rsidRDefault="00D73E91" w:rsidP="00166961">
            <w:pPr>
              <w:spacing w:line="480" w:lineRule="atLeast"/>
              <w:rPr>
                <w:rFonts w:ascii="宋体" w:eastAsia="宋体" w:hAnsi="宋体" w:cs="Times New Roman"/>
                <w:bCs/>
                <w:iCs/>
                <w:color w:val="000000"/>
                <w:sz w:val="24"/>
                <w:szCs w:val="24"/>
              </w:rPr>
            </w:pPr>
            <w:r w:rsidRPr="00442B89">
              <w:rPr>
                <w:rFonts w:ascii="宋体" w:eastAsia="宋体" w:hAnsi="宋体" w:cs="Times New Roman" w:hint="eastAsia"/>
                <w:bCs/>
                <w:iCs/>
                <w:color w:val="000000"/>
                <w:sz w:val="24"/>
                <w:szCs w:val="24"/>
              </w:rPr>
              <w:t>财务总监：李鑫媛</w:t>
            </w:r>
            <w:r>
              <w:rPr>
                <w:rFonts w:ascii="宋体" w:eastAsia="宋体" w:hAnsi="宋体" w:cs="Times New Roman"/>
                <w:bCs/>
                <w:iCs/>
                <w:color w:val="000000"/>
                <w:sz w:val="24"/>
                <w:szCs w:val="24"/>
              </w:rPr>
              <w:t xml:space="preserve"> </w:t>
            </w:r>
          </w:p>
          <w:p w:rsidR="00D73E91" w:rsidRDefault="00D73E91" w:rsidP="00166961">
            <w:pPr>
              <w:spacing w:line="480" w:lineRule="atLeas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董事会秘书：梁君临</w:t>
            </w:r>
          </w:p>
        </w:tc>
      </w:tr>
      <w:tr w:rsidR="00D73E91" w:rsidTr="00166961">
        <w:trPr>
          <w:trHeight w:val="132"/>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D73E91" w:rsidRDefault="00D73E91" w:rsidP="00166961">
            <w:pPr>
              <w:spacing w:line="360" w:lineRule="auto"/>
              <w:jc w:val="lef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投资者关系活动主要内容介绍</w:t>
            </w:r>
          </w:p>
        </w:tc>
        <w:tc>
          <w:tcPr>
            <w:tcW w:w="6614" w:type="dxa"/>
            <w:tcBorders>
              <w:top w:val="single" w:sz="4" w:space="0" w:color="auto"/>
              <w:left w:val="single" w:sz="4" w:space="0" w:color="auto"/>
              <w:bottom w:val="single" w:sz="4" w:space="0" w:color="auto"/>
              <w:right w:val="single" w:sz="4" w:space="0" w:color="auto"/>
            </w:tcBorders>
            <w:shd w:val="clear" w:color="auto" w:fill="auto"/>
          </w:tcPr>
          <w:p w:rsidR="00D73E91" w:rsidRDefault="00D73E91" w:rsidP="00166961">
            <w:pPr>
              <w:numPr>
                <w:ilvl w:val="0"/>
                <w:numId w:val="1"/>
              </w:numPr>
              <w:spacing w:line="480" w:lineRule="atLeast"/>
              <w:rPr>
                <w:rFonts w:ascii="宋体" w:eastAsia="宋体" w:hAnsi="宋体" w:cs="Times New Roman"/>
                <w:b/>
                <w:iCs/>
                <w:color w:val="000000"/>
                <w:sz w:val="24"/>
                <w:szCs w:val="24"/>
              </w:rPr>
            </w:pPr>
            <w:bookmarkStart w:id="0" w:name="_Hlk149580010"/>
            <w:r>
              <w:rPr>
                <w:rFonts w:ascii="宋体" w:eastAsia="宋体" w:hAnsi="宋体" w:cs="Times New Roman" w:hint="eastAsia"/>
                <w:b/>
                <w:iCs/>
                <w:color w:val="000000"/>
                <w:sz w:val="24"/>
                <w:szCs w:val="24"/>
              </w:rPr>
              <w:t>介绍环节</w:t>
            </w:r>
          </w:p>
          <w:p w:rsidR="00D73E91" w:rsidRDefault="00D73E91" w:rsidP="00166961">
            <w:pPr>
              <w:spacing w:line="480" w:lineRule="atLeast"/>
              <w:ind w:firstLineChars="200" w:firstLine="480"/>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公司董事会秘书梁君临女士对公司2</w:t>
            </w:r>
            <w:r>
              <w:rPr>
                <w:rFonts w:ascii="宋体" w:eastAsia="宋体" w:hAnsi="宋体" w:cs="Times New Roman"/>
                <w:bCs/>
                <w:iCs/>
                <w:color w:val="000000"/>
                <w:sz w:val="24"/>
                <w:szCs w:val="24"/>
              </w:rPr>
              <w:t>024</w:t>
            </w:r>
            <w:r>
              <w:rPr>
                <w:rFonts w:ascii="宋体" w:eastAsia="宋体" w:hAnsi="宋体" w:cs="Times New Roman" w:hint="eastAsia"/>
                <w:bCs/>
                <w:iCs/>
                <w:color w:val="000000"/>
                <w:sz w:val="24"/>
                <w:szCs w:val="24"/>
              </w:rPr>
              <w:t>年年度经营情况</w:t>
            </w:r>
            <w:r w:rsidR="00FC7F16">
              <w:rPr>
                <w:rFonts w:ascii="宋体" w:eastAsia="宋体" w:hAnsi="宋体" w:cs="Times New Roman" w:hint="eastAsia"/>
                <w:bCs/>
                <w:iCs/>
                <w:color w:val="000000"/>
                <w:sz w:val="24"/>
                <w:szCs w:val="24"/>
              </w:rPr>
              <w:t>及2</w:t>
            </w:r>
            <w:r w:rsidR="00FC7F16">
              <w:rPr>
                <w:rFonts w:ascii="宋体" w:eastAsia="宋体" w:hAnsi="宋体" w:cs="Times New Roman"/>
                <w:bCs/>
                <w:iCs/>
                <w:color w:val="000000"/>
                <w:sz w:val="24"/>
                <w:szCs w:val="24"/>
              </w:rPr>
              <w:t>025</w:t>
            </w:r>
            <w:r w:rsidR="00FC7F16">
              <w:rPr>
                <w:rFonts w:ascii="宋体" w:eastAsia="宋体" w:hAnsi="宋体" w:cs="Times New Roman" w:hint="eastAsia"/>
                <w:bCs/>
                <w:iCs/>
                <w:color w:val="000000"/>
                <w:sz w:val="24"/>
                <w:szCs w:val="24"/>
              </w:rPr>
              <w:t>年第一季度经营情况</w:t>
            </w:r>
            <w:r>
              <w:rPr>
                <w:rFonts w:ascii="宋体" w:eastAsia="宋体" w:hAnsi="宋体" w:cs="Times New Roman" w:hint="eastAsia"/>
                <w:bCs/>
                <w:iCs/>
                <w:color w:val="000000"/>
                <w:sz w:val="24"/>
                <w:szCs w:val="24"/>
              </w:rPr>
              <w:t>做简单介绍：公司2</w:t>
            </w:r>
            <w:r>
              <w:rPr>
                <w:rFonts w:ascii="宋体" w:eastAsia="宋体" w:hAnsi="宋体" w:cs="Times New Roman"/>
                <w:bCs/>
                <w:iCs/>
                <w:color w:val="000000"/>
                <w:sz w:val="24"/>
                <w:szCs w:val="24"/>
              </w:rPr>
              <w:t>024</w:t>
            </w:r>
            <w:r>
              <w:rPr>
                <w:rFonts w:ascii="宋体" w:eastAsia="宋体" w:hAnsi="宋体" w:cs="Times New Roman" w:hint="eastAsia"/>
                <w:bCs/>
                <w:iCs/>
                <w:color w:val="000000"/>
                <w:sz w:val="24"/>
                <w:szCs w:val="24"/>
              </w:rPr>
              <w:t>年实现营业收入</w:t>
            </w:r>
            <w:r w:rsidRPr="00D73E91">
              <w:rPr>
                <w:rFonts w:ascii="宋体" w:eastAsia="宋体" w:hAnsi="宋体" w:cs="Times New Roman"/>
                <w:bCs/>
                <w:iCs/>
                <w:color w:val="000000"/>
                <w:sz w:val="24"/>
                <w:szCs w:val="24"/>
              </w:rPr>
              <w:t>1,992,953,271.84</w:t>
            </w:r>
            <w:r>
              <w:rPr>
                <w:rFonts w:ascii="宋体" w:eastAsia="宋体" w:hAnsi="宋体" w:cs="Times New Roman" w:hint="eastAsia"/>
                <w:bCs/>
                <w:iCs/>
                <w:color w:val="000000"/>
                <w:sz w:val="24"/>
                <w:szCs w:val="24"/>
              </w:rPr>
              <w:t>元，</w:t>
            </w:r>
            <w:r w:rsidRPr="00884699">
              <w:rPr>
                <w:rFonts w:ascii="宋体" w:eastAsia="宋体" w:hAnsi="宋体" w:cs="Times New Roman" w:hint="eastAsia"/>
                <w:bCs/>
                <w:iCs/>
                <w:color w:val="000000"/>
                <w:sz w:val="24"/>
                <w:szCs w:val="24"/>
              </w:rPr>
              <w:t>归</w:t>
            </w:r>
            <w:r w:rsidRPr="00884699">
              <w:rPr>
                <w:rFonts w:ascii="宋体" w:eastAsia="宋体" w:hAnsi="宋体" w:cs="Times New Roman"/>
                <w:bCs/>
                <w:iCs/>
                <w:color w:val="000000"/>
                <w:sz w:val="24"/>
                <w:szCs w:val="24"/>
              </w:rPr>
              <w:t>属于上市公司股</w:t>
            </w:r>
            <w:r w:rsidRPr="00884699">
              <w:rPr>
                <w:rFonts w:ascii="宋体" w:eastAsia="宋体" w:hAnsi="宋体" w:cs="Times New Roman" w:hint="eastAsia"/>
                <w:bCs/>
                <w:iCs/>
                <w:color w:val="000000"/>
                <w:sz w:val="24"/>
                <w:szCs w:val="24"/>
              </w:rPr>
              <w:t>东</w:t>
            </w:r>
            <w:r w:rsidRPr="00884699">
              <w:rPr>
                <w:rFonts w:ascii="宋体" w:eastAsia="宋体" w:hAnsi="宋体" w:cs="Times New Roman"/>
                <w:bCs/>
                <w:iCs/>
                <w:color w:val="000000"/>
                <w:sz w:val="24"/>
                <w:szCs w:val="24"/>
              </w:rPr>
              <w:t>的</w:t>
            </w:r>
            <w:r>
              <w:rPr>
                <w:rFonts w:ascii="宋体" w:eastAsia="宋体" w:hAnsi="宋体" w:cs="Times New Roman" w:hint="eastAsia"/>
                <w:bCs/>
                <w:iCs/>
                <w:color w:val="000000"/>
                <w:sz w:val="24"/>
                <w:szCs w:val="24"/>
              </w:rPr>
              <w:t>净利润</w:t>
            </w:r>
            <w:r w:rsidRPr="00D73E91">
              <w:rPr>
                <w:rFonts w:ascii="宋体" w:eastAsia="宋体" w:hAnsi="宋体" w:cs="Times New Roman"/>
                <w:bCs/>
                <w:iCs/>
                <w:color w:val="000000"/>
                <w:sz w:val="24"/>
                <w:szCs w:val="24"/>
              </w:rPr>
              <w:t>344,217,452.08</w:t>
            </w:r>
            <w:r>
              <w:rPr>
                <w:rFonts w:ascii="宋体" w:eastAsia="宋体" w:hAnsi="宋体" w:cs="Times New Roman" w:hint="eastAsia"/>
                <w:bCs/>
                <w:iCs/>
                <w:color w:val="000000"/>
                <w:sz w:val="24"/>
                <w:szCs w:val="24"/>
              </w:rPr>
              <w:t>元，</w:t>
            </w:r>
            <w:r w:rsidRPr="00884699">
              <w:rPr>
                <w:rFonts w:ascii="宋体" w:eastAsia="宋体" w:hAnsi="宋体" w:cs="Times New Roman" w:hint="eastAsia"/>
                <w:bCs/>
                <w:iCs/>
                <w:color w:val="000000"/>
                <w:sz w:val="24"/>
                <w:szCs w:val="24"/>
              </w:rPr>
              <w:t>归</w:t>
            </w:r>
            <w:r w:rsidRPr="00884699">
              <w:rPr>
                <w:rFonts w:ascii="宋体" w:eastAsia="宋体" w:hAnsi="宋体" w:cs="Times New Roman"/>
                <w:bCs/>
                <w:iCs/>
                <w:color w:val="000000"/>
                <w:sz w:val="24"/>
                <w:szCs w:val="24"/>
              </w:rPr>
              <w:t>属于上市公司股</w:t>
            </w:r>
            <w:r w:rsidRPr="00884699">
              <w:rPr>
                <w:rFonts w:ascii="宋体" w:eastAsia="宋体" w:hAnsi="宋体" w:cs="Times New Roman" w:hint="eastAsia"/>
                <w:bCs/>
                <w:iCs/>
                <w:color w:val="000000"/>
                <w:sz w:val="24"/>
                <w:szCs w:val="24"/>
              </w:rPr>
              <w:t>东</w:t>
            </w:r>
            <w:r w:rsidRPr="00884699">
              <w:rPr>
                <w:rFonts w:ascii="宋体" w:eastAsia="宋体" w:hAnsi="宋体" w:cs="Times New Roman"/>
                <w:bCs/>
                <w:iCs/>
                <w:color w:val="000000"/>
                <w:sz w:val="24"/>
                <w:szCs w:val="24"/>
              </w:rPr>
              <w:t>的扣除非经常性</w:t>
            </w:r>
            <w:r w:rsidRPr="00884699">
              <w:rPr>
                <w:rFonts w:ascii="宋体" w:eastAsia="宋体" w:hAnsi="宋体" w:cs="Times New Roman" w:hint="eastAsia"/>
                <w:bCs/>
                <w:iCs/>
                <w:color w:val="000000"/>
                <w:sz w:val="24"/>
                <w:szCs w:val="24"/>
              </w:rPr>
              <w:t>损益的净利润</w:t>
            </w:r>
            <w:r w:rsidRPr="00D73E91">
              <w:rPr>
                <w:rFonts w:ascii="宋体" w:eastAsia="宋体" w:hAnsi="宋体" w:cs="Times New Roman"/>
                <w:bCs/>
                <w:iCs/>
                <w:color w:val="000000"/>
                <w:sz w:val="24"/>
                <w:szCs w:val="24"/>
              </w:rPr>
              <w:t>294,410,060.45</w:t>
            </w:r>
            <w:r>
              <w:rPr>
                <w:rFonts w:ascii="宋体" w:eastAsia="宋体" w:hAnsi="宋体" w:cs="Times New Roman" w:hint="eastAsia"/>
                <w:bCs/>
                <w:iCs/>
                <w:color w:val="000000"/>
                <w:sz w:val="24"/>
                <w:szCs w:val="24"/>
              </w:rPr>
              <w:t>元，</w:t>
            </w:r>
            <w:r w:rsidRPr="00884699">
              <w:rPr>
                <w:rFonts w:ascii="宋体" w:eastAsia="宋体" w:hAnsi="宋体" w:cs="Times New Roman" w:hint="eastAsia"/>
                <w:bCs/>
                <w:iCs/>
                <w:color w:val="000000"/>
                <w:sz w:val="24"/>
                <w:szCs w:val="24"/>
              </w:rPr>
              <w:t>基本每股收益</w:t>
            </w:r>
            <w:r w:rsidRPr="00D73E91">
              <w:rPr>
                <w:rFonts w:ascii="宋体" w:eastAsia="宋体" w:hAnsi="宋体" w:cs="Times New Roman"/>
                <w:bCs/>
                <w:iCs/>
                <w:color w:val="000000"/>
                <w:sz w:val="24"/>
                <w:szCs w:val="24"/>
              </w:rPr>
              <w:t>2.79</w:t>
            </w:r>
            <w:r>
              <w:rPr>
                <w:rFonts w:ascii="宋体" w:eastAsia="宋体" w:hAnsi="宋体" w:cs="Times New Roman" w:hint="eastAsia"/>
                <w:bCs/>
                <w:iCs/>
                <w:color w:val="000000"/>
                <w:sz w:val="24"/>
                <w:szCs w:val="24"/>
              </w:rPr>
              <w:t>元/股。</w:t>
            </w:r>
            <w:r w:rsidR="00FC7F16">
              <w:rPr>
                <w:rFonts w:ascii="宋体" w:eastAsia="宋体" w:hAnsi="宋体" w:cs="Times New Roman" w:hint="eastAsia"/>
                <w:bCs/>
                <w:iCs/>
                <w:color w:val="000000"/>
                <w:sz w:val="24"/>
                <w:szCs w:val="24"/>
              </w:rPr>
              <w:t>2</w:t>
            </w:r>
            <w:r w:rsidR="00FC7F16">
              <w:rPr>
                <w:rFonts w:ascii="宋体" w:eastAsia="宋体" w:hAnsi="宋体" w:cs="Times New Roman"/>
                <w:bCs/>
                <w:iCs/>
                <w:color w:val="000000"/>
                <w:sz w:val="24"/>
                <w:szCs w:val="24"/>
              </w:rPr>
              <w:t>025</w:t>
            </w:r>
            <w:r w:rsidR="00FC7F16">
              <w:rPr>
                <w:rFonts w:ascii="宋体" w:eastAsia="宋体" w:hAnsi="宋体" w:cs="Times New Roman" w:hint="eastAsia"/>
                <w:bCs/>
                <w:iCs/>
                <w:color w:val="000000"/>
                <w:sz w:val="24"/>
                <w:szCs w:val="24"/>
              </w:rPr>
              <w:t>第一季度实现营业收入</w:t>
            </w:r>
            <w:r w:rsidR="00FC7F16" w:rsidRPr="00FC7F16">
              <w:rPr>
                <w:rFonts w:ascii="宋体" w:eastAsia="宋体" w:hAnsi="宋体" w:cs="Times New Roman"/>
                <w:bCs/>
                <w:iCs/>
                <w:color w:val="000000"/>
                <w:sz w:val="24"/>
                <w:szCs w:val="24"/>
              </w:rPr>
              <w:t>336,141,815.09</w:t>
            </w:r>
            <w:r w:rsidR="00FC7F16">
              <w:rPr>
                <w:rFonts w:ascii="宋体" w:eastAsia="宋体" w:hAnsi="宋体" w:cs="Times New Roman" w:hint="eastAsia"/>
                <w:bCs/>
                <w:iCs/>
                <w:color w:val="000000"/>
                <w:sz w:val="24"/>
                <w:szCs w:val="24"/>
              </w:rPr>
              <w:t>元，</w:t>
            </w:r>
            <w:r w:rsidR="00FC7F16" w:rsidRPr="00884699">
              <w:rPr>
                <w:rFonts w:ascii="宋体" w:eastAsia="宋体" w:hAnsi="宋体" w:cs="Times New Roman" w:hint="eastAsia"/>
                <w:bCs/>
                <w:iCs/>
                <w:color w:val="000000"/>
                <w:sz w:val="24"/>
                <w:szCs w:val="24"/>
              </w:rPr>
              <w:t>归</w:t>
            </w:r>
            <w:r w:rsidR="00FC7F16" w:rsidRPr="00884699">
              <w:rPr>
                <w:rFonts w:ascii="宋体" w:eastAsia="宋体" w:hAnsi="宋体" w:cs="Times New Roman"/>
                <w:bCs/>
                <w:iCs/>
                <w:color w:val="000000"/>
                <w:sz w:val="24"/>
                <w:szCs w:val="24"/>
              </w:rPr>
              <w:t>属于上市公司股</w:t>
            </w:r>
            <w:r w:rsidR="00FC7F16" w:rsidRPr="00884699">
              <w:rPr>
                <w:rFonts w:ascii="宋体" w:eastAsia="宋体" w:hAnsi="宋体" w:cs="Times New Roman" w:hint="eastAsia"/>
                <w:bCs/>
                <w:iCs/>
                <w:color w:val="000000"/>
                <w:sz w:val="24"/>
                <w:szCs w:val="24"/>
              </w:rPr>
              <w:t>东</w:t>
            </w:r>
            <w:r w:rsidR="00FC7F16" w:rsidRPr="00884699">
              <w:rPr>
                <w:rFonts w:ascii="宋体" w:eastAsia="宋体" w:hAnsi="宋体" w:cs="Times New Roman"/>
                <w:bCs/>
                <w:iCs/>
                <w:color w:val="000000"/>
                <w:sz w:val="24"/>
                <w:szCs w:val="24"/>
              </w:rPr>
              <w:t>的</w:t>
            </w:r>
            <w:r w:rsidR="00FC7F16">
              <w:rPr>
                <w:rFonts w:ascii="宋体" w:eastAsia="宋体" w:hAnsi="宋体" w:cs="Times New Roman" w:hint="eastAsia"/>
                <w:bCs/>
                <w:iCs/>
                <w:color w:val="000000"/>
                <w:sz w:val="24"/>
                <w:szCs w:val="24"/>
              </w:rPr>
              <w:t>净利润</w:t>
            </w:r>
            <w:r w:rsidR="00FC7F16" w:rsidRPr="00FC7F16">
              <w:rPr>
                <w:rFonts w:ascii="宋体" w:eastAsia="宋体" w:hAnsi="宋体" w:cs="Times New Roman"/>
                <w:bCs/>
                <w:iCs/>
                <w:color w:val="000000"/>
                <w:sz w:val="24"/>
                <w:szCs w:val="24"/>
              </w:rPr>
              <w:t>-10,357,558.11</w:t>
            </w:r>
            <w:r w:rsidR="00FC7F16">
              <w:rPr>
                <w:rFonts w:ascii="宋体" w:eastAsia="宋体" w:hAnsi="宋体" w:cs="Times New Roman" w:hint="eastAsia"/>
                <w:bCs/>
                <w:iCs/>
                <w:color w:val="000000"/>
                <w:sz w:val="24"/>
                <w:szCs w:val="24"/>
              </w:rPr>
              <w:t>元，</w:t>
            </w:r>
            <w:r w:rsidR="00FC7F16" w:rsidRPr="00884699">
              <w:rPr>
                <w:rFonts w:ascii="宋体" w:eastAsia="宋体" w:hAnsi="宋体" w:cs="Times New Roman" w:hint="eastAsia"/>
                <w:bCs/>
                <w:iCs/>
                <w:color w:val="000000"/>
                <w:sz w:val="24"/>
                <w:szCs w:val="24"/>
              </w:rPr>
              <w:t>归</w:t>
            </w:r>
            <w:r w:rsidR="00FC7F16" w:rsidRPr="00884699">
              <w:rPr>
                <w:rFonts w:ascii="宋体" w:eastAsia="宋体" w:hAnsi="宋体" w:cs="Times New Roman"/>
                <w:bCs/>
                <w:iCs/>
                <w:color w:val="000000"/>
                <w:sz w:val="24"/>
                <w:szCs w:val="24"/>
              </w:rPr>
              <w:t>属于上市公司股</w:t>
            </w:r>
            <w:r w:rsidR="00FC7F16" w:rsidRPr="00884699">
              <w:rPr>
                <w:rFonts w:ascii="宋体" w:eastAsia="宋体" w:hAnsi="宋体" w:cs="Times New Roman" w:hint="eastAsia"/>
                <w:bCs/>
                <w:iCs/>
                <w:color w:val="000000"/>
                <w:sz w:val="24"/>
                <w:szCs w:val="24"/>
              </w:rPr>
              <w:t>东</w:t>
            </w:r>
            <w:r w:rsidR="00FC7F16" w:rsidRPr="00884699">
              <w:rPr>
                <w:rFonts w:ascii="宋体" w:eastAsia="宋体" w:hAnsi="宋体" w:cs="Times New Roman"/>
                <w:bCs/>
                <w:iCs/>
                <w:color w:val="000000"/>
                <w:sz w:val="24"/>
                <w:szCs w:val="24"/>
              </w:rPr>
              <w:t>的扣除非经常性</w:t>
            </w:r>
            <w:r w:rsidR="00FC7F16" w:rsidRPr="00884699">
              <w:rPr>
                <w:rFonts w:ascii="宋体" w:eastAsia="宋体" w:hAnsi="宋体" w:cs="Times New Roman" w:hint="eastAsia"/>
                <w:bCs/>
                <w:iCs/>
                <w:color w:val="000000"/>
                <w:sz w:val="24"/>
                <w:szCs w:val="24"/>
              </w:rPr>
              <w:t>损益的净利润</w:t>
            </w:r>
            <w:r w:rsidR="00FC7F16" w:rsidRPr="00FC7F16">
              <w:rPr>
                <w:rFonts w:ascii="宋体" w:eastAsia="宋体" w:hAnsi="宋体" w:cs="Times New Roman"/>
                <w:bCs/>
                <w:iCs/>
                <w:color w:val="000000"/>
                <w:sz w:val="24"/>
                <w:szCs w:val="24"/>
              </w:rPr>
              <w:t>-9,689,531.94</w:t>
            </w:r>
            <w:r w:rsidR="00FC7F16">
              <w:rPr>
                <w:rFonts w:ascii="宋体" w:eastAsia="宋体" w:hAnsi="宋体" w:cs="Times New Roman" w:hint="eastAsia"/>
                <w:bCs/>
                <w:iCs/>
                <w:color w:val="000000"/>
                <w:sz w:val="24"/>
                <w:szCs w:val="24"/>
              </w:rPr>
              <w:t>元，</w:t>
            </w:r>
            <w:r w:rsidR="00FC7F16" w:rsidRPr="00884699">
              <w:rPr>
                <w:rFonts w:ascii="宋体" w:eastAsia="宋体" w:hAnsi="宋体" w:cs="Times New Roman" w:hint="eastAsia"/>
                <w:bCs/>
                <w:iCs/>
                <w:color w:val="000000"/>
                <w:sz w:val="24"/>
                <w:szCs w:val="24"/>
              </w:rPr>
              <w:t>基本每股收益</w:t>
            </w:r>
            <w:r w:rsidR="00FC7F16" w:rsidRPr="00FC7F16">
              <w:rPr>
                <w:rFonts w:ascii="宋体" w:eastAsia="宋体" w:hAnsi="宋体" w:cs="Times New Roman"/>
                <w:bCs/>
                <w:iCs/>
                <w:color w:val="000000"/>
                <w:sz w:val="24"/>
                <w:szCs w:val="24"/>
              </w:rPr>
              <w:t>-0.08</w:t>
            </w:r>
            <w:r w:rsidR="00FC7F16">
              <w:rPr>
                <w:rFonts w:ascii="宋体" w:eastAsia="宋体" w:hAnsi="宋体" w:cs="Times New Roman" w:hint="eastAsia"/>
                <w:bCs/>
                <w:iCs/>
                <w:color w:val="000000"/>
                <w:sz w:val="24"/>
                <w:szCs w:val="24"/>
              </w:rPr>
              <w:t>元/股。</w:t>
            </w:r>
          </w:p>
          <w:p w:rsidR="00D73E91" w:rsidRDefault="00D73E91" w:rsidP="00166961">
            <w:pPr>
              <w:numPr>
                <w:ilvl w:val="255"/>
                <w:numId w:val="0"/>
              </w:numPr>
              <w:spacing w:line="480" w:lineRule="atLeast"/>
              <w:rPr>
                <w:rFonts w:ascii="宋体" w:eastAsia="宋体" w:hAnsi="宋体" w:cs="Times New Roman"/>
                <w:b/>
                <w:iCs/>
                <w:color w:val="000000"/>
                <w:sz w:val="24"/>
                <w:szCs w:val="24"/>
              </w:rPr>
            </w:pPr>
            <w:r>
              <w:rPr>
                <w:rFonts w:ascii="宋体" w:eastAsia="宋体" w:hAnsi="宋体" w:cs="Times New Roman" w:hint="eastAsia"/>
                <w:b/>
                <w:iCs/>
                <w:color w:val="000000"/>
                <w:sz w:val="24"/>
                <w:szCs w:val="24"/>
              </w:rPr>
              <w:t>二、问答环节</w:t>
            </w:r>
          </w:p>
          <w:bookmarkEnd w:id="0"/>
          <w:p w:rsidR="00D73E91" w:rsidRPr="00257B2E" w:rsidRDefault="00D73E91" w:rsidP="00166961">
            <w:pPr>
              <w:spacing w:line="480" w:lineRule="atLeast"/>
              <w:rPr>
                <w:rFonts w:ascii="宋体" w:eastAsia="宋体" w:hAnsi="宋体" w:cs="Times New Roman"/>
                <w:b/>
                <w:bCs/>
                <w:iCs/>
                <w:color w:val="000000"/>
                <w:sz w:val="24"/>
                <w:szCs w:val="24"/>
              </w:rPr>
            </w:pPr>
            <w:r w:rsidRPr="00257B2E">
              <w:rPr>
                <w:rFonts w:ascii="宋体" w:eastAsia="宋体" w:hAnsi="宋体" w:cs="Times New Roman" w:hint="eastAsia"/>
                <w:b/>
                <w:bCs/>
                <w:iCs/>
                <w:color w:val="000000"/>
                <w:sz w:val="24"/>
                <w:szCs w:val="24"/>
              </w:rPr>
              <w:t>Q</w:t>
            </w:r>
            <w:r w:rsidRPr="00257B2E">
              <w:rPr>
                <w:rFonts w:ascii="宋体" w:eastAsia="宋体" w:hAnsi="宋体" w:cs="Times New Roman"/>
                <w:b/>
                <w:bCs/>
                <w:iCs/>
                <w:color w:val="000000"/>
                <w:sz w:val="24"/>
                <w:szCs w:val="24"/>
              </w:rPr>
              <w:t>1</w:t>
            </w:r>
            <w:r w:rsidR="0060321C" w:rsidRPr="00257B2E">
              <w:rPr>
                <w:rFonts w:ascii="宋体" w:eastAsia="宋体" w:hAnsi="宋体" w:cs="Times New Roman" w:hint="eastAsia"/>
                <w:b/>
                <w:bCs/>
                <w:iCs/>
                <w:color w:val="000000"/>
                <w:sz w:val="24"/>
                <w:szCs w:val="24"/>
              </w:rPr>
              <w:t>：2</w:t>
            </w:r>
            <w:r w:rsidR="0060321C" w:rsidRPr="00257B2E">
              <w:rPr>
                <w:rFonts w:ascii="宋体" w:eastAsia="宋体" w:hAnsi="宋体" w:cs="Times New Roman"/>
                <w:b/>
                <w:bCs/>
                <w:iCs/>
                <w:color w:val="000000"/>
                <w:sz w:val="24"/>
                <w:szCs w:val="24"/>
              </w:rPr>
              <w:t>025</w:t>
            </w:r>
            <w:r w:rsidR="0060321C" w:rsidRPr="00257B2E">
              <w:rPr>
                <w:rFonts w:ascii="宋体" w:eastAsia="宋体" w:hAnsi="宋体" w:cs="Times New Roman" w:hint="eastAsia"/>
                <w:b/>
                <w:bCs/>
                <w:iCs/>
                <w:color w:val="000000"/>
                <w:sz w:val="24"/>
                <w:szCs w:val="24"/>
              </w:rPr>
              <w:t>年第一季度亏损的原因是什么？</w:t>
            </w:r>
            <w:r w:rsidR="00D44BBB" w:rsidRPr="00257B2E">
              <w:rPr>
                <w:rFonts w:ascii="宋体" w:eastAsia="宋体" w:hAnsi="宋体" w:cs="Times New Roman"/>
                <w:b/>
                <w:bCs/>
                <w:iCs/>
                <w:color w:val="000000"/>
                <w:sz w:val="24"/>
                <w:szCs w:val="24"/>
              </w:rPr>
              <w:t xml:space="preserve"> </w:t>
            </w:r>
          </w:p>
          <w:p w:rsidR="0060321C" w:rsidRDefault="00D73E91" w:rsidP="00166961">
            <w:pPr>
              <w:spacing w:line="480" w:lineRule="atLeas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lastRenderedPageBreak/>
              <w:t>A：</w:t>
            </w:r>
            <w:r w:rsidR="0060321C">
              <w:rPr>
                <w:rFonts w:ascii="宋体" w:eastAsia="宋体" w:hAnsi="宋体" w:cs="Times New Roman" w:hint="eastAsia"/>
                <w:bCs/>
                <w:iCs/>
                <w:color w:val="000000"/>
                <w:sz w:val="24"/>
                <w:szCs w:val="24"/>
              </w:rPr>
              <w:t>由于</w:t>
            </w:r>
            <w:r>
              <w:rPr>
                <w:rFonts w:ascii="宋体" w:eastAsia="宋体" w:hAnsi="宋体" w:cs="Times New Roman" w:hint="eastAsia"/>
                <w:bCs/>
                <w:iCs/>
                <w:color w:val="000000"/>
                <w:sz w:val="24"/>
                <w:szCs w:val="24"/>
              </w:rPr>
              <w:t>公司规划</w:t>
            </w:r>
            <w:r w:rsidR="0060321C">
              <w:rPr>
                <w:rFonts w:ascii="宋体" w:eastAsia="宋体" w:hAnsi="宋体" w:cs="Times New Roman" w:hint="eastAsia"/>
                <w:bCs/>
                <w:iCs/>
                <w:color w:val="000000"/>
                <w:sz w:val="24"/>
                <w:szCs w:val="24"/>
              </w:rPr>
              <w:t>开发</w:t>
            </w:r>
            <w:r>
              <w:rPr>
                <w:rFonts w:ascii="宋体" w:eastAsia="宋体" w:hAnsi="宋体" w:cs="Times New Roman" w:hint="eastAsia"/>
                <w:bCs/>
                <w:iCs/>
                <w:color w:val="000000"/>
                <w:sz w:val="24"/>
                <w:szCs w:val="24"/>
              </w:rPr>
              <w:t>多</w:t>
            </w:r>
            <w:r w:rsidR="0060321C">
              <w:rPr>
                <w:rFonts w:ascii="宋体" w:eastAsia="宋体" w:hAnsi="宋体" w:cs="Times New Roman" w:hint="eastAsia"/>
                <w:bCs/>
                <w:iCs/>
                <w:color w:val="000000"/>
                <w:sz w:val="24"/>
                <w:szCs w:val="24"/>
              </w:rPr>
              <w:t>条</w:t>
            </w:r>
            <w:r>
              <w:rPr>
                <w:rFonts w:ascii="宋体" w:eastAsia="宋体" w:hAnsi="宋体" w:cs="Times New Roman" w:hint="eastAsia"/>
                <w:bCs/>
                <w:iCs/>
                <w:color w:val="000000"/>
                <w:sz w:val="24"/>
                <w:szCs w:val="24"/>
              </w:rPr>
              <w:t>产品线</w:t>
            </w:r>
            <w:r w:rsidR="0060321C">
              <w:rPr>
                <w:rFonts w:ascii="宋体" w:eastAsia="宋体" w:hAnsi="宋体" w:cs="Times New Roman" w:hint="eastAsia"/>
                <w:bCs/>
                <w:iCs/>
                <w:color w:val="000000"/>
                <w:sz w:val="24"/>
                <w:szCs w:val="24"/>
              </w:rPr>
              <w:t>，向全面光</w:t>
            </w:r>
            <w:proofErr w:type="gramStart"/>
            <w:r w:rsidR="0060321C">
              <w:rPr>
                <w:rFonts w:ascii="宋体" w:eastAsia="宋体" w:hAnsi="宋体" w:cs="Times New Roman" w:hint="eastAsia"/>
                <w:bCs/>
                <w:iCs/>
                <w:color w:val="000000"/>
                <w:sz w:val="24"/>
                <w:szCs w:val="24"/>
              </w:rPr>
              <w:t>储解决</w:t>
            </w:r>
            <w:proofErr w:type="gramEnd"/>
            <w:r w:rsidR="0060321C">
              <w:rPr>
                <w:rFonts w:ascii="宋体" w:eastAsia="宋体" w:hAnsi="宋体" w:cs="Times New Roman" w:hint="eastAsia"/>
                <w:bCs/>
                <w:iCs/>
                <w:color w:val="000000"/>
                <w:sz w:val="24"/>
                <w:szCs w:val="24"/>
              </w:rPr>
              <w:t>方案供应商</w:t>
            </w:r>
            <w:r>
              <w:rPr>
                <w:rFonts w:ascii="宋体" w:eastAsia="宋体" w:hAnsi="宋体" w:cs="Times New Roman" w:hint="eastAsia"/>
                <w:bCs/>
                <w:iCs/>
                <w:color w:val="000000"/>
                <w:sz w:val="24"/>
                <w:szCs w:val="24"/>
              </w:rPr>
              <w:t>转型</w:t>
            </w:r>
            <w:r w:rsidR="0060321C">
              <w:rPr>
                <w:rFonts w:ascii="宋体" w:eastAsia="宋体" w:hAnsi="宋体" w:cs="Times New Roman" w:hint="eastAsia"/>
                <w:bCs/>
                <w:iCs/>
                <w:color w:val="000000"/>
                <w:sz w:val="24"/>
                <w:szCs w:val="24"/>
              </w:rPr>
              <w:t>，</w:t>
            </w:r>
            <w:r>
              <w:rPr>
                <w:rFonts w:ascii="宋体" w:eastAsia="宋体" w:hAnsi="宋体" w:cs="Times New Roman" w:hint="eastAsia"/>
                <w:bCs/>
                <w:iCs/>
                <w:color w:val="000000"/>
                <w:sz w:val="24"/>
                <w:szCs w:val="24"/>
              </w:rPr>
              <w:t>增加了</w:t>
            </w:r>
            <w:r w:rsidR="00D44BBB">
              <w:rPr>
                <w:rFonts w:ascii="宋体" w:eastAsia="宋体" w:hAnsi="宋体" w:cs="Times New Roman" w:hint="eastAsia"/>
                <w:bCs/>
                <w:iCs/>
                <w:color w:val="000000"/>
                <w:sz w:val="24"/>
                <w:szCs w:val="24"/>
              </w:rPr>
              <w:t>较大的</w:t>
            </w:r>
            <w:r>
              <w:rPr>
                <w:rFonts w:ascii="宋体" w:eastAsia="宋体" w:hAnsi="宋体" w:cs="Times New Roman" w:hint="eastAsia"/>
                <w:bCs/>
                <w:iCs/>
                <w:color w:val="000000"/>
                <w:sz w:val="24"/>
                <w:szCs w:val="24"/>
              </w:rPr>
              <w:t>研发、营销投入。</w:t>
            </w:r>
            <w:r w:rsidR="00D44BBB">
              <w:rPr>
                <w:rFonts w:ascii="宋体" w:eastAsia="宋体" w:hAnsi="宋体" w:cs="Times New Roman" w:hint="eastAsia"/>
                <w:bCs/>
                <w:iCs/>
                <w:color w:val="000000"/>
                <w:sz w:val="24"/>
                <w:szCs w:val="24"/>
              </w:rPr>
              <w:t>另一方面</w:t>
            </w:r>
            <w:r>
              <w:rPr>
                <w:rFonts w:ascii="宋体" w:eastAsia="宋体" w:hAnsi="宋体" w:cs="Times New Roman" w:hint="eastAsia"/>
                <w:bCs/>
                <w:iCs/>
                <w:color w:val="000000"/>
                <w:sz w:val="24"/>
                <w:szCs w:val="24"/>
              </w:rPr>
              <w:t>一季度</w:t>
            </w:r>
            <w:r w:rsidR="00D44BBB">
              <w:rPr>
                <w:rFonts w:ascii="宋体" w:eastAsia="宋体" w:hAnsi="宋体" w:cs="Times New Roman" w:hint="eastAsia"/>
                <w:bCs/>
                <w:iCs/>
                <w:color w:val="000000"/>
                <w:sz w:val="24"/>
                <w:szCs w:val="24"/>
              </w:rPr>
              <w:t>受季节</w:t>
            </w:r>
            <w:r w:rsidR="0060321C">
              <w:rPr>
                <w:rFonts w:ascii="宋体" w:eastAsia="宋体" w:hAnsi="宋体" w:cs="Times New Roman" w:hint="eastAsia"/>
                <w:bCs/>
                <w:iCs/>
                <w:color w:val="000000"/>
                <w:sz w:val="24"/>
                <w:szCs w:val="24"/>
              </w:rPr>
              <w:t>、假日等影响，是传统销售</w:t>
            </w:r>
            <w:r>
              <w:rPr>
                <w:rFonts w:ascii="宋体" w:eastAsia="宋体" w:hAnsi="宋体" w:cs="Times New Roman" w:hint="eastAsia"/>
                <w:bCs/>
                <w:iCs/>
                <w:color w:val="000000"/>
                <w:sz w:val="24"/>
                <w:szCs w:val="24"/>
              </w:rPr>
              <w:t>淡季，</w:t>
            </w:r>
            <w:r w:rsidR="00D609DF">
              <w:rPr>
                <w:rFonts w:ascii="宋体" w:eastAsia="宋体" w:hAnsi="宋体" w:cs="Times New Roman" w:hint="eastAsia"/>
                <w:bCs/>
                <w:iCs/>
                <w:color w:val="000000"/>
                <w:sz w:val="24"/>
                <w:szCs w:val="24"/>
              </w:rPr>
              <w:t>营业收入增速放缓，</w:t>
            </w:r>
            <w:r w:rsidR="005828E1">
              <w:rPr>
                <w:rFonts w:ascii="宋体" w:eastAsia="宋体" w:hAnsi="宋体" w:cs="Times New Roman" w:hint="eastAsia"/>
                <w:bCs/>
                <w:iCs/>
                <w:color w:val="000000"/>
                <w:sz w:val="24"/>
                <w:szCs w:val="24"/>
              </w:rPr>
              <w:t>综上</w:t>
            </w:r>
            <w:bookmarkStart w:id="1" w:name="_GoBack"/>
            <w:bookmarkEnd w:id="1"/>
            <w:r>
              <w:rPr>
                <w:rFonts w:ascii="宋体" w:eastAsia="宋体" w:hAnsi="宋体" w:cs="Times New Roman" w:hint="eastAsia"/>
                <w:bCs/>
                <w:iCs/>
                <w:color w:val="000000"/>
                <w:sz w:val="24"/>
                <w:szCs w:val="24"/>
              </w:rPr>
              <w:t>导致净利润下降。</w:t>
            </w:r>
          </w:p>
          <w:p w:rsidR="00D73E91" w:rsidRPr="00257B2E" w:rsidRDefault="00D73E91" w:rsidP="00166961">
            <w:pPr>
              <w:spacing w:line="480" w:lineRule="atLeast"/>
              <w:rPr>
                <w:rFonts w:ascii="宋体" w:eastAsia="宋体" w:hAnsi="宋体" w:cs="Times New Roman"/>
                <w:b/>
                <w:bCs/>
                <w:iCs/>
                <w:color w:val="000000"/>
                <w:sz w:val="24"/>
                <w:szCs w:val="24"/>
              </w:rPr>
            </w:pPr>
            <w:r w:rsidRPr="00257B2E">
              <w:rPr>
                <w:rFonts w:ascii="宋体" w:eastAsia="宋体" w:hAnsi="宋体" w:cs="Times New Roman" w:hint="eastAsia"/>
                <w:b/>
                <w:bCs/>
                <w:iCs/>
                <w:color w:val="000000"/>
                <w:sz w:val="24"/>
                <w:szCs w:val="24"/>
              </w:rPr>
              <w:t>Q</w:t>
            </w:r>
            <w:r w:rsidR="00D44BBB" w:rsidRPr="00257B2E">
              <w:rPr>
                <w:rFonts w:ascii="宋体" w:eastAsia="宋体" w:hAnsi="宋体" w:cs="Times New Roman"/>
                <w:b/>
                <w:bCs/>
                <w:iCs/>
                <w:color w:val="000000"/>
                <w:sz w:val="24"/>
                <w:szCs w:val="24"/>
              </w:rPr>
              <w:t>2</w:t>
            </w:r>
            <w:r w:rsidRPr="00257B2E">
              <w:rPr>
                <w:rFonts w:ascii="宋体" w:eastAsia="宋体" w:hAnsi="宋体" w:cs="Times New Roman" w:hint="eastAsia"/>
                <w:b/>
                <w:bCs/>
                <w:iCs/>
                <w:color w:val="000000"/>
                <w:sz w:val="24"/>
                <w:szCs w:val="24"/>
              </w:rPr>
              <w:t>：</w:t>
            </w:r>
            <w:r w:rsidR="00D44BBB" w:rsidRPr="00257B2E">
              <w:rPr>
                <w:rFonts w:ascii="宋体" w:eastAsia="宋体" w:hAnsi="宋体" w:cs="Times New Roman" w:hint="eastAsia"/>
                <w:b/>
                <w:bCs/>
                <w:iCs/>
                <w:color w:val="000000"/>
                <w:sz w:val="24"/>
                <w:szCs w:val="24"/>
              </w:rPr>
              <w:t>介绍一下公司</w:t>
            </w:r>
            <w:r w:rsidRPr="00257B2E">
              <w:rPr>
                <w:rFonts w:ascii="宋体" w:eastAsia="宋体" w:hAnsi="宋体" w:cs="Times New Roman" w:hint="eastAsia"/>
                <w:b/>
                <w:bCs/>
                <w:iCs/>
                <w:color w:val="000000"/>
                <w:sz w:val="24"/>
                <w:szCs w:val="24"/>
              </w:rPr>
              <w:t>毛利率情况</w:t>
            </w:r>
            <w:r w:rsidR="00D44BBB" w:rsidRPr="00257B2E">
              <w:rPr>
                <w:rFonts w:ascii="宋体" w:eastAsia="宋体" w:hAnsi="宋体" w:cs="Times New Roman" w:hint="eastAsia"/>
                <w:b/>
                <w:bCs/>
                <w:iCs/>
                <w:color w:val="000000"/>
                <w:sz w:val="24"/>
                <w:szCs w:val="24"/>
              </w:rPr>
              <w:t>。</w:t>
            </w:r>
          </w:p>
          <w:p w:rsidR="00D73E91" w:rsidRDefault="00D44BBB" w:rsidP="00166961">
            <w:pPr>
              <w:spacing w:line="480" w:lineRule="atLeas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A：微型逆变器</w:t>
            </w:r>
            <w:r w:rsidR="00D73E91">
              <w:rPr>
                <w:rFonts w:ascii="宋体" w:eastAsia="宋体" w:hAnsi="宋体" w:cs="Times New Roman" w:hint="eastAsia"/>
                <w:bCs/>
                <w:iCs/>
                <w:color w:val="000000"/>
                <w:sz w:val="24"/>
                <w:szCs w:val="24"/>
              </w:rPr>
              <w:t>保持5</w:t>
            </w:r>
            <w:r w:rsidR="00D73E91">
              <w:rPr>
                <w:rFonts w:ascii="宋体" w:eastAsia="宋体" w:hAnsi="宋体" w:cs="Times New Roman"/>
                <w:bCs/>
                <w:iCs/>
                <w:color w:val="000000"/>
                <w:sz w:val="24"/>
                <w:szCs w:val="24"/>
              </w:rPr>
              <w:t>0%</w:t>
            </w:r>
            <w:r w:rsidR="00D73E91">
              <w:rPr>
                <w:rFonts w:ascii="宋体" w:eastAsia="宋体" w:hAnsi="宋体" w:cs="Times New Roman" w:hint="eastAsia"/>
                <w:bCs/>
                <w:iCs/>
                <w:color w:val="000000"/>
                <w:sz w:val="24"/>
                <w:szCs w:val="24"/>
              </w:rPr>
              <w:t>左右的毛利率</w:t>
            </w:r>
            <w:r>
              <w:rPr>
                <w:rFonts w:ascii="宋体" w:eastAsia="宋体" w:hAnsi="宋体" w:cs="Times New Roman" w:hint="eastAsia"/>
                <w:bCs/>
                <w:iCs/>
                <w:color w:val="000000"/>
                <w:sz w:val="24"/>
                <w:szCs w:val="24"/>
              </w:rPr>
              <w:t>，相对稳定</w:t>
            </w:r>
            <w:r w:rsidR="00D73E91">
              <w:rPr>
                <w:rFonts w:ascii="宋体" w:eastAsia="宋体" w:hAnsi="宋体" w:cs="Times New Roman" w:hint="eastAsia"/>
                <w:bCs/>
                <w:iCs/>
                <w:color w:val="000000"/>
                <w:sz w:val="24"/>
                <w:szCs w:val="24"/>
              </w:rPr>
              <w:t>，</w:t>
            </w:r>
            <w:r>
              <w:rPr>
                <w:rFonts w:ascii="宋体" w:eastAsia="宋体" w:hAnsi="宋体" w:cs="Times New Roman" w:hint="eastAsia"/>
                <w:bCs/>
                <w:iCs/>
                <w:color w:val="000000"/>
                <w:sz w:val="24"/>
                <w:szCs w:val="24"/>
              </w:rPr>
              <w:t>其他国内国外</w:t>
            </w:r>
            <w:r w:rsidR="00D73E91">
              <w:rPr>
                <w:rFonts w:ascii="宋体" w:eastAsia="宋体" w:hAnsi="宋体" w:cs="Times New Roman" w:hint="eastAsia"/>
                <w:bCs/>
                <w:iCs/>
                <w:color w:val="000000"/>
                <w:sz w:val="24"/>
                <w:szCs w:val="24"/>
              </w:rPr>
              <w:t>业务毛利率也符合预期。</w:t>
            </w:r>
          </w:p>
          <w:p w:rsidR="00D73E91" w:rsidRPr="00257B2E" w:rsidRDefault="00D73E91" w:rsidP="00166961">
            <w:pPr>
              <w:spacing w:line="480" w:lineRule="atLeast"/>
              <w:rPr>
                <w:rFonts w:ascii="宋体" w:eastAsia="宋体" w:hAnsi="宋体" w:cs="Times New Roman"/>
                <w:b/>
                <w:bCs/>
                <w:iCs/>
                <w:color w:val="000000"/>
                <w:sz w:val="24"/>
                <w:szCs w:val="24"/>
              </w:rPr>
            </w:pPr>
            <w:r w:rsidRPr="00257B2E">
              <w:rPr>
                <w:rFonts w:ascii="宋体" w:eastAsia="宋体" w:hAnsi="宋体" w:cs="Times New Roman" w:hint="eastAsia"/>
                <w:b/>
                <w:bCs/>
                <w:iCs/>
                <w:color w:val="000000"/>
                <w:sz w:val="24"/>
                <w:szCs w:val="24"/>
              </w:rPr>
              <w:t>Q</w:t>
            </w:r>
            <w:r w:rsidR="002373B7" w:rsidRPr="00257B2E">
              <w:rPr>
                <w:rFonts w:ascii="宋体" w:eastAsia="宋体" w:hAnsi="宋体" w:cs="Times New Roman"/>
                <w:b/>
                <w:bCs/>
                <w:iCs/>
                <w:color w:val="000000"/>
                <w:sz w:val="24"/>
                <w:szCs w:val="24"/>
              </w:rPr>
              <w:t>3</w:t>
            </w:r>
            <w:r w:rsidRPr="00257B2E">
              <w:rPr>
                <w:rFonts w:ascii="宋体" w:eastAsia="宋体" w:hAnsi="宋体" w:cs="Times New Roman" w:hint="eastAsia"/>
                <w:b/>
                <w:bCs/>
                <w:iCs/>
                <w:color w:val="000000"/>
                <w:sz w:val="24"/>
                <w:szCs w:val="24"/>
              </w:rPr>
              <w:t>：</w:t>
            </w:r>
            <w:r w:rsidR="00D44BBB" w:rsidRPr="00257B2E">
              <w:rPr>
                <w:rFonts w:ascii="宋体" w:eastAsia="宋体" w:hAnsi="宋体" w:cs="Times New Roman" w:hint="eastAsia"/>
                <w:b/>
                <w:bCs/>
                <w:iCs/>
                <w:color w:val="000000"/>
                <w:sz w:val="24"/>
                <w:szCs w:val="24"/>
              </w:rPr>
              <w:t>简单介绍一下2</w:t>
            </w:r>
            <w:r w:rsidR="00D44BBB" w:rsidRPr="00257B2E">
              <w:rPr>
                <w:rFonts w:ascii="宋体" w:eastAsia="宋体" w:hAnsi="宋体" w:cs="Times New Roman"/>
                <w:b/>
                <w:bCs/>
                <w:iCs/>
                <w:color w:val="000000"/>
                <w:sz w:val="24"/>
                <w:szCs w:val="24"/>
              </w:rPr>
              <w:t>024</w:t>
            </w:r>
            <w:r w:rsidR="00D44BBB" w:rsidRPr="00257B2E">
              <w:rPr>
                <w:rFonts w:ascii="宋体" w:eastAsia="宋体" w:hAnsi="宋体" w:cs="Times New Roman" w:hint="eastAsia"/>
                <w:b/>
                <w:bCs/>
                <w:iCs/>
                <w:color w:val="000000"/>
                <w:sz w:val="24"/>
                <w:szCs w:val="24"/>
              </w:rPr>
              <w:t>年推出的</w:t>
            </w:r>
            <w:r w:rsidR="002373B7" w:rsidRPr="00257B2E">
              <w:rPr>
                <w:rFonts w:ascii="宋体" w:eastAsia="宋体" w:hAnsi="宋体" w:cs="Times New Roman" w:hint="eastAsia"/>
                <w:b/>
                <w:bCs/>
                <w:iCs/>
                <w:color w:val="000000"/>
                <w:sz w:val="24"/>
                <w:szCs w:val="24"/>
              </w:rPr>
              <w:t>工商储一体</w:t>
            </w:r>
            <w:proofErr w:type="gramStart"/>
            <w:r w:rsidR="002373B7" w:rsidRPr="00257B2E">
              <w:rPr>
                <w:rFonts w:ascii="宋体" w:eastAsia="宋体" w:hAnsi="宋体" w:cs="Times New Roman" w:hint="eastAsia"/>
                <w:b/>
                <w:bCs/>
                <w:iCs/>
                <w:color w:val="000000"/>
                <w:sz w:val="24"/>
                <w:szCs w:val="24"/>
              </w:rPr>
              <w:t>机</w:t>
            </w:r>
            <w:r w:rsidR="00D44BBB" w:rsidRPr="00257B2E">
              <w:rPr>
                <w:rFonts w:ascii="宋体" w:eastAsia="宋体" w:hAnsi="宋体" w:cs="Times New Roman" w:hint="eastAsia"/>
                <w:b/>
                <w:bCs/>
                <w:iCs/>
                <w:color w:val="000000"/>
                <w:sz w:val="24"/>
                <w:szCs w:val="24"/>
              </w:rPr>
              <w:t>相关</w:t>
            </w:r>
            <w:proofErr w:type="gramEnd"/>
            <w:r w:rsidRPr="00257B2E">
              <w:rPr>
                <w:rFonts w:ascii="宋体" w:eastAsia="宋体" w:hAnsi="宋体" w:cs="Times New Roman" w:hint="eastAsia"/>
                <w:b/>
                <w:bCs/>
                <w:iCs/>
                <w:color w:val="000000"/>
                <w:sz w:val="24"/>
                <w:szCs w:val="24"/>
              </w:rPr>
              <w:t>情况</w:t>
            </w:r>
            <w:r w:rsidR="00D44BBB" w:rsidRPr="00257B2E">
              <w:rPr>
                <w:rFonts w:ascii="宋体" w:eastAsia="宋体" w:hAnsi="宋体" w:cs="Times New Roman" w:hint="eastAsia"/>
                <w:b/>
                <w:bCs/>
                <w:iCs/>
                <w:color w:val="000000"/>
                <w:sz w:val="24"/>
                <w:szCs w:val="24"/>
              </w:rPr>
              <w:t>。</w:t>
            </w:r>
          </w:p>
          <w:p w:rsidR="00D73E91" w:rsidRDefault="00D73E91" w:rsidP="00D44BBB">
            <w:pPr>
              <w:spacing w:line="480" w:lineRule="atLeast"/>
              <w:rPr>
                <w:rFonts w:ascii="宋体" w:eastAsia="宋体" w:hAnsi="宋体" w:cs="Times New Roman"/>
                <w:bCs/>
                <w:iCs/>
                <w:color w:val="000000"/>
                <w:sz w:val="24"/>
                <w:szCs w:val="24"/>
              </w:rPr>
            </w:pPr>
            <w:r>
              <w:rPr>
                <w:rFonts w:ascii="宋体" w:eastAsia="宋体" w:hAnsi="宋体" w:cs="Times New Roman"/>
                <w:bCs/>
                <w:iCs/>
                <w:color w:val="000000"/>
                <w:sz w:val="24"/>
                <w:szCs w:val="24"/>
              </w:rPr>
              <w:t>A</w:t>
            </w:r>
            <w:r>
              <w:rPr>
                <w:rFonts w:ascii="宋体" w:eastAsia="宋体" w:hAnsi="宋体" w:cs="Times New Roman" w:hint="eastAsia"/>
                <w:bCs/>
                <w:iCs/>
                <w:color w:val="000000"/>
                <w:sz w:val="24"/>
                <w:szCs w:val="24"/>
              </w:rPr>
              <w:t>：</w:t>
            </w:r>
            <w:r w:rsidR="00D44BBB" w:rsidRPr="00D44BBB">
              <w:rPr>
                <w:rFonts w:ascii="宋体" w:eastAsia="宋体" w:hAnsi="宋体" w:cs="Times New Roman"/>
                <w:bCs/>
                <w:iCs/>
                <w:color w:val="000000"/>
                <w:sz w:val="24"/>
                <w:szCs w:val="24"/>
              </w:rPr>
              <w:t>2024年度根据市场需求，</w:t>
            </w:r>
            <w:r w:rsidR="00D44BBB">
              <w:rPr>
                <w:rFonts w:ascii="宋体" w:eastAsia="宋体" w:hAnsi="宋体" w:cs="Times New Roman" w:hint="eastAsia"/>
                <w:bCs/>
                <w:iCs/>
                <w:color w:val="000000"/>
                <w:sz w:val="24"/>
                <w:szCs w:val="24"/>
              </w:rPr>
              <w:t>公司</w:t>
            </w:r>
            <w:r w:rsidR="00D44BBB" w:rsidRPr="00D44BBB">
              <w:rPr>
                <w:rFonts w:ascii="宋体" w:eastAsia="宋体" w:hAnsi="宋体" w:cs="Times New Roman"/>
                <w:bCs/>
                <w:iCs/>
                <w:color w:val="000000"/>
                <w:sz w:val="24"/>
                <w:szCs w:val="24"/>
              </w:rPr>
              <w:t>针对储能电站的应用场景推出了系列的集中式储能变流器产品。</w:t>
            </w:r>
            <w:r w:rsidR="00D44BBB" w:rsidRPr="00D44BBB">
              <w:rPr>
                <w:rFonts w:ascii="宋体" w:eastAsia="宋体" w:hAnsi="宋体" w:cs="Times New Roman" w:hint="eastAsia"/>
                <w:bCs/>
                <w:iCs/>
                <w:color w:val="000000"/>
                <w:sz w:val="24"/>
                <w:szCs w:val="24"/>
              </w:rPr>
              <w:t>功率覆盖</w:t>
            </w:r>
            <w:r w:rsidR="00D44BBB" w:rsidRPr="00D44BBB">
              <w:rPr>
                <w:rFonts w:ascii="宋体" w:eastAsia="宋体" w:hAnsi="宋体" w:cs="Times New Roman"/>
                <w:bCs/>
                <w:iCs/>
                <w:color w:val="000000"/>
                <w:sz w:val="24"/>
                <w:szCs w:val="24"/>
              </w:rPr>
              <w:t>1250kW-1725kW</w:t>
            </w:r>
            <w:r w:rsidR="00D44BBB">
              <w:rPr>
                <w:rFonts w:ascii="宋体" w:eastAsia="宋体" w:hAnsi="宋体" w:cs="Times New Roman" w:hint="eastAsia"/>
                <w:bCs/>
                <w:iCs/>
                <w:color w:val="000000"/>
                <w:sz w:val="24"/>
                <w:szCs w:val="24"/>
              </w:rPr>
              <w:t>，</w:t>
            </w:r>
            <w:r w:rsidR="00D44BBB" w:rsidRPr="00D44BBB">
              <w:rPr>
                <w:rFonts w:ascii="宋体" w:eastAsia="宋体" w:hAnsi="宋体" w:cs="Times New Roman" w:hint="eastAsia"/>
                <w:bCs/>
                <w:iCs/>
                <w:color w:val="000000"/>
                <w:sz w:val="24"/>
                <w:szCs w:val="24"/>
              </w:rPr>
              <w:t>峰值效率约为</w:t>
            </w:r>
            <w:r w:rsidR="00D44BBB" w:rsidRPr="00D44BBB">
              <w:rPr>
                <w:rFonts w:ascii="宋体" w:eastAsia="宋体" w:hAnsi="宋体" w:cs="Times New Roman"/>
                <w:bCs/>
                <w:iCs/>
                <w:color w:val="000000"/>
                <w:sz w:val="24"/>
                <w:szCs w:val="24"/>
              </w:rPr>
              <w:t xml:space="preserve"> 99%</w:t>
            </w:r>
            <w:r w:rsidR="00D44BBB">
              <w:rPr>
                <w:rFonts w:ascii="宋体" w:eastAsia="宋体" w:hAnsi="宋体" w:cs="Times New Roman" w:hint="eastAsia"/>
                <w:bCs/>
                <w:iCs/>
                <w:color w:val="000000"/>
                <w:sz w:val="24"/>
                <w:szCs w:val="24"/>
              </w:rPr>
              <w:t>，具备</w:t>
            </w:r>
            <w:r w:rsidR="00D44BBB" w:rsidRPr="00D44BBB">
              <w:rPr>
                <w:rFonts w:ascii="宋体" w:eastAsia="宋体" w:hAnsi="宋体" w:cs="Times New Roman"/>
                <w:bCs/>
                <w:iCs/>
                <w:color w:val="000000"/>
                <w:sz w:val="24"/>
                <w:szCs w:val="24"/>
              </w:rPr>
              <w:t>IP65高防护等级</w:t>
            </w:r>
            <w:r w:rsidR="00D44BBB">
              <w:rPr>
                <w:rFonts w:ascii="宋体" w:eastAsia="宋体" w:hAnsi="宋体" w:cs="Times New Roman" w:hint="eastAsia"/>
                <w:bCs/>
                <w:iCs/>
                <w:color w:val="000000"/>
                <w:sz w:val="24"/>
                <w:szCs w:val="24"/>
              </w:rPr>
              <w:t>、</w:t>
            </w:r>
            <w:r w:rsidR="00D44BBB" w:rsidRPr="00D44BBB">
              <w:rPr>
                <w:rFonts w:ascii="宋体" w:eastAsia="宋体" w:hAnsi="宋体" w:cs="Times New Roman" w:hint="eastAsia"/>
                <w:bCs/>
                <w:iCs/>
                <w:color w:val="000000"/>
                <w:sz w:val="24"/>
                <w:szCs w:val="24"/>
              </w:rPr>
              <w:t>水冷散热</w:t>
            </w:r>
            <w:r w:rsidR="00D44BBB">
              <w:rPr>
                <w:rFonts w:ascii="宋体" w:eastAsia="宋体" w:hAnsi="宋体" w:cs="Times New Roman" w:hint="eastAsia"/>
                <w:bCs/>
                <w:iCs/>
                <w:color w:val="000000"/>
                <w:sz w:val="24"/>
                <w:szCs w:val="24"/>
              </w:rPr>
              <w:t>。</w:t>
            </w:r>
          </w:p>
          <w:p w:rsidR="00D73E91" w:rsidRPr="00257B2E" w:rsidRDefault="00D73E91" w:rsidP="00166961">
            <w:pPr>
              <w:spacing w:line="480" w:lineRule="atLeast"/>
              <w:rPr>
                <w:rFonts w:ascii="宋体" w:eastAsia="宋体" w:hAnsi="宋体" w:cs="Times New Roman"/>
                <w:b/>
                <w:bCs/>
                <w:iCs/>
                <w:color w:val="000000"/>
                <w:sz w:val="24"/>
                <w:szCs w:val="24"/>
              </w:rPr>
            </w:pPr>
            <w:r w:rsidRPr="00257B2E">
              <w:rPr>
                <w:rFonts w:ascii="宋体" w:eastAsia="宋体" w:hAnsi="宋体" w:cs="Times New Roman" w:hint="eastAsia"/>
                <w:b/>
                <w:bCs/>
                <w:iCs/>
                <w:color w:val="000000"/>
                <w:sz w:val="24"/>
                <w:szCs w:val="24"/>
              </w:rPr>
              <w:t>Q</w:t>
            </w:r>
            <w:r w:rsidR="002373B7" w:rsidRPr="00257B2E">
              <w:rPr>
                <w:rFonts w:ascii="宋体" w:eastAsia="宋体" w:hAnsi="宋体" w:cs="Times New Roman"/>
                <w:b/>
                <w:bCs/>
                <w:iCs/>
                <w:color w:val="000000"/>
                <w:sz w:val="24"/>
                <w:szCs w:val="24"/>
              </w:rPr>
              <w:t>4</w:t>
            </w:r>
            <w:r w:rsidRPr="00257B2E">
              <w:rPr>
                <w:rFonts w:ascii="宋体" w:eastAsia="宋体" w:hAnsi="宋体" w:cs="Times New Roman"/>
                <w:b/>
                <w:bCs/>
                <w:iCs/>
                <w:color w:val="000000"/>
                <w:sz w:val="24"/>
                <w:szCs w:val="24"/>
              </w:rPr>
              <w:t>:</w:t>
            </w:r>
            <w:r w:rsidRPr="00257B2E">
              <w:rPr>
                <w:rFonts w:ascii="宋体" w:eastAsia="宋体" w:hAnsi="宋体" w:cs="Times New Roman" w:hint="eastAsia"/>
                <w:b/>
                <w:bCs/>
                <w:iCs/>
                <w:color w:val="000000"/>
                <w:sz w:val="24"/>
                <w:szCs w:val="24"/>
              </w:rPr>
              <w:t>欧洲大规模停电对公司的影响</w:t>
            </w:r>
          </w:p>
          <w:p w:rsidR="00D73E91" w:rsidRDefault="00D73E91" w:rsidP="0045187A">
            <w:pPr>
              <w:spacing w:line="480" w:lineRule="atLeas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A：</w:t>
            </w:r>
            <w:r w:rsidR="002373B7">
              <w:rPr>
                <w:rFonts w:ascii="宋体" w:eastAsia="宋体" w:hAnsi="宋体" w:cs="Times New Roman" w:hint="eastAsia"/>
                <w:bCs/>
                <w:iCs/>
                <w:color w:val="000000"/>
                <w:sz w:val="24"/>
                <w:szCs w:val="24"/>
              </w:rPr>
              <w:t>欧洲大规模停电会直接推动</w:t>
            </w:r>
            <w:r>
              <w:rPr>
                <w:rFonts w:ascii="宋体" w:eastAsia="宋体" w:hAnsi="宋体" w:cs="Times New Roman" w:hint="eastAsia"/>
                <w:bCs/>
                <w:iCs/>
                <w:color w:val="000000"/>
                <w:sz w:val="24"/>
                <w:szCs w:val="24"/>
              </w:rPr>
              <w:t>对储能的需求，</w:t>
            </w:r>
            <w:r w:rsidR="002373B7">
              <w:rPr>
                <w:rFonts w:ascii="宋体" w:eastAsia="宋体" w:hAnsi="宋体" w:cs="Times New Roman" w:hint="eastAsia"/>
                <w:bCs/>
                <w:iCs/>
                <w:color w:val="000000"/>
                <w:sz w:val="24"/>
                <w:szCs w:val="24"/>
              </w:rPr>
              <w:t>短期看</w:t>
            </w:r>
            <w:r>
              <w:rPr>
                <w:rFonts w:ascii="宋体" w:eastAsia="宋体" w:hAnsi="宋体" w:cs="Times New Roman" w:hint="eastAsia"/>
                <w:bCs/>
                <w:iCs/>
                <w:color w:val="000000"/>
                <w:sz w:val="24"/>
                <w:szCs w:val="24"/>
              </w:rPr>
              <w:t>直接刺激到</w:t>
            </w:r>
            <w:r w:rsidR="002373B7">
              <w:rPr>
                <w:rFonts w:ascii="宋体" w:eastAsia="宋体" w:hAnsi="宋体" w:cs="Times New Roman" w:hint="eastAsia"/>
                <w:bCs/>
                <w:iCs/>
                <w:color w:val="000000"/>
                <w:sz w:val="24"/>
                <w:szCs w:val="24"/>
              </w:rPr>
              <w:t>对大型储能</w:t>
            </w:r>
            <w:r>
              <w:rPr>
                <w:rFonts w:ascii="宋体" w:eastAsia="宋体" w:hAnsi="宋体" w:cs="Times New Roman" w:hint="eastAsia"/>
                <w:bCs/>
                <w:iCs/>
                <w:color w:val="000000"/>
                <w:sz w:val="24"/>
                <w:szCs w:val="24"/>
              </w:rPr>
              <w:t>的需求</w:t>
            </w:r>
            <w:r w:rsidR="002373B7">
              <w:rPr>
                <w:rFonts w:ascii="宋体" w:eastAsia="宋体" w:hAnsi="宋体" w:cs="Times New Roman" w:hint="eastAsia"/>
                <w:bCs/>
                <w:iCs/>
                <w:color w:val="000000"/>
                <w:sz w:val="24"/>
                <w:szCs w:val="24"/>
              </w:rPr>
              <w:t>，</w:t>
            </w:r>
            <w:r>
              <w:rPr>
                <w:rFonts w:ascii="宋体" w:eastAsia="宋体" w:hAnsi="宋体" w:cs="Times New Roman" w:hint="eastAsia"/>
                <w:bCs/>
                <w:iCs/>
                <w:color w:val="000000"/>
                <w:sz w:val="24"/>
                <w:szCs w:val="24"/>
              </w:rPr>
              <w:t>长期来看提升工商储、户储的需求。</w:t>
            </w:r>
            <w:r w:rsidR="0045187A">
              <w:rPr>
                <w:rFonts w:ascii="宋体" w:eastAsia="宋体" w:hAnsi="宋体" w:cs="Times New Roman" w:hint="eastAsia"/>
                <w:bCs/>
                <w:iCs/>
                <w:color w:val="000000"/>
                <w:sz w:val="24"/>
                <w:szCs w:val="24"/>
              </w:rPr>
              <w:t>公司目前已基本</w:t>
            </w:r>
            <w:r w:rsidR="0045187A" w:rsidRPr="0045187A">
              <w:rPr>
                <w:rFonts w:ascii="宋体" w:eastAsia="宋体" w:hAnsi="宋体" w:cs="Times New Roman" w:hint="eastAsia"/>
                <w:bCs/>
                <w:iCs/>
                <w:color w:val="000000"/>
                <w:sz w:val="24"/>
                <w:szCs w:val="24"/>
              </w:rPr>
              <w:t>形成能覆盖小、中、大全功率段的储能产品系列，</w:t>
            </w:r>
            <w:r w:rsidR="0045187A">
              <w:rPr>
                <w:rFonts w:ascii="宋体" w:eastAsia="宋体" w:hAnsi="宋体" w:cs="Times New Roman" w:hint="eastAsia"/>
                <w:bCs/>
                <w:iCs/>
                <w:color w:val="000000"/>
                <w:sz w:val="24"/>
                <w:szCs w:val="24"/>
              </w:rPr>
              <w:t>后续将根据欧洲</w:t>
            </w:r>
            <w:r w:rsidR="0045187A" w:rsidRPr="0045187A">
              <w:rPr>
                <w:rFonts w:ascii="宋体" w:eastAsia="宋体" w:hAnsi="宋体" w:cs="Times New Roman" w:hint="eastAsia"/>
                <w:bCs/>
                <w:iCs/>
                <w:color w:val="000000"/>
                <w:sz w:val="24"/>
                <w:szCs w:val="24"/>
              </w:rPr>
              <w:t>市场需求，持续优化、迭代，加快主要销售区域的本地化运营管理建设，为客户提供更优质、更高效的服务。为公司</w:t>
            </w:r>
            <w:r w:rsidR="0045187A">
              <w:rPr>
                <w:rFonts w:ascii="宋体" w:eastAsia="宋体" w:hAnsi="宋体" w:cs="Times New Roman" w:hint="eastAsia"/>
                <w:bCs/>
                <w:iCs/>
                <w:color w:val="000000"/>
                <w:sz w:val="24"/>
                <w:szCs w:val="24"/>
              </w:rPr>
              <w:t>储能业务</w:t>
            </w:r>
            <w:r w:rsidR="0045187A" w:rsidRPr="0045187A">
              <w:rPr>
                <w:rFonts w:ascii="宋体" w:eastAsia="宋体" w:hAnsi="宋体" w:cs="Times New Roman" w:hint="eastAsia"/>
                <w:bCs/>
                <w:iCs/>
                <w:color w:val="000000"/>
                <w:sz w:val="24"/>
                <w:szCs w:val="24"/>
              </w:rPr>
              <w:t>稳步发展持续赋能</w:t>
            </w:r>
            <w:r w:rsidR="0045187A">
              <w:rPr>
                <w:rFonts w:ascii="宋体" w:eastAsia="宋体" w:hAnsi="宋体" w:cs="Times New Roman" w:hint="eastAsia"/>
                <w:bCs/>
                <w:iCs/>
                <w:color w:val="000000"/>
                <w:sz w:val="24"/>
                <w:szCs w:val="24"/>
              </w:rPr>
              <w:t>。</w:t>
            </w:r>
          </w:p>
          <w:p w:rsidR="00D73E91" w:rsidRPr="00257B2E" w:rsidRDefault="00D73E91" w:rsidP="00166961">
            <w:pPr>
              <w:spacing w:line="480" w:lineRule="atLeast"/>
              <w:rPr>
                <w:rFonts w:ascii="宋体" w:eastAsia="宋体" w:hAnsi="宋体" w:cs="Times New Roman"/>
                <w:b/>
                <w:bCs/>
                <w:iCs/>
                <w:color w:val="000000"/>
                <w:sz w:val="24"/>
                <w:szCs w:val="24"/>
              </w:rPr>
            </w:pPr>
            <w:r w:rsidRPr="00257B2E">
              <w:rPr>
                <w:rFonts w:ascii="宋体" w:eastAsia="宋体" w:hAnsi="宋体" w:cs="Times New Roman" w:hint="eastAsia"/>
                <w:b/>
                <w:bCs/>
                <w:iCs/>
                <w:color w:val="000000"/>
                <w:sz w:val="24"/>
                <w:szCs w:val="24"/>
              </w:rPr>
              <w:t>Q</w:t>
            </w:r>
            <w:r w:rsidR="00257B2E" w:rsidRPr="00257B2E">
              <w:rPr>
                <w:rFonts w:ascii="宋体" w:eastAsia="宋体" w:hAnsi="宋体" w:cs="Times New Roman"/>
                <w:b/>
                <w:bCs/>
                <w:iCs/>
                <w:color w:val="000000"/>
                <w:sz w:val="24"/>
                <w:szCs w:val="24"/>
              </w:rPr>
              <w:t>5</w:t>
            </w:r>
            <w:r w:rsidRPr="00257B2E">
              <w:rPr>
                <w:rFonts w:ascii="宋体" w:eastAsia="宋体" w:hAnsi="宋体" w:cs="Times New Roman" w:hint="eastAsia"/>
                <w:b/>
                <w:bCs/>
                <w:iCs/>
                <w:color w:val="000000"/>
                <w:sz w:val="24"/>
                <w:szCs w:val="24"/>
              </w:rPr>
              <w:t>：微逆</w:t>
            </w:r>
            <w:r w:rsidR="00673326" w:rsidRPr="00257B2E">
              <w:rPr>
                <w:rFonts w:ascii="宋体" w:eastAsia="宋体" w:hAnsi="宋体" w:cs="Times New Roman" w:hint="eastAsia"/>
                <w:b/>
                <w:bCs/>
                <w:iCs/>
                <w:color w:val="000000"/>
                <w:sz w:val="24"/>
                <w:szCs w:val="24"/>
              </w:rPr>
              <w:t>销售量放缓的原因？</w:t>
            </w:r>
          </w:p>
          <w:p w:rsidR="00D73E91" w:rsidRDefault="00D73E91" w:rsidP="002373B7">
            <w:pPr>
              <w:spacing w:line="480" w:lineRule="atLeas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A：微逆的总体需求量在增加，市场渗透率也在提高。</w:t>
            </w:r>
            <w:r w:rsidR="002373B7">
              <w:rPr>
                <w:rFonts w:ascii="宋体" w:eastAsia="宋体" w:hAnsi="宋体" w:cs="Times New Roman" w:hint="eastAsia"/>
                <w:bCs/>
                <w:iCs/>
                <w:color w:val="000000"/>
                <w:sz w:val="24"/>
                <w:szCs w:val="24"/>
              </w:rPr>
              <w:t>并不是市场的需求量在减少。</w:t>
            </w:r>
            <w:r w:rsidR="002373B7">
              <w:rPr>
                <w:rFonts w:ascii="宋体" w:eastAsia="宋体" w:hAnsi="宋体" w:cs="Times New Roman"/>
                <w:bCs/>
                <w:iCs/>
                <w:color w:val="000000"/>
                <w:sz w:val="24"/>
                <w:szCs w:val="24"/>
              </w:rPr>
              <w:t>2024</w:t>
            </w:r>
            <w:r>
              <w:rPr>
                <w:rFonts w:ascii="宋体" w:eastAsia="宋体" w:hAnsi="宋体" w:cs="Times New Roman" w:hint="eastAsia"/>
                <w:bCs/>
                <w:iCs/>
                <w:color w:val="000000"/>
                <w:sz w:val="24"/>
                <w:szCs w:val="24"/>
              </w:rPr>
              <w:t>年</w:t>
            </w:r>
            <w:r w:rsidR="002373B7">
              <w:rPr>
                <w:rFonts w:ascii="宋体" w:eastAsia="宋体" w:hAnsi="宋体" w:cs="Times New Roman" w:hint="eastAsia"/>
                <w:bCs/>
                <w:iCs/>
                <w:color w:val="000000"/>
                <w:sz w:val="24"/>
                <w:szCs w:val="24"/>
              </w:rPr>
              <w:t>公司微</w:t>
            </w:r>
            <w:proofErr w:type="gramStart"/>
            <w:r w:rsidR="002373B7">
              <w:rPr>
                <w:rFonts w:ascii="宋体" w:eastAsia="宋体" w:hAnsi="宋体" w:cs="Times New Roman" w:hint="eastAsia"/>
                <w:bCs/>
                <w:iCs/>
                <w:color w:val="000000"/>
                <w:sz w:val="24"/>
                <w:szCs w:val="24"/>
              </w:rPr>
              <w:t>逆销售</w:t>
            </w:r>
            <w:proofErr w:type="gramEnd"/>
            <w:r>
              <w:rPr>
                <w:rFonts w:ascii="宋体" w:eastAsia="宋体" w:hAnsi="宋体" w:cs="Times New Roman" w:hint="eastAsia"/>
                <w:bCs/>
                <w:iCs/>
                <w:color w:val="000000"/>
                <w:sz w:val="24"/>
                <w:szCs w:val="24"/>
              </w:rPr>
              <w:t>没有一个大的提升是源于</w:t>
            </w:r>
            <w:r w:rsidR="002373B7">
              <w:rPr>
                <w:rFonts w:ascii="宋体" w:eastAsia="宋体" w:hAnsi="宋体" w:cs="Times New Roman" w:hint="eastAsia"/>
                <w:bCs/>
                <w:iCs/>
                <w:color w:val="000000"/>
                <w:sz w:val="24"/>
                <w:szCs w:val="24"/>
              </w:rPr>
              <w:t>没有进入低价竞争</w:t>
            </w:r>
            <w:r>
              <w:rPr>
                <w:rFonts w:ascii="宋体" w:eastAsia="宋体" w:hAnsi="宋体" w:cs="Times New Roman" w:hint="eastAsia"/>
                <w:bCs/>
                <w:iCs/>
                <w:color w:val="000000"/>
                <w:sz w:val="24"/>
                <w:szCs w:val="24"/>
              </w:rPr>
              <w:t>，</w:t>
            </w:r>
            <w:r w:rsidR="002373B7">
              <w:rPr>
                <w:rFonts w:ascii="宋体" w:eastAsia="宋体" w:hAnsi="宋体" w:cs="Times New Roman" w:hint="eastAsia"/>
                <w:bCs/>
                <w:iCs/>
                <w:color w:val="000000"/>
                <w:sz w:val="24"/>
                <w:szCs w:val="24"/>
              </w:rPr>
              <w:t>公司一直以来坚持</w:t>
            </w:r>
            <w:r>
              <w:rPr>
                <w:rFonts w:ascii="宋体" w:eastAsia="宋体" w:hAnsi="宋体" w:cs="Times New Roman" w:hint="eastAsia"/>
                <w:bCs/>
                <w:iCs/>
                <w:color w:val="000000"/>
                <w:sz w:val="24"/>
                <w:szCs w:val="24"/>
              </w:rPr>
              <w:t>打造</w:t>
            </w:r>
            <w:r w:rsidR="002373B7">
              <w:rPr>
                <w:rFonts w:ascii="宋体" w:eastAsia="宋体" w:hAnsi="宋体" w:cs="Times New Roman" w:hint="eastAsia"/>
                <w:bCs/>
                <w:iCs/>
                <w:color w:val="000000"/>
                <w:sz w:val="24"/>
                <w:szCs w:val="24"/>
              </w:rPr>
              <w:t>微逆</w:t>
            </w:r>
            <w:r>
              <w:rPr>
                <w:rFonts w:ascii="宋体" w:eastAsia="宋体" w:hAnsi="宋体" w:cs="Times New Roman" w:hint="eastAsia"/>
                <w:bCs/>
                <w:iCs/>
                <w:color w:val="000000"/>
                <w:sz w:val="24"/>
                <w:szCs w:val="24"/>
              </w:rPr>
              <w:t>高端品质及口碑。随着新产品推出，成本优势凸显，2</w:t>
            </w:r>
            <w:r>
              <w:rPr>
                <w:rFonts w:ascii="宋体" w:eastAsia="宋体" w:hAnsi="宋体" w:cs="Times New Roman"/>
                <w:bCs/>
                <w:iCs/>
                <w:color w:val="000000"/>
                <w:sz w:val="24"/>
                <w:szCs w:val="24"/>
              </w:rPr>
              <w:t>5</w:t>
            </w:r>
            <w:r>
              <w:rPr>
                <w:rFonts w:ascii="宋体" w:eastAsia="宋体" w:hAnsi="宋体" w:cs="Times New Roman" w:hint="eastAsia"/>
                <w:bCs/>
                <w:iCs/>
                <w:color w:val="000000"/>
                <w:sz w:val="24"/>
                <w:szCs w:val="24"/>
              </w:rPr>
              <w:t>年有望抢占更大市场份额</w:t>
            </w:r>
            <w:r w:rsidR="002373B7">
              <w:rPr>
                <w:rFonts w:ascii="宋体" w:eastAsia="宋体" w:hAnsi="宋体" w:cs="Times New Roman" w:hint="eastAsia"/>
                <w:bCs/>
                <w:iCs/>
                <w:color w:val="000000"/>
                <w:sz w:val="24"/>
                <w:szCs w:val="24"/>
              </w:rPr>
              <w:t>。目前看到微逆在屋顶市场渗透率有较大提升空间，公司</w:t>
            </w:r>
            <w:r w:rsidR="002373B7" w:rsidRPr="002373B7">
              <w:rPr>
                <w:rFonts w:ascii="宋体" w:eastAsia="宋体" w:hAnsi="宋体" w:cs="Times New Roman" w:hint="eastAsia"/>
                <w:bCs/>
                <w:iCs/>
                <w:color w:val="000000"/>
                <w:sz w:val="24"/>
                <w:szCs w:val="24"/>
              </w:rPr>
              <w:t>将坚持以市场和客户需求为导向不断推出具有竞争力的产品和解决方案</w:t>
            </w:r>
            <w:r>
              <w:rPr>
                <w:rFonts w:ascii="宋体" w:eastAsia="宋体" w:hAnsi="宋体" w:cs="Times New Roman" w:hint="eastAsia"/>
                <w:bCs/>
                <w:iCs/>
                <w:color w:val="000000"/>
                <w:sz w:val="24"/>
                <w:szCs w:val="24"/>
              </w:rPr>
              <w:t>。</w:t>
            </w:r>
          </w:p>
          <w:p w:rsidR="00D73E91" w:rsidRPr="00257B2E" w:rsidRDefault="00D73E91" w:rsidP="00166961">
            <w:pPr>
              <w:spacing w:line="480" w:lineRule="atLeast"/>
              <w:rPr>
                <w:rFonts w:ascii="宋体" w:eastAsia="宋体" w:hAnsi="宋体" w:cs="Times New Roman"/>
                <w:b/>
                <w:bCs/>
                <w:iCs/>
                <w:color w:val="000000"/>
                <w:sz w:val="24"/>
                <w:szCs w:val="24"/>
              </w:rPr>
            </w:pPr>
            <w:r w:rsidRPr="00257B2E">
              <w:rPr>
                <w:rFonts w:ascii="宋体" w:eastAsia="宋体" w:hAnsi="宋体" w:cs="Times New Roman" w:hint="eastAsia"/>
                <w:b/>
                <w:bCs/>
                <w:iCs/>
                <w:color w:val="000000"/>
                <w:sz w:val="24"/>
                <w:szCs w:val="24"/>
              </w:rPr>
              <w:t>Q</w:t>
            </w:r>
            <w:r w:rsidR="00257B2E" w:rsidRPr="00257B2E">
              <w:rPr>
                <w:rFonts w:ascii="宋体" w:eastAsia="宋体" w:hAnsi="宋体" w:cs="Times New Roman"/>
                <w:b/>
                <w:bCs/>
                <w:iCs/>
                <w:color w:val="000000"/>
                <w:sz w:val="24"/>
                <w:szCs w:val="24"/>
              </w:rPr>
              <w:t>6</w:t>
            </w:r>
            <w:r w:rsidRPr="00257B2E">
              <w:rPr>
                <w:rFonts w:ascii="宋体" w:eastAsia="宋体" w:hAnsi="宋体" w:cs="Times New Roman" w:hint="eastAsia"/>
                <w:b/>
                <w:bCs/>
                <w:iCs/>
                <w:color w:val="000000"/>
                <w:sz w:val="24"/>
                <w:szCs w:val="24"/>
              </w:rPr>
              <w:t>：</w:t>
            </w:r>
            <w:r w:rsidR="002373B7" w:rsidRPr="00257B2E">
              <w:rPr>
                <w:rFonts w:ascii="宋体" w:eastAsia="宋体" w:hAnsi="宋体" w:cs="Times New Roman" w:hint="eastAsia"/>
                <w:b/>
                <w:bCs/>
                <w:iCs/>
                <w:color w:val="000000"/>
                <w:sz w:val="24"/>
                <w:szCs w:val="24"/>
              </w:rPr>
              <w:t>目前</w:t>
            </w:r>
            <w:proofErr w:type="gramStart"/>
            <w:r w:rsidRPr="00257B2E">
              <w:rPr>
                <w:rFonts w:ascii="宋体" w:eastAsia="宋体" w:hAnsi="宋体" w:cs="Times New Roman" w:hint="eastAsia"/>
                <w:b/>
                <w:bCs/>
                <w:iCs/>
                <w:color w:val="000000"/>
                <w:sz w:val="24"/>
                <w:szCs w:val="24"/>
              </w:rPr>
              <w:t>阳台微储的</w:t>
            </w:r>
            <w:proofErr w:type="gramEnd"/>
            <w:r w:rsidRPr="00257B2E">
              <w:rPr>
                <w:rFonts w:ascii="宋体" w:eastAsia="宋体" w:hAnsi="宋体" w:cs="Times New Roman" w:hint="eastAsia"/>
                <w:b/>
                <w:bCs/>
                <w:iCs/>
                <w:color w:val="000000"/>
                <w:sz w:val="24"/>
                <w:szCs w:val="24"/>
              </w:rPr>
              <w:t>情况</w:t>
            </w:r>
            <w:r w:rsidR="002373B7" w:rsidRPr="00257B2E">
              <w:rPr>
                <w:rFonts w:ascii="宋体" w:eastAsia="宋体" w:hAnsi="宋体" w:cs="Times New Roman" w:hint="eastAsia"/>
                <w:b/>
                <w:bCs/>
                <w:iCs/>
                <w:color w:val="000000"/>
                <w:sz w:val="24"/>
                <w:szCs w:val="24"/>
              </w:rPr>
              <w:t>如何？</w:t>
            </w:r>
          </w:p>
          <w:p w:rsidR="00D73E91" w:rsidRDefault="00D73E91" w:rsidP="00166961">
            <w:pPr>
              <w:spacing w:line="480" w:lineRule="atLeas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A：结合</w:t>
            </w:r>
            <w:r w:rsidR="002373B7">
              <w:rPr>
                <w:rFonts w:ascii="宋体" w:eastAsia="宋体" w:hAnsi="宋体" w:cs="Times New Roman" w:hint="eastAsia"/>
                <w:bCs/>
                <w:iCs/>
                <w:color w:val="000000"/>
                <w:sz w:val="24"/>
                <w:szCs w:val="24"/>
              </w:rPr>
              <w:t>2</w:t>
            </w:r>
            <w:r w:rsidR="002373B7">
              <w:rPr>
                <w:rFonts w:ascii="宋体" w:eastAsia="宋体" w:hAnsi="宋体" w:cs="Times New Roman"/>
                <w:bCs/>
                <w:iCs/>
                <w:color w:val="000000"/>
                <w:sz w:val="24"/>
                <w:szCs w:val="24"/>
              </w:rPr>
              <w:t>024</w:t>
            </w:r>
            <w:r w:rsidR="002373B7">
              <w:rPr>
                <w:rFonts w:ascii="宋体" w:eastAsia="宋体" w:hAnsi="宋体" w:cs="Times New Roman" w:hint="eastAsia"/>
                <w:bCs/>
                <w:iCs/>
                <w:color w:val="000000"/>
                <w:sz w:val="24"/>
                <w:szCs w:val="24"/>
              </w:rPr>
              <w:t>年发布的第一代</w:t>
            </w:r>
            <w:proofErr w:type="gramStart"/>
            <w:r>
              <w:rPr>
                <w:rFonts w:ascii="宋体" w:eastAsia="宋体" w:hAnsi="宋体" w:cs="Times New Roman" w:hint="eastAsia"/>
                <w:bCs/>
                <w:iCs/>
                <w:color w:val="000000"/>
                <w:sz w:val="24"/>
                <w:szCs w:val="24"/>
              </w:rPr>
              <w:t>微储产品</w:t>
            </w:r>
            <w:proofErr w:type="gramEnd"/>
            <w:r w:rsidR="002373B7">
              <w:rPr>
                <w:rFonts w:ascii="宋体" w:eastAsia="宋体" w:hAnsi="宋体" w:cs="Times New Roman" w:hint="eastAsia"/>
                <w:bCs/>
                <w:iCs/>
                <w:color w:val="000000"/>
                <w:sz w:val="24"/>
                <w:szCs w:val="24"/>
              </w:rPr>
              <w:t>销售情况及市场反响，</w:t>
            </w:r>
            <w:r w:rsidR="002373B7">
              <w:rPr>
                <w:rFonts w:ascii="宋体" w:eastAsia="宋体" w:hAnsi="宋体" w:cs="Times New Roman" w:hint="eastAsia"/>
                <w:bCs/>
                <w:iCs/>
                <w:color w:val="000000"/>
                <w:sz w:val="24"/>
                <w:szCs w:val="24"/>
              </w:rPr>
              <w:lastRenderedPageBreak/>
              <w:t>公司后续会更加关注</w:t>
            </w:r>
            <w:proofErr w:type="gramStart"/>
            <w:r w:rsidR="002373B7">
              <w:rPr>
                <w:rFonts w:ascii="宋体" w:eastAsia="宋体" w:hAnsi="宋体" w:cs="Times New Roman" w:hint="eastAsia"/>
                <w:bCs/>
                <w:iCs/>
                <w:color w:val="000000"/>
                <w:sz w:val="24"/>
                <w:szCs w:val="24"/>
              </w:rPr>
              <w:t>微储产</w:t>
            </w:r>
            <w:proofErr w:type="gramEnd"/>
            <w:r w:rsidR="002373B7">
              <w:rPr>
                <w:rFonts w:ascii="宋体" w:eastAsia="宋体" w:hAnsi="宋体" w:cs="Times New Roman" w:hint="eastAsia"/>
                <w:bCs/>
                <w:iCs/>
                <w:color w:val="000000"/>
                <w:sz w:val="24"/>
                <w:szCs w:val="24"/>
              </w:rPr>
              <w:t>品T</w:t>
            </w:r>
            <w:r w:rsidR="002373B7">
              <w:rPr>
                <w:rFonts w:ascii="宋体" w:eastAsia="宋体" w:hAnsi="宋体" w:cs="Times New Roman"/>
                <w:bCs/>
                <w:iCs/>
                <w:color w:val="000000"/>
                <w:sz w:val="24"/>
                <w:szCs w:val="24"/>
              </w:rPr>
              <w:t>o C</w:t>
            </w:r>
            <w:r w:rsidR="002373B7">
              <w:rPr>
                <w:rFonts w:ascii="宋体" w:eastAsia="宋体" w:hAnsi="宋体" w:cs="Times New Roman" w:hint="eastAsia"/>
                <w:bCs/>
                <w:iCs/>
                <w:color w:val="000000"/>
                <w:sz w:val="24"/>
                <w:szCs w:val="24"/>
              </w:rPr>
              <w:t>的属性，</w:t>
            </w:r>
            <w:r>
              <w:rPr>
                <w:rFonts w:ascii="宋体" w:eastAsia="宋体" w:hAnsi="宋体" w:cs="Times New Roman" w:hint="eastAsia"/>
                <w:bCs/>
                <w:iCs/>
                <w:color w:val="000000"/>
                <w:sz w:val="24"/>
                <w:szCs w:val="24"/>
              </w:rPr>
              <w:t>优化功能以及销售方案</w:t>
            </w:r>
            <w:r w:rsidR="002373B7">
              <w:rPr>
                <w:rFonts w:ascii="宋体" w:eastAsia="宋体" w:hAnsi="宋体" w:cs="Times New Roman" w:hint="eastAsia"/>
                <w:bCs/>
                <w:iCs/>
                <w:color w:val="000000"/>
                <w:sz w:val="24"/>
                <w:szCs w:val="24"/>
              </w:rPr>
              <w:t>，</w:t>
            </w:r>
            <w:r>
              <w:rPr>
                <w:rFonts w:ascii="宋体" w:eastAsia="宋体" w:hAnsi="宋体" w:cs="Times New Roman" w:hint="eastAsia"/>
                <w:bCs/>
                <w:iCs/>
                <w:color w:val="000000"/>
                <w:sz w:val="24"/>
                <w:szCs w:val="24"/>
              </w:rPr>
              <w:t>预计</w:t>
            </w:r>
            <w:r w:rsidR="002373B7">
              <w:rPr>
                <w:rFonts w:ascii="宋体" w:eastAsia="宋体" w:hAnsi="宋体" w:cs="Times New Roman" w:hint="eastAsia"/>
                <w:bCs/>
                <w:iCs/>
                <w:color w:val="000000"/>
                <w:sz w:val="24"/>
                <w:szCs w:val="24"/>
              </w:rPr>
              <w:t>新一代</w:t>
            </w:r>
            <w:proofErr w:type="gramStart"/>
            <w:r w:rsidR="002373B7">
              <w:rPr>
                <w:rFonts w:ascii="宋体" w:eastAsia="宋体" w:hAnsi="宋体" w:cs="Times New Roman" w:hint="eastAsia"/>
                <w:bCs/>
                <w:iCs/>
                <w:color w:val="000000"/>
                <w:sz w:val="24"/>
                <w:szCs w:val="24"/>
              </w:rPr>
              <w:t>微储产</w:t>
            </w:r>
            <w:proofErr w:type="gramEnd"/>
            <w:r w:rsidR="002373B7">
              <w:rPr>
                <w:rFonts w:ascii="宋体" w:eastAsia="宋体" w:hAnsi="宋体" w:cs="Times New Roman" w:hint="eastAsia"/>
                <w:bCs/>
                <w:iCs/>
                <w:color w:val="000000"/>
                <w:sz w:val="24"/>
                <w:szCs w:val="24"/>
              </w:rPr>
              <w:t>品将于2</w:t>
            </w:r>
            <w:r w:rsidR="002373B7">
              <w:rPr>
                <w:rFonts w:ascii="宋体" w:eastAsia="宋体" w:hAnsi="宋体" w:cs="Times New Roman"/>
                <w:bCs/>
                <w:iCs/>
                <w:color w:val="000000"/>
                <w:sz w:val="24"/>
                <w:szCs w:val="24"/>
              </w:rPr>
              <w:t>025</w:t>
            </w:r>
            <w:r w:rsidR="002373B7">
              <w:rPr>
                <w:rFonts w:ascii="宋体" w:eastAsia="宋体" w:hAnsi="宋体" w:cs="Times New Roman" w:hint="eastAsia"/>
                <w:bCs/>
                <w:iCs/>
                <w:color w:val="000000"/>
                <w:sz w:val="24"/>
                <w:szCs w:val="24"/>
              </w:rPr>
              <w:t>年</w:t>
            </w:r>
            <w:r>
              <w:rPr>
                <w:rFonts w:ascii="宋体" w:eastAsia="宋体" w:hAnsi="宋体" w:cs="Times New Roman" w:hint="eastAsia"/>
                <w:bCs/>
                <w:iCs/>
                <w:color w:val="000000"/>
                <w:sz w:val="24"/>
                <w:szCs w:val="24"/>
              </w:rPr>
              <w:t>下半年发布。</w:t>
            </w:r>
          </w:p>
          <w:p w:rsidR="00D73E91" w:rsidRPr="00257B2E" w:rsidRDefault="00D73E91" w:rsidP="00166961">
            <w:pPr>
              <w:spacing w:line="480" w:lineRule="atLeast"/>
              <w:rPr>
                <w:rFonts w:ascii="宋体" w:eastAsia="宋体" w:hAnsi="宋体" w:cs="Times New Roman"/>
                <w:b/>
                <w:bCs/>
                <w:iCs/>
                <w:color w:val="000000"/>
                <w:sz w:val="24"/>
                <w:szCs w:val="24"/>
              </w:rPr>
            </w:pPr>
            <w:r w:rsidRPr="00257B2E">
              <w:rPr>
                <w:rFonts w:ascii="宋体" w:eastAsia="宋体" w:hAnsi="宋体" w:cs="Times New Roman" w:hint="eastAsia"/>
                <w:b/>
                <w:bCs/>
                <w:iCs/>
                <w:color w:val="000000"/>
                <w:sz w:val="24"/>
                <w:szCs w:val="24"/>
              </w:rPr>
              <w:t>Q</w:t>
            </w:r>
            <w:r w:rsidR="00257B2E" w:rsidRPr="00257B2E">
              <w:rPr>
                <w:rFonts w:ascii="宋体" w:eastAsia="宋体" w:hAnsi="宋体" w:cs="Times New Roman"/>
                <w:b/>
                <w:bCs/>
                <w:iCs/>
                <w:color w:val="000000"/>
                <w:sz w:val="24"/>
                <w:szCs w:val="24"/>
              </w:rPr>
              <w:t>7</w:t>
            </w:r>
            <w:r w:rsidRPr="00257B2E">
              <w:rPr>
                <w:rFonts w:ascii="宋体" w:eastAsia="宋体" w:hAnsi="宋体" w:cs="Times New Roman"/>
                <w:b/>
                <w:bCs/>
                <w:iCs/>
                <w:color w:val="000000"/>
                <w:sz w:val="24"/>
                <w:szCs w:val="24"/>
              </w:rPr>
              <w:t>:</w:t>
            </w:r>
            <w:r w:rsidRPr="00257B2E">
              <w:rPr>
                <w:rFonts w:ascii="宋体" w:eastAsia="宋体" w:hAnsi="宋体" w:cs="Times New Roman" w:hint="eastAsia"/>
                <w:b/>
                <w:bCs/>
                <w:iCs/>
                <w:color w:val="000000"/>
                <w:sz w:val="24"/>
                <w:szCs w:val="24"/>
              </w:rPr>
              <w:t>北美</w:t>
            </w:r>
            <w:r w:rsidR="00257B2E" w:rsidRPr="00257B2E">
              <w:rPr>
                <w:rFonts w:ascii="宋体" w:eastAsia="宋体" w:hAnsi="宋体" w:cs="Times New Roman" w:hint="eastAsia"/>
                <w:b/>
                <w:bCs/>
                <w:iCs/>
                <w:color w:val="000000"/>
                <w:sz w:val="24"/>
                <w:szCs w:val="24"/>
              </w:rPr>
              <w:t>业务</w:t>
            </w:r>
            <w:r w:rsidRPr="00257B2E">
              <w:rPr>
                <w:rFonts w:ascii="宋体" w:eastAsia="宋体" w:hAnsi="宋体" w:cs="Times New Roman" w:hint="eastAsia"/>
                <w:b/>
                <w:bCs/>
                <w:iCs/>
                <w:color w:val="000000"/>
                <w:sz w:val="24"/>
                <w:szCs w:val="24"/>
              </w:rPr>
              <w:t>下降的原因，</w:t>
            </w:r>
            <w:r w:rsidR="00257B2E" w:rsidRPr="00257B2E">
              <w:rPr>
                <w:rFonts w:ascii="宋体" w:eastAsia="宋体" w:hAnsi="宋体" w:cs="Times New Roman" w:hint="eastAsia"/>
                <w:b/>
                <w:bCs/>
                <w:iCs/>
                <w:color w:val="000000"/>
                <w:sz w:val="24"/>
                <w:szCs w:val="24"/>
              </w:rPr>
              <w:t>以及公司在</w:t>
            </w:r>
            <w:r w:rsidRPr="00257B2E">
              <w:rPr>
                <w:rFonts w:ascii="宋体" w:eastAsia="宋体" w:hAnsi="宋体" w:cs="Times New Roman" w:hint="eastAsia"/>
                <w:b/>
                <w:bCs/>
                <w:iCs/>
                <w:color w:val="000000"/>
                <w:sz w:val="24"/>
                <w:szCs w:val="24"/>
              </w:rPr>
              <w:t>墨西哥</w:t>
            </w:r>
            <w:r w:rsidR="00257B2E" w:rsidRPr="00257B2E">
              <w:rPr>
                <w:rFonts w:ascii="宋体" w:eastAsia="宋体" w:hAnsi="宋体" w:cs="Times New Roman" w:hint="eastAsia"/>
                <w:b/>
                <w:bCs/>
                <w:iCs/>
                <w:color w:val="000000"/>
                <w:sz w:val="24"/>
                <w:szCs w:val="24"/>
              </w:rPr>
              <w:t>设立</w:t>
            </w:r>
            <w:r w:rsidRPr="00257B2E">
              <w:rPr>
                <w:rFonts w:ascii="宋体" w:eastAsia="宋体" w:hAnsi="宋体" w:cs="Times New Roman" w:hint="eastAsia"/>
                <w:b/>
                <w:bCs/>
                <w:iCs/>
                <w:color w:val="000000"/>
                <w:sz w:val="24"/>
                <w:szCs w:val="24"/>
              </w:rPr>
              <w:t>工厂</w:t>
            </w:r>
            <w:r w:rsidR="00257B2E" w:rsidRPr="00257B2E">
              <w:rPr>
                <w:rFonts w:ascii="宋体" w:eastAsia="宋体" w:hAnsi="宋体" w:cs="Times New Roman" w:hint="eastAsia"/>
                <w:b/>
                <w:bCs/>
                <w:iCs/>
                <w:color w:val="000000"/>
                <w:sz w:val="24"/>
                <w:szCs w:val="24"/>
              </w:rPr>
              <w:t>是否带来机遇？</w:t>
            </w:r>
          </w:p>
          <w:p w:rsidR="00D73E91" w:rsidRDefault="00D73E91" w:rsidP="00257B2E">
            <w:pPr>
              <w:spacing w:line="480" w:lineRule="atLeas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A：北美</w:t>
            </w:r>
            <w:r w:rsidR="00257B2E">
              <w:rPr>
                <w:rFonts w:ascii="宋体" w:eastAsia="宋体" w:hAnsi="宋体" w:cs="Times New Roman" w:hint="eastAsia"/>
                <w:bCs/>
                <w:iCs/>
                <w:color w:val="000000"/>
                <w:sz w:val="24"/>
                <w:szCs w:val="24"/>
              </w:rPr>
              <w:t>业务</w:t>
            </w:r>
            <w:r>
              <w:rPr>
                <w:rFonts w:ascii="宋体" w:eastAsia="宋体" w:hAnsi="宋体" w:cs="Times New Roman" w:hint="eastAsia"/>
                <w:bCs/>
                <w:iCs/>
                <w:color w:val="000000"/>
                <w:sz w:val="24"/>
                <w:szCs w:val="24"/>
              </w:rPr>
              <w:t>下降的核心是大经销商对于美国本土的补贴政策持观望态度，导致销量下滑。</w:t>
            </w:r>
            <w:r w:rsidR="00257B2E">
              <w:rPr>
                <w:rFonts w:ascii="宋体" w:eastAsia="宋体" w:hAnsi="宋体" w:cs="Times New Roman" w:hint="eastAsia"/>
                <w:bCs/>
                <w:iCs/>
                <w:color w:val="000000"/>
                <w:sz w:val="24"/>
                <w:szCs w:val="24"/>
              </w:rPr>
              <w:t>公司</w:t>
            </w:r>
            <w:r>
              <w:rPr>
                <w:rFonts w:ascii="宋体" w:eastAsia="宋体" w:hAnsi="宋体" w:cs="Times New Roman" w:hint="eastAsia"/>
                <w:bCs/>
                <w:iCs/>
                <w:color w:val="000000"/>
                <w:sz w:val="24"/>
                <w:szCs w:val="24"/>
              </w:rPr>
              <w:t>在美国</w:t>
            </w:r>
            <w:r w:rsidR="00257B2E">
              <w:rPr>
                <w:rFonts w:ascii="宋体" w:eastAsia="宋体" w:hAnsi="宋体" w:cs="Times New Roman" w:hint="eastAsia"/>
                <w:bCs/>
                <w:iCs/>
                <w:color w:val="000000"/>
                <w:sz w:val="24"/>
                <w:szCs w:val="24"/>
              </w:rPr>
              <w:t>具有一定的</w:t>
            </w:r>
            <w:r>
              <w:rPr>
                <w:rFonts w:ascii="宋体" w:eastAsia="宋体" w:hAnsi="宋体" w:cs="Times New Roman" w:hint="eastAsia"/>
                <w:bCs/>
                <w:iCs/>
                <w:color w:val="000000"/>
                <w:sz w:val="24"/>
                <w:szCs w:val="24"/>
              </w:rPr>
              <w:t>品牌影响力，但是要突破美国制造这个问题，对于公司即是</w:t>
            </w:r>
            <w:r w:rsidR="00257B2E">
              <w:rPr>
                <w:rFonts w:ascii="宋体" w:eastAsia="宋体" w:hAnsi="宋体" w:cs="Times New Roman" w:hint="eastAsia"/>
                <w:bCs/>
                <w:iCs/>
                <w:color w:val="000000"/>
                <w:sz w:val="24"/>
                <w:szCs w:val="24"/>
              </w:rPr>
              <w:t>机遇</w:t>
            </w:r>
            <w:r>
              <w:rPr>
                <w:rFonts w:ascii="宋体" w:eastAsia="宋体" w:hAnsi="宋体" w:cs="Times New Roman" w:hint="eastAsia"/>
                <w:bCs/>
                <w:iCs/>
                <w:color w:val="000000"/>
                <w:sz w:val="24"/>
                <w:szCs w:val="24"/>
              </w:rPr>
              <w:t>也是挑战。</w:t>
            </w:r>
            <w:r w:rsidR="00257B2E" w:rsidRPr="00257B2E">
              <w:rPr>
                <w:rFonts w:ascii="宋体" w:eastAsia="宋体" w:hAnsi="宋体" w:cs="Times New Roman" w:hint="eastAsia"/>
                <w:bCs/>
                <w:iCs/>
                <w:color w:val="000000"/>
                <w:sz w:val="24"/>
                <w:szCs w:val="24"/>
              </w:rPr>
              <w:t>在墨西哥的制造基地正式投产，有利于公司在全球经济复杂多变的环境中能更灵活地应对市场波动和政策变化，能够提升供应链的稳健性和产品的服务响应速度，支持公司的业务扩展。</w:t>
            </w:r>
          </w:p>
          <w:p w:rsidR="00D73E91" w:rsidRDefault="00D73E91" w:rsidP="00166961">
            <w:pPr>
              <w:spacing w:line="480" w:lineRule="atLeast"/>
              <w:rPr>
                <w:rFonts w:ascii="宋体" w:eastAsia="宋体" w:hAnsi="宋体" w:cs="Times New Roman"/>
                <w:bCs/>
                <w:iCs/>
                <w:color w:val="000000"/>
                <w:sz w:val="24"/>
                <w:szCs w:val="24"/>
              </w:rPr>
            </w:pPr>
          </w:p>
        </w:tc>
      </w:tr>
      <w:tr w:rsidR="00D73E91" w:rsidTr="00166961">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D73E91" w:rsidRDefault="00D73E91" w:rsidP="00166961">
            <w:pPr>
              <w:spacing w:line="480" w:lineRule="atLeast"/>
              <w:jc w:val="left"/>
              <w:rPr>
                <w:rFonts w:ascii="宋体" w:eastAsia="宋体" w:hAnsi="宋体" w:cs="Times New Roman"/>
                <w:bCs/>
                <w:iCs/>
                <w:color w:val="000000"/>
                <w:sz w:val="24"/>
                <w:szCs w:val="24"/>
              </w:rPr>
            </w:pPr>
            <w:r>
              <w:rPr>
                <w:rFonts w:ascii="宋体" w:eastAsia="宋体" w:hAnsi="宋体" w:cs="Times New Roman"/>
                <w:bCs/>
                <w:iCs/>
                <w:color w:val="000000"/>
                <w:sz w:val="24"/>
                <w:szCs w:val="24"/>
              </w:rPr>
              <w:lastRenderedPageBreak/>
              <w:t>附件清单</w:t>
            </w:r>
          </w:p>
        </w:tc>
        <w:tc>
          <w:tcPr>
            <w:tcW w:w="6614" w:type="dxa"/>
            <w:tcBorders>
              <w:top w:val="single" w:sz="4" w:space="0" w:color="auto"/>
              <w:left w:val="single" w:sz="4" w:space="0" w:color="auto"/>
              <w:bottom w:val="single" w:sz="4" w:space="0" w:color="auto"/>
              <w:right w:val="single" w:sz="4" w:space="0" w:color="auto"/>
            </w:tcBorders>
            <w:shd w:val="clear" w:color="auto" w:fill="auto"/>
          </w:tcPr>
          <w:p w:rsidR="00D73E91" w:rsidRDefault="00D73E91" w:rsidP="00166961">
            <w:pPr>
              <w:spacing w:line="480" w:lineRule="atLeas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无</w:t>
            </w:r>
          </w:p>
        </w:tc>
      </w:tr>
      <w:tr w:rsidR="00D73E91" w:rsidTr="00166961">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D73E91" w:rsidRDefault="00D73E91" w:rsidP="00166961">
            <w:pPr>
              <w:spacing w:line="480" w:lineRule="atLeast"/>
              <w:jc w:val="lef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关于本次活动是否涉及应当披露重大信息的说明</w:t>
            </w:r>
          </w:p>
        </w:tc>
        <w:tc>
          <w:tcPr>
            <w:tcW w:w="6614" w:type="dxa"/>
            <w:tcBorders>
              <w:top w:val="single" w:sz="4" w:space="0" w:color="auto"/>
              <w:left w:val="single" w:sz="4" w:space="0" w:color="auto"/>
              <w:bottom w:val="single" w:sz="4" w:space="0" w:color="auto"/>
              <w:right w:val="single" w:sz="4" w:space="0" w:color="auto"/>
            </w:tcBorders>
            <w:shd w:val="clear" w:color="auto" w:fill="auto"/>
            <w:vAlign w:val="center"/>
          </w:tcPr>
          <w:p w:rsidR="00D73E91" w:rsidRDefault="00D73E91" w:rsidP="00166961">
            <w:pPr>
              <w:spacing w:line="480" w:lineRule="atLeas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本次活动不涉及应当披露重大信息。</w:t>
            </w:r>
          </w:p>
        </w:tc>
      </w:tr>
      <w:tr w:rsidR="00D73E91" w:rsidTr="00166961">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D73E91" w:rsidRDefault="00D73E91" w:rsidP="00166961">
            <w:pPr>
              <w:spacing w:line="480" w:lineRule="atLeast"/>
              <w:jc w:val="lef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日期</w:t>
            </w:r>
          </w:p>
        </w:tc>
        <w:tc>
          <w:tcPr>
            <w:tcW w:w="6614" w:type="dxa"/>
            <w:tcBorders>
              <w:top w:val="single" w:sz="4" w:space="0" w:color="auto"/>
              <w:left w:val="single" w:sz="4" w:space="0" w:color="auto"/>
              <w:bottom w:val="single" w:sz="4" w:space="0" w:color="auto"/>
              <w:right w:val="single" w:sz="4" w:space="0" w:color="auto"/>
            </w:tcBorders>
            <w:shd w:val="clear" w:color="auto" w:fill="auto"/>
          </w:tcPr>
          <w:p w:rsidR="00D73E91" w:rsidRDefault="00D73E91" w:rsidP="00166961">
            <w:pPr>
              <w:spacing w:line="480" w:lineRule="atLeas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202</w:t>
            </w:r>
            <w:r>
              <w:rPr>
                <w:rFonts w:ascii="宋体" w:eastAsia="宋体" w:hAnsi="宋体" w:cs="Times New Roman"/>
                <w:bCs/>
                <w:iCs/>
                <w:color w:val="000000"/>
                <w:sz w:val="24"/>
                <w:szCs w:val="24"/>
              </w:rPr>
              <w:t>5</w:t>
            </w:r>
            <w:r>
              <w:rPr>
                <w:rFonts w:ascii="宋体" w:eastAsia="宋体" w:hAnsi="宋体" w:cs="Times New Roman" w:hint="eastAsia"/>
                <w:bCs/>
                <w:iCs/>
                <w:color w:val="000000"/>
                <w:sz w:val="24"/>
                <w:szCs w:val="24"/>
              </w:rPr>
              <w:t>年</w:t>
            </w:r>
            <w:r>
              <w:rPr>
                <w:rFonts w:ascii="宋体" w:eastAsia="宋体" w:hAnsi="宋体" w:cs="Times New Roman"/>
                <w:bCs/>
                <w:iCs/>
                <w:color w:val="000000"/>
                <w:sz w:val="24"/>
                <w:szCs w:val="24"/>
              </w:rPr>
              <w:t>4</w:t>
            </w:r>
            <w:r>
              <w:rPr>
                <w:rFonts w:ascii="宋体" w:eastAsia="宋体" w:hAnsi="宋体" w:cs="Times New Roman" w:hint="eastAsia"/>
                <w:bCs/>
                <w:iCs/>
                <w:color w:val="000000"/>
                <w:sz w:val="24"/>
                <w:szCs w:val="24"/>
              </w:rPr>
              <w:t>月</w:t>
            </w:r>
            <w:r>
              <w:rPr>
                <w:rFonts w:ascii="宋体" w:eastAsia="宋体" w:hAnsi="宋体" w:cs="Times New Roman"/>
                <w:bCs/>
                <w:iCs/>
                <w:color w:val="000000"/>
                <w:sz w:val="24"/>
                <w:szCs w:val="24"/>
              </w:rPr>
              <w:t>30</w:t>
            </w:r>
            <w:r>
              <w:rPr>
                <w:rFonts w:ascii="宋体" w:eastAsia="宋体" w:hAnsi="宋体" w:cs="Times New Roman" w:hint="eastAsia"/>
                <w:bCs/>
                <w:iCs/>
                <w:color w:val="000000"/>
                <w:sz w:val="24"/>
                <w:szCs w:val="24"/>
              </w:rPr>
              <w:t>日</w:t>
            </w:r>
          </w:p>
        </w:tc>
      </w:tr>
    </w:tbl>
    <w:p w:rsidR="00D73E91" w:rsidRDefault="00D73E91" w:rsidP="00D73E91">
      <w:pPr>
        <w:rPr>
          <w:rFonts w:ascii="等线" w:eastAsia="等线" w:hAnsi="等线" w:cs="Times New Roman"/>
        </w:rPr>
      </w:pPr>
    </w:p>
    <w:p w:rsidR="00D13A54" w:rsidRDefault="00D13A54"/>
    <w:sectPr w:rsidR="00D13A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F5F3D"/>
    <w:multiLevelType w:val="multilevel"/>
    <w:tmpl w:val="1CDF5F3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E91"/>
    <w:rsid w:val="000166D3"/>
    <w:rsid w:val="000168D1"/>
    <w:rsid w:val="0003761B"/>
    <w:rsid w:val="00064C39"/>
    <w:rsid w:val="00076C6A"/>
    <w:rsid w:val="00095414"/>
    <w:rsid w:val="000A1CE2"/>
    <w:rsid w:val="000A6CD0"/>
    <w:rsid w:val="000B4507"/>
    <w:rsid w:val="000F7D93"/>
    <w:rsid w:val="001002CA"/>
    <w:rsid w:val="00102C60"/>
    <w:rsid w:val="001112DA"/>
    <w:rsid w:val="001152CC"/>
    <w:rsid w:val="00117FC1"/>
    <w:rsid w:val="00124CE2"/>
    <w:rsid w:val="0013646D"/>
    <w:rsid w:val="00170DD8"/>
    <w:rsid w:val="00173ACD"/>
    <w:rsid w:val="001857C0"/>
    <w:rsid w:val="001968BA"/>
    <w:rsid w:val="001A1AB5"/>
    <w:rsid w:val="001A1D4C"/>
    <w:rsid w:val="001B2AE1"/>
    <w:rsid w:val="001B58D3"/>
    <w:rsid w:val="001C73C8"/>
    <w:rsid w:val="001D7C22"/>
    <w:rsid w:val="001F73BD"/>
    <w:rsid w:val="00203B9F"/>
    <w:rsid w:val="00204033"/>
    <w:rsid w:val="00216F5D"/>
    <w:rsid w:val="00227047"/>
    <w:rsid w:val="00227C13"/>
    <w:rsid w:val="0023015E"/>
    <w:rsid w:val="002373B7"/>
    <w:rsid w:val="00237538"/>
    <w:rsid w:val="00241CC9"/>
    <w:rsid w:val="002440F3"/>
    <w:rsid w:val="00244861"/>
    <w:rsid w:val="00253AC0"/>
    <w:rsid w:val="00257B2E"/>
    <w:rsid w:val="00262D97"/>
    <w:rsid w:val="00264982"/>
    <w:rsid w:val="00275967"/>
    <w:rsid w:val="00283230"/>
    <w:rsid w:val="00284435"/>
    <w:rsid w:val="00292C68"/>
    <w:rsid w:val="00297F4A"/>
    <w:rsid w:val="002B45E8"/>
    <w:rsid w:val="002B5ADB"/>
    <w:rsid w:val="002C2502"/>
    <w:rsid w:val="002C2A3B"/>
    <w:rsid w:val="002C70B6"/>
    <w:rsid w:val="002D0A99"/>
    <w:rsid w:val="002D5327"/>
    <w:rsid w:val="00305C43"/>
    <w:rsid w:val="00313795"/>
    <w:rsid w:val="003210DC"/>
    <w:rsid w:val="00325FD0"/>
    <w:rsid w:val="003271D9"/>
    <w:rsid w:val="0033038C"/>
    <w:rsid w:val="003417DC"/>
    <w:rsid w:val="00341F15"/>
    <w:rsid w:val="00367545"/>
    <w:rsid w:val="0038283F"/>
    <w:rsid w:val="003B1C47"/>
    <w:rsid w:val="003B7B78"/>
    <w:rsid w:val="003D391D"/>
    <w:rsid w:val="003E5146"/>
    <w:rsid w:val="003F3769"/>
    <w:rsid w:val="003F6D4D"/>
    <w:rsid w:val="00401280"/>
    <w:rsid w:val="00402621"/>
    <w:rsid w:val="00403E03"/>
    <w:rsid w:val="004078A8"/>
    <w:rsid w:val="004117F4"/>
    <w:rsid w:val="00413A8B"/>
    <w:rsid w:val="00415C0F"/>
    <w:rsid w:val="004207DD"/>
    <w:rsid w:val="00425801"/>
    <w:rsid w:val="00442552"/>
    <w:rsid w:val="00446A06"/>
    <w:rsid w:val="0045187A"/>
    <w:rsid w:val="00455524"/>
    <w:rsid w:val="00456B20"/>
    <w:rsid w:val="00492BCB"/>
    <w:rsid w:val="00494F6B"/>
    <w:rsid w:val="004B651A"/>
    <w:rsid w:val="004C2056"/>
    <w:rsid w:val="004C3B15"/>
    <w:rsid w:val="004D18A3"/>
    <w:rsid w:val="00514F25"/>
    <w:rsid w:val="00516368"/>
    <w:rsid w:val="005174A3"/>
    <w:rsid w:val="00521850"/>
    <w:rsid w:val="005324CD"/>
    <w:rsid w:val="0053725C"/>
    <w:rsid w:val="0055308B"/>
    <w:rsid w:val="005545B5"/>
    <w:rsid w:val="00557BC3"/>
    <w:rsid w:val="00576080"/>
    <w:rsid w:val="005828E1"/>
    <w:rsid w:val="0058697D"/>
    <w:rsid w:val="00592564"/>
    <w:rsid w:val="005B2D72"/>
    <w:rsid w:val="005C796E"/>
    <w:rsid w:val="005D12D2"/>
    <w:rsid w:val="005D202A"/>
    <w:rsid w:val="005D535D"/>
    <w:rsid w:val="005E1924"/>
    <w:rsid w:val="005E6AD6"/>
    <w:rsid w:val="005F2A03"/>
    <w:rsid w:val="005F40ED"/>
    <w:rsid w:val="0060321C"/>
    <w:rsid w:val="00611DD0"/>
    <w:rsid w:val="00625DA4"/>
    <w:rsid w:val="00661985"/>
    <w:rsid w:val="006641C8"/>
    <w:rsid w:val="00673326"/>
    <w:rsid w:val="006814BA"/>
    <w:rsid w:val="00684A2E"/>
    <w:rsid w:val="00692C79"/>
    <w:rsid w:val="00695CD0"/>
    <w:rsid w:val="006A7F26"/>
    <w:rsid w:val="006B2347"/>
    <w:rsid w:val="006B67B9"/>
    <w:rsid w:val="006D6D25"/>
    <w:rsid w:val="006E0C60"/>
    <w:rsid w:val="00705120"/>
    <w:rsid w:val="00711D55"/>
    <w:rsid w:val="007141D1"/>
    <w:rsid w:val="00714AB6"/>
    <w:rsid w:val="007259DA"/>
    <w:rsid w:val="00725A08"/>
    <w:rsid w:val="0073676E"/>
    <w:rsid w:val="00745FFD"/>
    <w:rsid w:val="00747BA5"/>
    <w:rsid w:val="00762953"/>
    <w:rsid w:val="00763D4B"/>
    <w:rsid w:val="00764529"/>
    <w:rsid w:val="00771244"/>
    <w:rsid w:val="007842D2"/>
    <w:rsid w:val="00797AAA"/>
    <w:rsid w:val="007A021A"/>
    <w:rsid w:val="007B4502"/>
    <w:rsid w:val="007B5EE2"/>
    <w:rsid w:val="007C04A2"/>
    <w:rsid w:val="007C1279"/>
    <w:rsid w:val="007C5FDB"/>
    <w:rsid w:val="007C70A5"/>
    <w:rsid w:val="007D0837"/>
    <w:rsid w:val="007E0FDB"/>
    <w:rsid w:val="007E20B0"/>
    <w:rsid w:val="007F4856"/>
    <w:rsid w:val="007F63C7"/>
    <w:rsid w:val="008022E5"/>
    <w:rsid w:val="0081085F"/>
    <w:rsid w:val="00815C9D"/>
    <w:rsid w:val="00827405"/>
    <w:rsid w:val="0083025B"/>
    <w:rsid w:val="008417E0"/>
    <w:rsid w:val="0085651F"/>
    <w:rsid w:val="00864DAF"/>
    <w:rsid w:val="00876885"/>
    <w:rsid w:val="008840BB"/>
    <w:rsid w:val="00884313"/>
    <w:rsid w:val="00894B23"/>
    <w:rsid w:val="008A374B"/>
    <w:rsid w:val="008C5E09"/>
    <w:rsid w:val="008E7060"/>
    <w:rsid w:val="008F0EB4"/>
    <w:rsid w:val="009018C4"/>
    <w:rsid w:val="009132E2"/>
    <w:rsid w:val="00925C09"/>
    <w:rsid w:val="00933D5D"/>
    <w:rsid w:val="00934653"/>
    <w:rsid w:val="009360E3"/>
    <w:rsid w:val="0094626B"/>
    <w:rsid w:val="009525A8"/>
    <w:rsid w:val="00953A36"/>
    <w:rsid w:val="009865A0"/>
    <w:rsid w:val="00997A78"/>
    <w:rsid w:val="009B5642"/>
    <w:rsid w:val="009B6C1F"/>
    <w:rsid w:val="009C02D6"/>
    <w:rsid w:val="009D1D2C"/>
    <w:rsid w:val="009D2481"/>
    <w:rsid w:val="009D6A0D"/>
    <w:rsid w:val="009E5A93"/>
    <w:rsid w:val="009E67FE"/>
    <w:rsid w:val="00A0436B"/>
    <w:rsid w:val="00A05B63"/>
    <w:rsid w:val="00A05E09"/>
    <w:rsid w:val="00A1018E"/>
    <w:rsid w:val="00A17194"/>
    <w:rsid w:val="00A3196E"/>
    <w:rsid w:val="00A32845"/>
    <w:rsid w:val="00A50DF6"/>
    <w:rsid w:val="00A52F67"/>
    <w:rsid w:val="00A86CCA"/>
    <w:rsid w:val="00A945D5"/>
    <w:rsid w:val="00AA7EF6"/>
    <w:rsid w:val="00AB122B"/>
    <w:rsid w:val="00AB58AD"/>
    <w:rsid w:val="00AB5F39"/>
    <w:rsid w:val="00AD5BFF"/>
    <w:rsid w:val="00AD76D1"/>
    <w:rsid w:val="00AE23D4"/>
    <w:rsid w:val="00B005A9"/>
    <w:rsid w:val="00B04757"/>
    <w:rsid w:val="00B077EE"/>
    <w:rsid w:val="00B07DAD"/>
    <w:rsid w:val="00B12177"/>
    <w:rsid w:val="00B16B54"/>
    <w:rsid w:val="00B2134F"/>
    <w:rsid w:val="00B24C0E"/>
    <w:rsid w:val="00B256FD"/>
    <w:rsid w:val="00B34A7A"/>
    <w:rsid w:val="00B54BF4"/>
    <w:rsid w:val="00B66ACA"/>
    <w:rsid w:val="00B70602"/>
    <w:rsid w:val="00B71CA0"/>
    <w:rsid w:val="00B9785C"/>
    <w:rsid w:val="00BA687A"/>
    <w:rsid w:val="00BB2974"/>
    <w:rsid w:val="00BC01B7"/>
    <w:rsid w:val="00BC6745"/>
    <w:rsid w:val="00BC7808"/>
    <w:rsid w:val="00BE32BE"/>
    <w:rsid w:val="00C11CCF"/>
    <w:rsid w:val="00C15CB7"/>
    <w:rsid w:val="00C207B0"/>
    <w:rsid w:val="00C236B1"/>
    <w:rsid w:val="00C23FC7"/>
    <w:rsid w:val="00C376A7"/>
    <w:rsid w:val="00C4464E"/>
    <w:rsid w:val="00C46BCA"/>
    <w:rsid w:val="00C652FC"/>
    <w:rsid w:val="00C67E16"/>
    <w:rsid w:val="00C76B6A"/>
    <w:rsid w:val="00C91F19"/>
    <w:rsid w:val="00CC3F8A"/>
    <w:rsid w:val="00CC70F0"/>
    <w:rsid w:val="00CD1156"/>
    <w:rsid w:val="00CE0BE6"/>
    <w:rsid w:val="00CF20CE"/>
    <w:rsid w:val="00CF4447"/>
    <w:rsid w:val="00D03092"/>
    <w:rsid w:val="00D13A54"/>
    <w:rsid w:val="00D23BEB"/>
    <w:rsid w:val="00D35A2F"/>
    <w:rsid w:val="00D44BBB"/>
    <w:rsid w:val="00D572E8"/>
    <w:rsid w:val="00D57DAB"/>
    <w:rsid w:val="00D609DF"/>
    <w:rsid w:val="00D7007C"/>
    <w:rsid w:val="00D73E91"/>
    <w:rsid w:val="00D84AF9"/>
    <w:rsid w:val="00D94ECA"/>
    <w:rsid w:val="00D971BB"/>
    <w:rsid w:val="00D97F29"/>
    <w:rsid w:val="00DD3239"/>
    <w:rsid w:val="00DF45D8"/>
    <w:rsid w:val="00DF4BAC"/>
    <w:rsid w:val="00E02D6A"/>
    <w:rsid w:val="00E12DDF"/>
    <w:rsid w:val="00E17AD0"/>
    <w:rsid w:val="00E20334"/>
    <w:rsid w:val="00E322CB"/>
    <w:rsid w:val="00E415B7"/>
    <w:rsid w:val="00E504A8"/>
    <w:rsid w:val="00E50653"/>
    <w:rsid w:val="00E5226F"/>
    <w:rsid w:val="00E53416"/>
    <w:rsid w:val="00E606D6"/>
    <w:rsid w:val="00E635E5"/>
    <w:rsid w:val="00E7585E"/>
    <w:rsid w:val="00E8287A"/>
    <w:rsid w:val="00E845FB"/>
    <w:rsid w:val="00EA5B4C"/>
    <w:rsid w:val="00EA70C4"/>
    <w:rsid w:val="00EC2F42"/>
    <w:rsid w:val="00EE7613"/>
    <w:rsid w:val="00EF33B9"/>
    <w:rsid w:val="00EF5F0B"/>
    <w:rsid w:val="00EF6E48"/>
    <w:rsid w:val="00EF7B75"/>
    <w:rsid w:val="00F1037B"/>
    <w:rsid w:val="00F2047E"/>
    <w:rsid w:val="00F20632"/>
    <w:rsid w:val="00F20FB1"/>
    <w:rsid w:val="00F214A4"/>
    <w:rsid w:val="00F2406B"/>
    <w:rsid w:val="00F376F1"/>
    <w:rsid w:val="00F43B1F"/>
    <w:rsid w:val="00F479FB"/>
    <w:rsid w:val="00F71C65"/>
    <w:rsid w:val="00F752E7"/>
    <w:rsid w:val="00F81EB5"/>
    <w:rsid w:val="00F93BDC"/>
    <w:rsid w:val="00F94AD3"/>
    <w:rsid w:val="00F95A54"/>
    <w:rsid w:val="00FA3350"/>
    <w:rsid w:val="00FB3BF6"/>
    <w:rsid w:val="00FC6485"/>
    <w:rsid w:val="00FC7F16"/>
    <w:rsid w:val="00FD03C2"/>
    <w:rsid w:val="00FD591B"/>
    <w:rsid w:val="00FE6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85821"/>
  <w15:chartTrackingRefBased/>
  <w15:docId w15:val="{998E3974-83F2-4D4D-941C-3126240C3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73E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244</Words>
  <Characters>1392</Characters>
  <Application>Microsoft Office Word</Application>
  <DocSecurity>0</DocSecurity>
  <Lines>11</Lines>
  <Paragraphs>3</Paragraphs>
  <ScaleCrop>false</ScaleCrop>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HM</cp:lastModifiedBy>
  <cp:revision>7</cp:revision>
  <dcterms:created xsi:type="dcterms:W3CDTF">2025-05-06T06:08:00Z</dcterms:created>
  <dcterms:modified xsi:type="dcterms:W3CDTF">2025-05-06T09:14:00Z</dcterms:modified>
</cp:coreProperties>
</file>