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DED" w:rsidRDefault="00356540">
      <w:pPr>
        <w:snapToGrid/>
        <w:spacing w:before="0" w:after="220" w:line="360" w:lineRule="auto"/>
        <w:rPr>
          <w:rFonts w:hint="eastAsia"/>
        </w:rPr>
      </w:pPr>
      <w:r>
        <w:rPr>
          <w:rFonts w:ascii="宋体" w:eastAsia="宋体" w:hAnsi="宋体" w:cs="宋体"/>
          <w:b/>
          <w:color w:val="000000"/>
          <w:sz w:val="24"/>
        </w:rPr>
        <w:t>证券代码：688005</w:t>
      </w:r>
      <w:r w:rsidR="00442139">
        <w:rPr>
          <w:rFonts w:ascii="宋体" w:eastAsia="宋体" w:hAnsi="宋体" w:cs="宋体"/>
          <w:b/>
          <w:color w:val="000000"/>
          <w:sz w:val="24"/>
        </w:rPr>
        <w:t xml:space="preserve">               </w:t>
      </w:r>
      <w:r>
        <w:rPr>
          <w:rFonts w:ascii="宋体" w:eastAsia="宋体" w:hAnsi="宋体" w:cs="宋体"/>
          <w:b/>
          <w:color w:val="000000"/>
          <w:sz w:val="24"/>
        </w:rPr>
        <w:t>证券简称：容百科技</w:t>
      </w:r>
      <w:r w:rsidR="00442139">
        <w:rPr>
          <w:rFonts w:ascii="宋体" w:eastAsia="宋体" w:hAnsi="宋体" w:cs="宋体" w:hint="eastAsia"/>
          <w:b/>
          <w:color w:val="000000"/>
          <w:sz w:val="24"/>
        </w:rPr>
        <w:t xml:space="preserve"> </w:t>
      </w:r>
      <w:r w:rsidR="00442139">
        <w:rPr>
          <w:rFonts w:ascii="宋体" w:eastAsia="宋体" w:hAnsi="宋体" w:cs="宋体"/>
          <w:b/>
          <w:color w:val="000000"/>
          <w:sz w:val="24"/>
        </w:rPr>
        <w:t xml:space="preserve">           </w:t>
      </w:r>
      <w:r>
        <w:rPr>
          <w:rFonts w:ascii="宋体" w:eastAsia="宋体" w:hAnsi="宋体" w:cs="宋体"/>
          <w:b/>
          <w:color w:val="000000"/>
          <w:sz w:val="24"/>
        </w:rPr>
        <w:t>编号：2025-002</w:t>
      </w:r>
    </w:p>
    <w:p w:rsidR="00785DED" w:rsidRDefault="00356540">
      <w:pPr>
        <w:snapToGrid/>
        <w:spacing w:before="0" w:after="217" w:line="360" w:lineRule="auto"/>
        <w:ind w:left="4153"/>
        <w:rPr>
          <w:rFonts w:hint="eastAsia"/>
        </w:rPr>
      </w:pPr>
      <w:r>
        <w:rPr>
          <w:rFonts w:ascii="宋体" w:eastAsia="宋体" w:hAnsi="宋体" w:cs="宋体"/>
          <w:color w:val="000000"/>
          <w:sz w:val="24"/>
        </w:rPr>
        <w:t> </w:t>
      </w:r>
    </w:p>
    <w:p w:rsidR="00785DED" w:rsidRPr="00480717" w:rsidRDefault="00356540">
      <w:pPr>
        <w:snapToGrid/>
        <w:spacing w:before="0" w:after="0" w:line="360" w:lineRule="auto"/>
        <w:jc w:val="center"/>
        <w:rPr>
          <w:rFonts w:hint="eastAsia"/>
          <w:sz w:val="28"/>
        </w:rPr>
      </w:pPr>
      <w:r w:rsidRPr="00480717">
        <w:rPr>
          <w:rFonts w:ascii="宋体" w:eastAsia="宋体" w:hAnsi="宋体" w:cs="宋体"/>
          <w:b/>
          <w:color w:val="000000"/>
          <w:sz w:val="32"/>
        </w:rPr>
        <w:t>宁波容百新能源科技股份有限公司</w:t>
      </w:r>
    </w:p>
    <w:p w:rsidR="00785DED" w:rsidRPr="00480717" w:rsidRDefault="00356540">
      <w:pPr>
        <w:snapToGrid/>
        <w:spacing w:before="0" w:after="0" w:line="360" w:lineRule="auto"/>
        <w:jc w:val="center"/>
        <w:rPr>
          <w:rFonts w:hint="eastAsia"/>
          <w:sz w:val="28"/>
        </w:rPr>
      </w:pPr>
      <w:r w:rsidRPr="00480717">
        <w:rPr>
          <w:rFonts w:ascii="宋体" w:eastAsia="宋体" w:hAnsi="宋体" w:cs="宋体"/>
          <w:b/>
          <w:color w:val="000000"/>
          <w:sz w:val="32"/>
        </w:rPr>
        <w:t>投资者关系活动记录表</w:t>
      </w:r>
    </w:p>
    <w:p w:rsidR="00785DED" w:rsidRDefault="00356540">
      <w:pPr>
        <w:snapToGrid/>
        <w:spacing w:before="0" w:after="0" w:line="360" w:lineRule="auto"/>
        <w:ind w:left="1179" w:right="105"/>
        <w:jc w:val="right"/>
        <w:rPr>
          <w:rFonts w:hint="eastAsia"/>
        </w:rPr>
      </w:pPr>
      <w:r>
        <w:rPr>
          <w:rFonts w:ascii="宋体" w:eastAsia="宋体" w:hAnsi="宋体" w:cs="宋体"/>
          <w:color w:val="000000"/>
          <w:sz w:val="24"/>
        </w:rPr>
        <w:t> </w:t>
      </w:r>
    </w:p>
    <w:tbl>
      <w:tblPr>
        <w:tblStyle w:val="a3"/>
        <w:tblW w:w="0" w:type="auto"/>
        <w:jc w:val="center"/>
        <w:tblLayout w:type="fixed"/>
        <w:tblLook w:val="04A0" w:firstRow="1" w:lastRow="0" w:firstColumn="1" w:lastColumn="0" w:noHBand="0" w:noVBand="1"/>
      </w:tblPr>
      <w:tblGrid>
        <w:gridCol w:w="1275"/>
        <w:gridCol w:w="7500"/>
      </w:tblGrid>
      <w:tr w:rsidR="00785DED">
        <w:trPr>
          <w:trHeight w:val="2480"/>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rsidR="00785DED" w:rsidRDefault="00356540">
            <w:pPr>
              <w:spacing w:before="0" w:after="0" w:line="360" w:lineRule="auto"/>
              <w:jc w:val="center"/>
              <w:rPr>
                <w:rFonts w:hint="eastAsia"/>
              </w:rPr>
            </w:pPr>
            <w:r>
              <w:rPr>
                <w:rFonts w:ascii="宋体" w:eastAsia="宋体" w:hAnsi="宋体" w:cs="宋体"/>
                <w:b/>
                <w:color w:val="000000"/>
                <w:sz w:val="24"/>
              </w:rPr>
              <w:t>投资者关系活动类别</w:t>
            </w:r>
          </w:p>
        </w:tc>
        <w:tc>
          <w:tcPr>
            <w:tcW w:w="7500"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vAlign w:val="bottom"/>
          </w:tcPr>
          <w:p w:rsidR="00785DED" w:rsidRDefault="00356540">
            <w:pPr>
              <w:spacing w:before="0" w:after="0" w:line="360" w:lineRule="auto"/>
              <w:rPr>
                <w:rFonts w:hint="eastAsia"/>
              </w:rPr>
            </w:pPr>
            <w:r>
              <w:rPr>
                <w:rFonts w:ascii="宋体" w:eastAsia="宋体" w:hAnsi="宋体" w:cs="宋体"/>
                <w:color w:val="000000"/>
                <w:sz w:val="24"/>
              </w:rPr>
              <w:t>□特定对象调研□分析师会议</w:t>
            </w:r>
          </w:p>
          <w:p w:rsidR="00785DED" w:rsidRDefault="00356540">
            <w:pPr>
              <w:spacing w:before="0" w:after="0" w:line="360" w:lineRule="auto"/>
              <w:rPr>
                <w:rFonts w:hint="eastAsia"/>
              </w:rPr>
            </w:pPr>
            <w:r>
              <w:rPr>
                <w:rFonts w:ascii="宋体" w:eastAsia="宋体" w:hAnsi="宋体" w:cs="宋体"/>
                <w:color w:val="000000"/>
                <w:sz w:val="24"/>
              </w:rPr>
              <w:t>□媒体采访□业绩说明会</w:t>
            </w:r>
          </w:p>
          <w:p w:rsidR="00785DED" w:rsidRDefault="00356540">
            <w:pPr>
              <w:spacing w:before="0" w:after="0" w:line="360" w:lineRule="auto"/>
              <w:rPr>
                <w:rFonts w:hint="eastAsia"/>
              </w:rPr>
            </w:pPr>
            <w:r>
              <w:rPr>
                <w:rFonts w:ascii="宋体" w:eastAsia="宋体" w:hAnsi="宋体" w:cs="宋体"/>
                <w:color w:val="000000"/>
                <w:sz w:val="24"/>
              </w:rPr>
              <w:t>□新闻发布会□路演活动</w:t>
            </w:r>
          </w:p>
          <w:p w:rsidR="00785DED" w:rsidRDefault="00356540">
            <w:pPr>
              <w:spacing w:before="0" w:after="0" w:line="360" w:lineRule="auto"/>
              <w:rPr>
                <w:rFonts w:hint="eastAsia"/>
              </w:rPr>
            </w:pPr>
            <w:r>
              <w:rPr>
                <w:rFonts w:ascii="宋体" w:eastAsia="宋体" w:hAnsi="宋体" w:cs="宋体"/>
                <w:color w:val="000000"/>
                <w:sz w:val="24"/>
              </w:rPr>
              <w:t>□现场参观□一对一沟通</w:t>
            </w:r>
          </w:p>
          <w:p w:rsidR="00785DED" w:rsidRDefault="00356540">
            <w:pPr>
              <w:spacing w:before="0" w:after="0" w:line="360" w:lineRule="auto"/>
              <w:rPr>
                <w:rFonts w:hint="eastAsia"/>
              </w:rPr>
            </w:pPr>
            <w:r>
              <w:rPr>
                <w:rFonts w:ascii="宋体" w:eastAsia="宋体" w:hAnsi="宋体" w:cs="宋体"/>
                <w:color w:val="000000"/>
                <w:sz w:val="24"/>
              </w:rPr>
              <w:t>□券商策略会■其他</w:t>
            </w:r>
            <w:r>
              <w:rPr>
                <w:rFonts w:ascii="宋体" w:eastAsia="宋体" w:hAnsi="宋体" w:cs="宋体"/>
                <w:color w:val="000000"/>
                <w:sz w:val="24"/>
                <w:u w:val="single"/>
              </w:rPr>
              <w:t>投资者电话交流会</w:t>
            </w:r>
          </w:p>
        </w:tc>
      </w:tr>
      <w:tr w:rsidR="00785DED">
        <w:trPr>
          <w:trHeight w:val="677"/>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rsidR="00785DED" w:rsidRDefault="00356540">
            <w:pPr>
              <w:spacing w:before="0" w:after="0" w:line="360" w:lineRule="auto"/>
              <w:ind w:right="108"/>
              <w:jc w:val="center"/>
              <w:rPr>
                <w:rFonts w:hint="eastAsia"/>
              </w:rPr>
            </w:pPr>
            <w:r>
              <w:rPr>
                <w:rFonts w:ascii="宋体" w:eastAsia="宋体" w:hAnsi="宋体" w:cs="宋体"/>
                <w:b/>
                <w:color w:val="000000"/>
                <w:sz w:val="24"/>
              </w:rPr>
              <w:t>参与单位及人员</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rsidR="00785DED" w:rsidRDefault="00356540">
            <w:pPr>
              <w:spacing w:before="0" w:after="0" w:line="360" w:lineRule="auto"/>
              <w:jc w:val="both"/>
              <w:rPr>
                <w:rFonts w:hint="eastAsia"/>
              </w:rPr>
            </w:pPr>
            <w:r>
              <w:rPr>
                <w:rFonts w:ascii="宋体" w:eastAsia="宋体" w:hAnsi="宋体" w:cs="宋体"/>
                <w:color w:val="000000"/>
                <w:sz w:val="24"/>
              </w:rPr>
              <w:t>共106位机构投资者，详见附件</w:t>
            </w:r>
          </w:p>
        </w:tc>
      </w:tr>
      <w:tr w:rsidR="00785DED">
        <w:trPr>
          <w:trHeight w:val="594"/>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rsidR="00785DED" w:rsidRDefault="00356540">
            <w:pPr>
              <w:spacing w:before="0" w:after="0" w:line="360" w:lineRule="auto"/>
              <w:ind w:right="108"/>
              <w:jc w:val="center"/>
              <w:rPr>
                <w:rFonts w:hint="eastAsia"/>
              </w:rPr>
            </w:pPr>
            <w:r>
              <w:rPr>
                <w:rFonts w:ascii="宋体" w:eastAsia="宋体" w:hAnsi="宋体" w:cs="宋体"/>
                <w:b/>
                <w:color w:val="000000"/>
                <w:sz w:val="24"/>
              </w:rPr>
              <w:t>时间</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rsidR="00785DED" w:rsidRDefault="00356540">
            <w:pPr>
              <w:spacing w:before="0" w:after="0" w:line="360" w:lineRule="auto"/>
              <w:jc w:val="both"/>
              <w:rPr>
                <w:rFonts w:hint="eastAsia"/>
              </w:rPr>
            </w:pPr>
            <w:r>
              <w:rPr>
                <w:rFonts w:ascii="宋体" w:eastAsia="宋体" w:hAnsi="宋体" w:cs="宋体"/>
                <w:color w:val="000000"/>
                <w:sz w:val="24"/>
              </w:rPr>
              <w:t>2025年5月5日</w:t>
            </w:r>
          </w:p>
        </w:tc>
      </w:tr>
      <w:tr w:rsidR="00785DED">
        <w:trPr>
          <w:trHeight w:val="703"/>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rsidR="00785DED" w:rsidRDefault="00356540">
            <w:pPr>
              <w:spacing w:before="0" w:after="0" w:line="360" w:lineRule="auto"/>
              <w:ind w:right="108"/>
              <w:jc w:val="center"/>
              <w:rPr>
                <w:rFonts w:hint="eastAsia"/>
              </w:rPr>
            </w:pPr>
            <w:r>
              <w:rPr>
                <w:rFonts w:ascii="宋体" w:eastAsia="宋体" w:hAnsi="宋体" w:cs="宋体"/>
                <w:b/>
                <w:color w:val="000000"/>
                <w:sz w:val="24"/>
              </w:rPr>
              <w:t>地点</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rsidR="00785DED" w:rsidRDefault="00356540">
            <w:pPr>
              <w:spacing w:before="0" w:after="0" w:line="360" w:lineRule="auto"/>
              <w:jc w:val="both"/>
              <w:rPr>
                <w:rFonts w:hint="eastAsia"/>
              </w:rPr>
            </w:pPr>
            <w:r>
              <w:rPr>
                <w:rFonts w:ascii="宋体" w:eastAsia="宋体" w:hAnsi="宋体" w:cs="宋体"/>
                <w:color w:val="000000"/>
                <w:sz w:val="24"/>
              </w:rPr>
              <w:t>电话会</w:t>
            </w:r>
          </w:p>
        </w:tc>
      </w:tr>
      <w:tr w:rsidR="00785DED">
        <w:trPr>
          <w:trHeight w:val="679"/>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rsidR="00785DED" w:rsidRDefault="00356540">
            <w:pPr>
              <w:spacing w:before="0" w:after="0" w:line="360" w:lineRule="auto"/>
              <w:ind w:right="108"/>
              <w:jc w:val="center"/>
              <w:rPr>
                <w:rFonts w:hint="eastAsia"/>
              </w:rPr>
            </w:pPr>
            <w:r>
              <w:rPr>
                <w:rFonts w:ascii="宋体" w:eastAsia="宋体" w:hAnsi="宋体" w:cs="宋体"/>
                <w:b/>
                <w:color w:val="000000"/>
                <w:sz w:val="24"/>
              </w:rPr>
              <w:t>接待人员</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rsidR="00785DED" w:rsidRDefault="00356540">
            <w:pPr>
              <w:spacing w:before="0" w:after="0" w:line="360" w:lineRule="auto"/>
              <w:jc w:val="both"/>
              <w:rPr>
                <w:rFonts w:hint="eastAsia"/>
              </w:rPr>
            </w:pPr>
            <w:r>
              <w:rPr>
                <w:rFonts w:ascii="宋体" w:eastAsia="宋体" w:hAnsi="宋体" w:cs="宋体"/>
                <w:color w:val="000000"/>
                <w:sz w:val="24"/>
              </w:rPr>
              <w:t>财务负责人杨扬、正极业务总裁佘圣贤、钠电事业部总经理王尊志、锰铁锂事业部总经理李积刚、中央研究院固态专家、董事会秘书俞济芸。</w:t>
            </w:r>
          </w:p>
        </w:tc>
      </w:tr>
      <w:tr w:rsidR="00785DED">
        <w:trPr>
          <w:trHeight w:val="679"/>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rsidR="00785DED" w:rsidRDefault="00356540">
            <w:pPr>
              <w:spacing w:before="0" w:after="0" w:line="360" w:lineRule="auto"/>
              <w:ind w:right="108"/>
              <w:jc w:val="center"/>
              <w:rPr>
                <w:rFonts w:hint="eastAsia"/>
              </w:rPr>
            </w:pPr>
            <w:r>
              <w:rPr>
                <w:rFonts w:ascii="宋体" w:eastAsia="宋体" w:hAnsi="宋体" w:cs="宋体"/>
                <w:b/>
                <w:color w:val="000000"/>
                <w:sz w:val="24"/>
              </w:rPr>
              <w:t>核心要点</w:t>
            </w:r>
          </w:p>
          <w:p w:rsidR="00785DED" w:rsidRDefault="00356540">
            <w:pPr>
              <w:spacing w:before="0" w:after="0" w:line="360" w:lineRule="auto"/>
              <w:ind w:right="108"/>
              <w:jc w:val="center"/>
              <w:rPr>
                <w:rFonts w:hint="eastAsia"/>
              </w:rPr>
            </w:pPr>
            <w:r>
              <w:rPr>
                <w:rFonts w:ascii="宋体" w:eastAsia="宋体" w:hAnsi="宋体" w:cs="宋体"/>
                <w:b/>
                <w:color w:val="000000"/>
                <w:sz w:val="24"/>
              </w:rPr>
              <w:t>说明</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rsidR="00785DED" w:rsidRDefault="00356540">
            <w:pPr>
              <w:spacing w:before="312" w:after="0" w:line="360" w:lineRule="auto"/>
              <w:ind w:firstLineChars="200" w:firstLine="482"/>
              <w:jc w:val="both"/>
              <w:rPr>
                <w:rFonts w:hint="eastAsia"/>
              </w:rPr>
            </w:pPr>
            <w:r>
              <w:rPr>
                <w:rFonts w:ascii="宋体" w:eastAsia="宋体" w:hAnsi="宋体" w:cs="宋体"/>
                <w:b/>
                <w:color w:val="000000"/>
                <w:sz w:val="24"/>
              </w:rPr>
              <w:t>202</w:t>
            </w:r>
            <w:r w:rsidR="006D4D98">
              <w:rPr>
                <w:rFonts w:ascii="宋体" w:eastAsia="宋体" w:hAnsi="宋体" w:cs="宋体"/>
                <w:b/>
                <w:color w:val="000000"/>
                <w:sz w:val="24"/>
              </w:rPr>
              <w:t>5</w:t>
            </w:r>
            <w:r>
              <w:rPr>
                <w:rFonts w:ascii="宋体" w:eastAsia="宋体" w:hAnsi="宋体" w:cs="宋体"/>
                <w:b/>
                <w:color w:val="000000"/>
                <w:sz w:val="24"/>
              </w:rPr>
              <w:t>年</w:t>
            </w:r>
            <w:r w:rsidR="006D4D98">
              <w:rPr>
                <w:rFonts w:ascii="宋体" w:eastAsia="宋体" w:hAnsi="宋体" w:cs="宋体" w:hint="eastAsia"/>
                <w:b/>
                <w:color w:val="000000"/>
                <w:sz w:val="24"/>
              </w:rPr>
              <w:t>一季度</w:t>
            </w:r>
            <w:r>
              <w:rPr>
                <w:rFonts w:ascii="宋体" w:eastAsia="宋体" w:hAnsi="宋体" w:cs="宋体"/>
                <w:b/>
                <w:color w:val="000000"/>
                <w:sz w:val="24"/>
              </w:rPr>
              <w:t>经营情况</w:t>
            </w:r>
          </w:p>
          <w:p w:rsidR="00785DED" w:rsidRDefault="00356540">
            <w:pPr>
              <w:spacing w:before="156" w:after="156" w:line="360" w:lineRule="auto"/>
              <w:ind w:firstLineChars="200" w:firstLine="480"/>
              <w:jc w:val="both"/>
              <w:rPr>
                <w:rFonts w:hint="eastAsia"/>
              </w:rPr>
            </w:pPr>
            <w:r>
              <w:rPr>
                <w:rFonts w:ascii="宋体" w:eastAsia="宋体" w:hAnsi="宋体" w:cs="宋体"/>
                <w:color w:val="000000"/>
                <w:sz w:val="24"/>
              </w:rPr>
              <w:t>报告期内，公司实现营业收入29.64亿元，净利润-40</w:t>
            </w:r>
            <w:r w:rsidR="006D4D98">
              <w:rPr>
                <w:rFonts w:ascii="宋体" w:eastAsia="宋体" w:hAnsi="宋体" w:cs="宋体"/>
                <w:color w:val="000000"/>
                <w:sz w:val="24"/>
              </w:rPr>
              <w:t>5</w:t>
            </w:r>
            <w:r>
              <w:rPr>
                <w:rFonts w:ascii="宋体" w:eastAsia="宋体" w:hAnsi="宋体" w:cs="宋体"/>
                <w:color w:val="000000"/>
                <w:sz w:val="24"/>
              </w:rPr>
              <w:t>万元。在主营正极材料业务的市场开拓方面，取得了一些积极进展。具体来看：</w:t>
            </w:r>
          </w:p>
          <w:p w:rsidR="00785DED" w:rsidRDefault="00356540">
            <w:pPr>
              <w:spacing w:before="156" w:after="156" w:line="360" w:lineRule="auto"/>
              <w:ind w:firstLineChars="200" w:firstLine="480"/>
              <w:jc w:val="both"/>
              <w:rPr>
                <w:rFonts w:hint="eastAsia"/>
              </w:rPr>
            </w:pPr>
            <w:r>
              <w:rPr>
                <w:rFonts w:ascii="宋体" w:eastAsia="宋体" w:hAnsi="宋体" w:cs="宋体"/>
                <w:color w:val="000000"/>
                <w:sz w:val="24"/>
              </w:rPr>
              <w:t>1、三元材料业务</w:t>
            </w:r>
          </w:p>
          <w:p w:rsidR="00785DED" w:rsidRDefault="00356540">
            <w:pPr>
              <w:spacing w:before="156" w:after="156" w:line="360" w:lineRule="auto"/>
              <w:ind w:firstLineChars="200" w:firstLine="480"/>
              <w:jc w:val="both"/>
              <w:rPr>
                <w:rFonts w:hint="eastAsia"/>
              </w:rPr>
            </w:pPr>
            <w:r>
              <w:rPr>
                <w:rFonts w:ascii="宋体" w:eastAsia="宋体" w:hAnsi="宋体" w:cs="宋体"/>
                <w:color w:val="000000"/>
                <w:sz w:val="24"/>
              </w:rPr>
              <w:t>公司作为国内唯一在海外拥有大规模正极材料生产基地的企业，此前几年全球化布局的优势在报告期内得以充分显现。报告期内，公司韩国基地持续保持大批量出货状态，欧洲波兰项目也已正式启动。中镍产品成功获得国内大客户订单，欧洲的产能也已被提前锁定。在一季度，公司产品在低空经济这一新兴领域实现了批量化出货，终端客户覆盖了</w:t>
            </w:r>
            <w:r>
              <w:rPr>
                <w:rFonts w:ascii="宋体" w:eastAsia="宋体" w:hAnsi="宋体" w:cs="宋体"/>
                <w:color w:val="000000"/>
                <w:sz w:val="24"/>
              </w:rPr>
              <w:lastRenderedPageBreak/>
              <w:t>国内外多家头部飞行器企业。随着新兴市场对高能量密度产品需求的不断提升，公司将进一步巩固三元产品的差异化竞争优势，以提升自身的盈利能力。</w:t>
            </w:r>
          </w:p>
          <w:p w:rsidR="00785DED" w:rsidRDefault="00356540">
            <w:pPr>
              <w:spacing w:before="156" w:after="156" w:line="360" w:lineRule="auto"/>
              <w:ind w:firstLineChars="200" w:firstLine="480"/>
              <w:jc w:val="both"/>
              <w:rPr>
                <w:rFonts w:hint="eastAsia"/>
              </w:rPr>
            </w:pPr>
            <w:r>
              <w:rPr>
                <w:rFonts w:ascii="宋体" w:eastAsia="宋体" w:hAnsi="宋体" w:cs="宋体"/>
                <w:color w:val="000000"/>
                <w:sz w:val="24"/>
              </w:rPr>
              <w:t>2、锰铁锂业务</w:t>
            </w:r>
          </w:p>
          <w:p w:rsidR="00785DED" w:rsidRDefault="00356540">
            <w:pPr>
              <w:spacing w:before="156" w:after="156" w:line="360" w:lineRule="auto"/>
              <w:ind w:firstLineChars="200" w:firstLine="480"/>
              <w:jc w:val="both"/>
              <w:rPr>
                <w:rFonts w:hint="eastAsia"/>
              </w:rPr>
            </w:pPr>
            <w:r>
              <w:rPr>
                <w:rFonts w:ascii="宋体" w:eastAsia="宋体" w:hAnsi="宋体" w:cs="宋体"/>
                <w:color w:val="000000"/>
                <w:sz w:val="24"/>
              </w:rPr>
              <w:t>报告期内，受动力客户订单量增加以及小动力新国标政策等因素的影响，公司现有锰铁锂产能已实现满产满销。其中，一代产品在电动汽车市场实现了量产突破，获得了客户万辆汽车配套的订单需求。二代产品持续配合客户进行开发验证，已完成百公斤级批量验证，且快充性能取得了突破，为后续在民用汽车市场的大规模应用奠定了坚实基础。</w:t>
            </w:r>
          </w:p>
          <w:p w:rsidR="00785DED" w:rsidRDefault="00356540">
            <w:pPr>
              <w:spacing w:before="156" w:after="156" w:line="360" w:lineRule="auto"/>
              <w:ind w:firstLineChars="200" w:firstLine="480"/>
              <w:jc w:val="both"/>
              <w:rPr>
                <w:rFonts w:hint="eastAsia"/>
              </w:rPr>
            </w:pPr>
            <w:r>
              <w:rPr>
                <w:rFonts w:ascii="宋体" w:eastAsia="宋体" w:hAnsi="宋体" w:cs="宋体"/>
                <w:color w:val="000000"/>
                <w:sz w:val="24"/>
              </w:rPr>
              <w:t>3、钠电材料业务</w:t>
            </w:r>
          </w:p>
          <w:p w:rsidR="00785DED" w:rsidRDefault="00356540">
            <w:pPr>
              <w:spacing w:before="156" w:after="156" w:line="360" w:lineRule="auto"/>
              <w:ind w:firstLineChars="200" w:firstLine="480"/>
              <w:jc w:val="both"/>
              <w:rPr>
                <w:rFonts w:hint="eastAsia"/>
              </w:rPr>
            </w:pPr>
            <w:r>
              <w:rPr>
                <w:rFonts w:ascii="宋体" w:eastAsia="宋体" w:hAnsi="宋体" w:cs="宋体"/>
                <w:color w:val="000000"/>
                <w:sz w:val="24"/>
              </w:rPr>
              <w:t>公司的钠电正极材料产品在动力储能、启停电源等领域，已在国内外头部电池厂商中占据领先地位。报告期内，公司获得了千吨级的层氧材料订单，以及百吨级的其他相关订单需求。为更好地匹配客户需求，公司正在加速推进钠电正极材料的产业化进程。目前，湖北仙桃年产6000吨的新型一体化钠电正极材料生产线改造工作正在稳步推进中。</w:t>
            </w:r>
          </w:p>
          <w:p w:rsidR="00785DED" w:rsidRDefault="00356540">
            <w:pPr>
              <w:spacing w:before="156" w:after="156" w:line="360" w:lineRule="auto"/>
              <w:ind w:firstLineChars="200" w:firstLine="480"/>
              <w:jc w:val="both"/>
              <w:rPr>
                <w:rFonts w:hint="eastAsia"/>
              </w:rPr>
            </w:pPr>
            <w:r>
              <w:rPr>
                <w:rFonts w:ascii="宋体" w:eastAsia="宋体" w:hAnsi="宋体" w:cs="宋体"/>
                <w:color w:val="000000"/>
                <w:sz w:val="24"/>
              </w:rPr>
              <w:t>4、固态电池业务</w:t>
            </w:r>
          </w:p>
          <w:p w:rsidR="00785DED" w:rsidRDefault="00356540">
            <w:pPr>
              <w:spacing w:before="156" w:after="156" w:line="360" w:lineRule="auto"/>
              <w:ind w:firstLineChars="200" w:firstLine="480"/>
              <w:jc w:val="both"/>
              <w:rPr>
                <w:rFonts w:hint="eastAsia"/>
              </w:rPr>
            </w:pPr>
            <w:r>
              <w:rPr>
                <w:rFonts w:ascii="宋体" w:eastAsia="宋体" w:hAnsi="宋体" w:cs="宋体"/>
                <w:color w:val="000000"/>
                <w:sz w:val="24"/>
              </w:rPr>
              <w:t>报告期内，公司应用于半固态电池的相关正极材料与下游客户保持着稳定的合作关系，并已开始批量出货。在全固态电池方面，公司紧密围绕国家战略以及行业顶尖客户的需求，针对硫化物电解质及配套的正极材料开展了持续深入的研究。目前，已完成了电解质连续式生产的产线设计，部分量产设备也已完成带料验证，预计将于四季度完成中试线的建设工作。</w:t>
            </w:r>
          </w:p>
        </w:tc>
      </w:tr>
      <w:tr w:rsidR="00785DED" w:rsidTr="00DA6772">
        <w:trPr>
          <w:trHeight w:val="1540"/>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rsidR="00785DED" w:rsidRDefault="00356540">
            <w:pPr>
              <w:spacing w:before="0" w:after="0" w:line="360" w:lineRule="auto"/>
              <w:ind w:right="110"/>
              <w:jc w:val="center"/>
              <w:rPr>
                <w:rFonts w:hint="eastAsia"/>
              </w:rPr>
            </w:pPr>
            <w:r>
              <w:rPr>
                <w:rFonts w:ascii="宋体" w:eastAsia="宋体" w:hAnsi="宋体" w:cs="宋体"/>
                <w:b/>
                <w:color w:val="000000"/>
                <w:sz w:val="24"/>
              </w:rPr>
              <w:lastRenderedPageBreak/>
              <w:t>投资者关系活动主要内容介绍</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vAlign w:val="top"/>
          </w:tcPr>
          <w:p w:rsidR="00785DED" w:rsidRDefault="00356540">
            <w:pPr>
              <w:snapToGrid/>
              <w:spacing w:before="0" w:after="0" w:line="360" w:lineRule="auto"/>
              <w:jc w:val="both"/>
              <w:rPr>
                <w:rFonts w:hint="eastAsia"/>
              </w:rPr>
            </w:pPr>
            <w:r>
              <w:rPr>
                <w:rFonts w:ascii="宋体" w:eastAsia="宋体" w:hAnsi="宋体" w:cs="宋体"/>
                <w:b/>
                <w:color w:val="000000"/>
                <w:sz w:val="24"/>
              </w:rPr>
              <w:t>一、2025年一季度，三元业务盈利及环比</w:t>
            </w:r>
            <w:r w:rsidR="00500759">
              <w:rPr>
                <w:rFonts w:ascii="宋体" w:eastAsia="宋体" w:hAnsi="宋体" w:cs="宋体" w:hint="eastAsia"/>
                <w:b/>
                <w:color w:val="000000"/>
                <w:sz w:val="24"/>
              </w:rPr>
              <w:t>表现</w:t>
            </w:r>
            <w:r>
              <w:rPr>
                <w:rFonts w:ascii="宋体" w:eastAsia="宋体" w:hAnsi="宋体" w:cs="宋体"/>
                <w:b/>
                <w:color w:val="000000"/>
                <w:sz w:val="24"/>
              </w:rPr>
              <w:t>如何，其他业务的亏损情况？</w:t>
            </w:r>
          </w:p>
          <w:p w:rsidR="00785DED" w:rsidRDefault="00356540">
            <w:pPr>
              <w:snapToGrid/>
              <w:spacing w:before="0" w:after="0" w:line="360" w:lineRule="auto"/>
              <w:ind w:firstLineChars="200" w:firstLine="482"/>
              <w:jc w:val="both"/>
              <w:rPr>
                <w:rFonts w:hint="eastAsia"/>
              </w:rPr>
            </w:pPr>
            <w:r>
              <w:rPr>
                <w:rFonts w:ascii="宋体" w:eastAsia="宋体" w:hAnsi="宋体" w:cs="宋体"/>
                <w:b/>
                <w:color w:val="000000"/>
                <w:sz w:val="24"/>
              </w:rPr>
              <w:t>答：</w:t>
            </w:r>
            <w:r>
              <w:rPr>
                <w:rFonts w:ascii="宋体" w:eastAsia="宋体" w:hAnsi="宋体" w:cs="宋体"/>
                <w:color w:val="000000"/>
                <w:sz w:val="24"/>
              </w:rPr>
              <w:t>三元业务整体盈利约4700万，环比下降，主要因为销量减少导致产能利用率下降，进而单吨加工费环比上升。</w:t>
            </w:r>
          </w:p>
          <w:p w:rsidR="00785DED" w:rsidRDefault="00356540">
            <w:pPr>
              <w:snapToGrid/>
              <w:spacing w:before="0" w:after="0" w:line="360" w:lineRule="auto"/>
              <w:ind w:firstLineChars="200" w:firstLine="480"/>
              <w:jc w:val="both"/>
              <w:rPr>
                <w:rFonts w:ascii="宋体" w:eastAsia="宋体" w:hAnsi="宋体" w:cs="宋体"/>
                <w:color w:val="000000"/>
                <w:sz w:val="24"/>
              </w:rPr>
            </w:pPr>
            <w:r>
              <w:rPr>
                <w:rFonts w:ascii="宋体" w:eastAsia="宋体" w:hAnsi="宋体" w:cs="宋体"/>
                <w:color w:val="000000"/>
                <w:sz w:val="24"/>
              </w:rPr>
              <w:t>锰铁锂、钠电和前驱体等其他业务合计亏损约7000万。其中，前</w:t>
            </w:r>
            <w:r>
              <w:rPr>
                <w:rFonts w:ascii="宋体" w:eastAsia="宋体" w:hAnsi="宋体" w:cs="宋体"/>
                <w:color w:val="000000"/>
                <w:sz w:val="24"/>
              </w:rPr>
              <w:lastRenderedPageBreak/>
              <w:t>驱体亏损主要是因为镍钴价格波动；此外，钠电产品放量以及相关费用的增加，也进一步扩大了新业务的亏损。</w:t>
            </w:r>
          </w:p>
          <w:p w:rsidR="00500759" w:rsidRDefault="00500759">
            <w:pPr>
              <w:snapToGrid/>
              <w:spacing w:before="0" w:after="0" w:line="360" w:lineRule="auto"/>
              <w:ind w:firstLineChars="200" w:firstLine="440"/>
              <w:jc w:val="both"/>
              <w:rPr>
                <w:rFonts w:hint="eastAsia"/>
                <w:color w:val="000000"/>
              </w:rPr>
            </w:pPr>
          </w:p>
          <w:p w:rsidR="00785DED" w:rsidRDefault="00356540">
            <w:pPr>
              <w:snapToGrid/>
              <w:spacing w:before="0" w:after="0" w:line="360" w:lineRule="auto"/>
              <w:jc w:val="both"/>
              <w:rPr>
                <w:rFonts w:hint="eastAsia"/>
              </w:rPr>
            </w:pPr>
            <w:r>
              <w:rPr>
                <w:rFonts w:ascii="宋体" w:eastAsia="宋体" w:hAnsi="宋体" w:cs="宋体"/>
                <w:b/>
                <w:color w:val="000000"/>
                <w:sz w:val="24"/>
              </w:rPr>
              <w:t>二、锰铁锂未来的需求和产能展望，何时可实现盈利？</w:t>
            </w:r>
          </w:p>
          <w:p w:rsidR="00785DED" w:rsidRDefault="00356540">
            <w:pPr>
              <w:snapToGrid/>
              <w:spacing w:before="0" w:after="0" w:line="360" w:lineRule="auto"/>
              <w:ind w:firstLineChars="200" w:firstLine="482"/>
              <w:jc w:val="both"/>
              <w:rPr>
                <w:rFonts w:hint="eastAsia"/>
              </w:rPr>
            </w:pPr>
            <w:r>
              <w:rPr>
                <w:rFonts w:ascii="宋体" w:eastAsia="宋体" w:hAnsi="宋体" w:cs="宋体"/>
                <w:b/>
                <w:color w:val="000000"/>
                <w:sz w:val="24"/>
              </w:rPr>
              <w:t>答：</w:t>
            </w:r>
            <w:r>
              <w:rPr>
                <w:rFonts w:ascii="宋体" w:eastAsia="宋体" w:hAnsi="宋体" w:cs="宋体"/>
                <w:color w:val="000000"/>
                <w:sz w:val="24"/>
              </w:rPr>
              <w:t>目前锰铁锂产品已经实现满产满销，主要放量领域有两个：一是受政策影响的传统小动力市场，二是公司产品成功进入商务车市场。预计四季度开始将有更多高端车型使用锰铁锂和三元的掺混产品。根据公司规划和客户预测，2026年预计需求继续大幅提升；公司也在着手规划新产能建设，并进一步拓展新老基地产能。</w:t>
            </w:r>
          </w:p>
          <w:p w:rsidR="00785DED" w:rsidRDefault="00356540">
            <w:pPr>
              <w:snapToGrid/>
              <w:spacing w:before="0" w:after="0" w:line="360" w:lineRule="auto"/>
              <w:ind w:firstLineChars="200" w:firstLine="480"/>
              <w:jc w:val="both"/>
              <w:rPr>
                <w:rFonts w:ascii="宋体" w:eastAsia="宋体" w:hAnsi="宋体" w:cs="宋体"/>
                <w:color w:val="000000"/>
                <w:sz w:val="24"/>
              </w:rPr>
            </w:pPr>
            <w:r>
              <w:rPr>
                <w:rFonts w:ascii="宋体" w:eastAsia="宋体" w:hAnsi="宋体" w:cs="宋体"/>
                <w:color w:val="000000"/>
                <w:sz w:val="24"/>
              </w:rPr>
              <w:t>盈利方面，当销量突破万吨级后，依托规模化效应带来的供应链优化与工艺降本优势，有望实现盈利。锰铁锂产品凭借高比能量密度、长续航里程的技术优势，具备较强的议价能力，且可与三元中镍、高镍产品掺混使用，进一步拓展盈利空间。</w:t>
            </w:r>
          </w:p>
          <w:p w:rsidR="00500759" w:rsidRDefault="00500759">
            <w:pPr>
              <w:snapToGrid/>
              <w:spacing w:before="0" w:after="0" w:line="360" w:lineRule="auto"/>
              <w:ind w:firstLineChars="200" w:firstLine="440"/>
              <w:jc w:val="both"/>
              <w:rPr>
                <w:rFonts w:hint="eastAsia"/>
              </w:rPr>
            </w:pPr>
          </w:p>
          <w:p w:rsidR="00785DED" w:rsidRDefault="00356540">
            <w:pPr>
              <w:snapToGrid/>
              <w:spacing w:before="0" w:after="0" w:line="360" w:lineRule="auto"/>
              <w:jc w:val="both"/>
              <w:rPr>
                <w:rFonts w:hint="eastAsia"/>
              </w:rPr>
            </w:pPr>
            <w:r>
              <w:rPr>
                <w:rFonts w:ascii="宋体" w:eastAsia="宋体" w:hAnsi="宋体" w:cs="宋体"/>
                <w:b/>
                <w:color w:val="000000"/>
                <w:sz w:val="24"/>
              </w:rPr>
              <w:t>三、2025年一季度，韩国基地出货量情况；一期和二期产能多少，预计何时达产？</w:t>
            </w:r>
          </w:p>
          <w:p w:rsidR="00785DED" w:rsidRDefault="00356540">
            <w:pPr>
              <w:snapToGrid/>
              <w:spacing w:before="0" w:after="0" w:line="360" w:lineRule="auto"/>
              <w:ind w:firstLineChars="200" w:firstLine="482"/>
              <w:jc w:val="both"/>
              <w:rPr>
                <w:rFonts w:ascii="宋体" w:eastAsia="宋体" w:hAnsi="宋体" w:cs="宋体"/>
                <w:color w:val="000000"/>
                <w:sz w:val="24"/>
              </w:rPr>
            </w:pPr>
            <w:r>
              <w:rPr>
                <w:rFonts w:ascii="宋体" w:eastAsia="宋体" w:hAnsi="宋体" w:cs="宋体"/>
                <w:b/>
                <w:color w:val="000000"/>
                <w:sz w:val="24"/>
              </w:rPr>
              <w:t>答：</w:t>
            </w:r>
            <w:r>
              <w:rPr>
                <w:rFonts w:ascii="宋体" w:eastAsia="宋体" w:hAnsi="宋体" w:cs="宋体"/>
                <w:color w:val="000000"/>
                <w:sz w:val="24"/>
              </w:rPr>
              <w:t>一季度开工率约60%-70%，二季度销量预计有所增长。韩国一期产能2万吨，已在2024年年底实现满产；韩国二期产能4万吨，今年一季度已经开始调试，并将在下半年达产。随着海外客户开发的推进，一、二期总产能预计2026年上半年实现满产，届时，将考虑建设韩国三期工厂，产能约4-5万吨。</w:t>
            </w:r>
          </w:p>
          <w:p w:rsidR="00C43124" w:rsidRDefault="00C43124">
            <w:pPr>
              <w:snapToGrid/>
              <w:spacing w:before="0" w:after="0" w:line="360" w:lineRule="auto"/>
              <w:ind w:firstLineChars="200" w:firstLine="440"/>
              <w:jc w:val="both"/>
              <w:rPr>
                <w:rFonts w:hint="eastAsia"/>
              </w:rPr>
            </w:pPr>
          </w:p>
          <w:p w:rsidR="00785DED" w:rsidRDefault="00356540">
            <w:pPr>
              <w:snapToGrid/>
              <w:spacing w:before="0" w:after="0" w:line="360" w:lineRule="auto"/>
              <w:jc w:val="both"/>
              <w:rPr>
                <w:rFonts w:hint="eastAsia"/>
              </w:rPr>
            </w:pPr>
            <w:r>
              <w:rPr>
                <w:rFonts w:ascii="宋体" w:eastAsia="宋体" w:hAnsi="宋体" w:cs="宋体"/>
                <w:b/>
                <w:color w:val="000000"/>
                <w:sz w:val="24"/>
              </w:rPr>
              <w:t>四、美国关税政策对三元材料出货的影响？</w:t>
            </w:r>
          </w:p>
          <w:p w:rsidR="00785DED" w:rsidRDefault="00356540">
            <w:pPr>
              <w:snapToGrid/>
              <w:spacing w:before="0" w:after="0" w:line="360" w:lineRule="auto"/>
              <w:ind w:firstLineChars="200" w:firstLine="482"/>
              <w:jc w:val="both"/>
              <w:rPr>
                <w:rFonts w:ascii="宋体" w:eastAsia="宋体" w:hAnsi="宋体" w:cs="宋体"/>
                <w:color w:val="000000"/>
                <w:sz w:val="24"/>
              </w:rPr>
            </w:pPr>
            <w:r>
              <w:rPr>
                <w:rFonts w:ascii="宋体" w:eastAsia="宋体" w:hAnsi="宋体" w:cs="宋体"/>
                <w:b/>
                <w:color w:val="000000"/>
                <w:sz w:val="24"/>
              </w:rPr>
              <w:t>答：</w:t>
            </w:r>
            <w:r>
              <w:rPr>
                <w:rFonts w:ascii="宋体" w:eastAsia="宋体" w:hAnsi="宋体" w:cs="宋体"/>
                <w:color w:val="000000"/>
                <w:sz w:val="24"/>
              </w:rPr>
              <w:t>受制于关税政策，中国产出的产品已基本不再出售到美国市场，目前出口美国的产品主要来自韩国工厂。韩国是关税洼地，韩国工厂受关税影响较小。</w:t>
            </w:r>
          </w:p>
          <w:p w:rsidR="00B51C46" w:rsidRDefault="00B51C46">
            <w:pPr>
              <w:snapToGrid/>
              <w:spacing w:before="0" w:after="0" w:line="360" w:lineRule="auto"/>
              <w:ind w:firstLineChars="200" w:firstLine="440"/>
              <w:jc w:val="both"/>
              <w:rPr>
                <w:rFonts w:hint="eastAsia"/>
              </w:rPr>
            </w:pPr>
          </w:p>
          <w:p w:rsidR="00785DED" w:rsidRDefault="00356540">
            <w:pPr>
              <w:snapToGrid/>
              <w:spacing w:before="0" w:after="0" w:line="360" w:lineRule="auto"/>
              <w:jc w:val="both"/>
              <w:rPr>
                <w:rFonts w:hint="eastAsia"/>
              </w:rPr>
            </w:pPr>
            <w:r>
              <w:rPr>
                <w:rFonts w:ascii="宋体" w:eastAsia="宋体" w:hAnsi="宋体" w:cs="宋体"/>
                <w:b/>
                <w:color w:val="000000"/>
                <w:sz w:val="24"/>
              </w:rPr>
              <w:t>五、公司欧洲订单主要来自哪些客户群体？</w:t>
            </w:r>
          </w:p>
          <w:p w:rsidR="00785DED" w:rsidRDefault="00356540">
            <w:pPr>
              <w:snapToGrid/>
              <w:spacing w:before="0" w:after="0" w:line="360" w:lineRule="auto"/>
              <w:ind w:firstLineChars="200" w:firstLine="482"/>
              <w:jc w:val="both"/>
              <w:rPr>
                <w:rFonts w:ascii="宋体" w:eastAsia="宋体" w:hAnsi="宋体" w:cs="宋体"/>
                <w:color w:val="000000"/>
                <w:sz w:val="24"/>
              </w:rPr>
            </w:pPr>
            <w:r>
              <w:rPr>
                <w:rFonts w:ascii="宋体" w:eastAsia="宋体" w:hAnsi="宋体" w:cs="宋体"/>
                <w:b/>
                <w:color w:val="000000"/>
                <w:sz w:val="24"/>
              </w:rPr>
              <w:t>答：</w:t>
            </w:r>
            <w:r>
              <w:rPr>
                <w:rFonts w:ascii="宋体" w:eastAsia="宋体" w:hAnsi="宋体" w:cs="宋体"/>
                <w:color w:val="000000"/>
                <w:sz w:val="24"/>
              </w:rPr>
              <w:t>主要来自三个方面：一，与国内头部客户签订协议，助力其开拓欧洲市场；二，与日韩在欧布局企业达成合作，待公司波兰工厂建成</w:t>
            </w:r>
            <w:r>
              <w:rPr>
                <w:rFonts w:ascii="宋体" w:eastAsia="宋体" w:hAnsi="宋体" w:cs="宋体"/>
                <w:color w:val="000000"/>
                <w:sz w:val="24"/>
              </w:rPr>
              <w:lastRenderedPageBreak/>
              <w:t>后，为其供应产品；三，满足欧洲本土电池厂及车企的需求。</w:t>
            </w:r>
          </w:p>
          <w:p w:rsidR="00B51C46" w:rsidRDefault="00B51C46">
            <w:pPr>
              <w:snapToGrid/>
              <w:spacing w:before="0" w:after="0" w:line="360" w:lineRule="auto"/>
              <w:ind w:firstLineChars="200" w:firstLine="440"/>
              <w:jc w:val="both"/>
              <w:rPr>
                <w:rFonts w:hint="eastAsia"/>
              </w:rPr>
            </w:pPr>
          </w:p>
          <w:p w:rsidR="00785DED" w:rsidRDefault="00356540">
            <w:pPr>
              <w:snapToGrid/>
              <w:spacing w:before="0" w:after="0" w:line="360" w:lineRule="auto"/>
              <w:jc w:val="both"/>
              <w:rPr>
                <w:rFonts w:hint="eastAsia"/>
              </w:rPr>
            </w:pPr>
            <w:r>
              <w:rPr>
                <w:rFonts w:ascii="宋体" w:eastAsia="宋体" w:hAnsi="宋体" w:cs="宋体"/>
                <w:b/>
                <w:color w:val="000000"/>
                <w:sz w:val="24"/>
              </w:rPr>
              <w:t>六、公司关于供应链的布局及进展如何？</w:t>
            </w:r>
          </w:p>
          <w:p w:rsidR="00785DED" w:rsidRDefault="00356540">
            <w:pPr>
              <w:snapToGrid/>
              <w:spacing w:before="0" w:after="0" w:line="360" w:lineRule="auto"/>
              <w:ind w:firstLineChars="200" w:firstLine="482"/>
              <w:jc w:val="both"/>
              <w:rPr>
                <w:rFonts w:ascii="宋体" w:eastAsia="宋体" w:hAnsi="宋体" w:cs="宋体"/>
                <w:color w:val="000000"/>
                <w:sz w:val="24"/>
              </w:rPr>
            </w:pPr>
            <w:r>
              <w:rPr>
                <w:rFonts w:ascii="宋体" w:eastAsia="宋体" w:hAnsi="宋体" w:cs="宋体"/>
                <w:b/>
                <w:color w:val="000000"/>
                <w:sz w:val="24"/>
              </w:rPr>
              <w:t>答：</w:t>
            </w:r>
            <w:r>
              <w:rPr>
                <w:rFonts w:ascii="宋体" w:eastAsia="宋体" w:hAnsi="宋体" w:cs="宋体"/>
                <w:color w:val="000000"/>
                <w:sz w:val="24"/>
              </w:rPr>
              <w:t>今年，公司围绕战略调整，聚焦材料主营业务，涵盖三元、锰铁、钠电等材料，系统推进供应链开发建设。在全球化布局上，公司积极深化与印尼、欧洲上下游企业的资本及商业合作，增强供应链竞争力；同时，协同北美大型客户，参与其全球供应链体系构建与导入工作。</w:t>
            </w:r>
          </w:p>
          <w:p w:rsidR="00262110" w:rsidRDefault="00262110">
            <w:pPr>
              <w:snapToGrid/>
              <w:spacing w:before="0" w:after="0" w:line="360" w:lineRule="auto"/>
              <w:ind w:firstLineChars="200" w:firstLine="440"/>
              <w:jc w:val="both"/>
              <w:rPr>
                <w:rFonts w:hint="eastAsia"/>
              </w:rPr>
            </w:pPr>
          </w:p>
          <w:p w:rsidR="00785DED" w:rsidRDefault="00356540">
            <w:pPr>
              <w:snapToGrid/>
              <w:spacing w:before="0" w:after="0" w:line="360" w:lineRule="auto"/>
              <w:jc w:val="both"/>
              <w:rPr>
                <w:rFonts w:hint="eastAsia"/>
              </w:rPr>
            </w:pPr>
            <w:r>
              <w:rPr>
                <w:rFonts w:ascii="宋体" w:eastAsia="宋体" w:hAnsi="宋体" w:cs="宋体"/>
                <w:b/>
                <w:color w:val="000000"/>
                <w:sz w:val="24"/>
              </w:rPr>
              <w:t>七、2025年，钠电的资本开支计划以及与大客户合作进展如何？</w:t>
            </w:r>
          </w:p>
          <w:p w:rsidR="00785DED" w:rsidRDefault="00356540">
            <w:pPr>
              <w:snapToGrid/>
              <w:spacing w:before="0" w:after="0" w:line="360" w:lineRule="auto"/>
              <w:ind w:firstLineChars="200" w:firstLine="482"/>
              <w:jc w:val="both"/>
              <w:rPr>
                <w:rFonts w:ascii="宋体" w:eastAsia="宋体" w:hAnsi="宋体" w:cs="宋体"/>
                <w:color w:val="000000"/>
                <w:sz w:val="24"/>
              </w:rPr>
            </w:pPr>
            <w:r>
              <w:rPr>
                <w:rFonts w:ascii="宋体" w:eastAsia="宋体" w:hAnsi="宋体" w:cs="宋体"/>
                <w:b/>
                <w:color w:val="000000"/>
                <w:sz w:val="24"/>
              </w:rPr>
              <w:t>答：</w:t>
            </w:r>
            <w:r>
              <w:rPr>
                <w:rFonts w:ascii="宋体" w:eastAsia="宋体" w:hAnsi="宋体" w:cs="宋体"/>
                <w:color w:val="000000"/>
                <w:sz w:val="24"/>
              </w:rPr>
              <w:t>公司涉足钠电行业多年，产品迭代不仅局限于材料创新，更延伸至电池应用及BMS系统革新。核心工作聚焦市场导入，涵盖成本测算、商业模式构建、商业路径探索、质量标准制定，以及产线选型与工艺优化。同时将于年内建成6000吨示范产线，旨在开发适合规模化生产的产线类型。预计2026-2027年实现产能突破，推动钠电业务进入快速发展阶段。</w:t>
            </w:r>
          </w:p>
          <w:p w:rsidR="00DA6772" w:rsidRDefault="00DA6772">
            <w:pPr>
              <w:snapToGrid/>
              <w:spacing w:before="0" w:after="0" w:line="360" w:lineRule="auto"/>
              <w:ind w:firstLineChars="200" w:firstLine="440"/>
              <w:jc w:val="both"/>
              <w:rPr>
                <w:rFonts w:hint="eastAsia"/>
              </w:rPr>
            </w:pPr>
          </w:p>
          <w:p w:rsidR="00785DED" w:rsidRDefault="00356540">
            <w:pPr>
              <w:snapToGrid/>
              <w:spacing w:before="0" w:after="0" w:line="360" w:lineRule="auto"/>
              <w:jc w:val="both"/>
              <w:rPr>
                <w:rFonts w:hint="eastAsia"/>
              </w:rPr>
            </w:pPr>
            <w:r>
              <w:rPr>
                <w:rFonts w:ascii="宋体" w:eastAsia="宋体" w:hAnsi="宋体" w:cs="宋体"/>
                <w:b/>
                <w:color w:val="000000"/>
                <w:sz w:val="24"/>
              </w:rPr>
              <w:t>八、三元材料领域，海外客户出货认证的进展如何？</w:t>
            </w:r>
          </w:p>
          <w:p w:rsidR="00785DED" w:rsidRDefault="00356540">
            <w:pPr>
              <w:snapToGrid/>
              <w:spacing w:before="0" w:after="0" w:line="360" w:lineRule="auto"/>
              <w:ind w:firstLineChars="200" w:firstLine="482"/>
              <w:jc w:val="both"/>
              <w:rPr>
                <w:rFonts w:ascii="宋体" w:eastAsia="宋体" w:hAnsi="宋体" w:cs="宋体"/>
                <w:color w:val="000000"/>
                <w:sz w:val="24"/>
              </w:rPr>
            </w:pPr>
            <w:r>
              <w:rPr>
                <w:rFonts w:ascii="宋体" w:eastAsia="宋体" w:hAnsi="宋体" w:cs="宋体"/>
                <w:b/>
                <w:color w:val="000000"/>
                <w:sz w:val="24"/>
              </w:rPr>
              <w:t>答：</w:t>
            </w:r>
            <w:r w:rsidR="00962376" w:rsidRPr="00962376">
              <w:rPr>
                <w:rFonts w:ascii="宋体" w:eastAsia="宋体" w:hAnsi="宋体" w:cs="宋体" w:hint="eastAsia"/>
                <w:color w:val="000000"/>
                <w:sz w:val="24"/>
              </w:rPr>
              <w:t>自</w:t>
            </w:r>
            <w:r w:rsidR="00962376">
              <w:rPr>
                <w:rFonts w:ascii="宋体" w:eastAsia="宋体" w:hAnsi="宋体" w:cs="宋体" w:hint="eastAsia"/>
                <w:color w:val="000000"/>
                <w:sz w:val="24"/>
              </w:rPr>
              <w:t>第</w:t>
            </w:r>
            <w:r>
              <w:rPr>
                <w:rFonts w:ascii="宋体" w:eastAsia="宋体" w:hAnsi="宋体" w:cs="宋体"/>
                <w:color w:val="000000"/>
                <w:sz w:val="24"/>
              </w:rPr>
              <w:t>二季度起，美国市场订单有望继续呈现上涨趋势。尤其第三季度，伴随客户车型订单增多以及大圆柱电池技术成熟，韩国工厂出货量预计将大幅提升。 </w:t>
            </w:r>
          </w:p>
          <w:p w:rsidR="00DA6772" w:rsidRDefault="00DA6772">
            <w:pPr>
              <w:snapToGrid/>
              <w:spacing w:before="0" w:after="0" w:line="360" w:lineRule="auto"/>
              <w:ind w:firstLineChars="200" w:firstLine="440"/>
              <w:jc w:val="both"/>
              <w:rPr>
                <w:rFonts w:hint="eastAsia"/>
              </w:rPr>
            </w:pPr>
          </w:p>
          <w:p w:rsidR="00785DED" w:rsidRDefault="00356540">
            <w:pPr>
              <w:snapToGrid/>
              <w:spacing w:before="0" w:after="0" w:line="360" w:lineRule="auto"/>
              <w:jc w:val="both"/>
              <w:rPr>
                <w:rFonts w:hint="eastAsia"/>
              </w:rPr>
            </w:pPr>
            <w:r>
              <w:rPr>
                <w:rFonts w:ascii="宋体" w:eastAsia="宋体" w:hAnsi="宋体" w:cs="宋体"/>
                <w:b/>
                <w:color w:val="000000"/>
                <w:sz w:val="24"/>
              </w:rPr>
              <w:t>九、在未来很长时间里，三元高镍和中镍是否会成为主流技术路线？</w:t>
            </w:r>
          </w:p>
          <w:p w:rsidR="00785DED" w:rsidRDefault="00356540">
            <w:pPr>
              <w:snapToGrid/>
              <w:spacing w:before="0" w:after="0" w:line="360" w:lineRule="auto"/>
              <w:ind w:firstLineChars="200" w:firstLine="482"/>
              <w:jc w:val="both"/>
              <w:rPr>
                <w:rFonts w:ascii="宋体" w:eastAsia="宋体" w:hAnsi="宋体" w:cs="宋体"/>
                <w:color w:val="000000"/>
                <w:sz w:val="24"/>
              </w:rPr>
            </w:pPr>
            <w:r>
              <w:rPr>
                <w:rFonts w:ascii="宋体" w:eastAsia="宋体" w:hAnsi="宋体" w:cs="宋体"/>
                <w:b/>
                <w:color w:val="000000"/>
                <w:sz w:val="24"/>
              </w:rPr>
              <w:t>答：</w:t>
            </w:r>
            <w:r>
              <w:rPr>
                <w:rFonts w:ascii="宋体" w:eastAsia="宋体" w:hAnsi="宋体" w:cs="宋体"/>
                <w:color w:val="000000"/>
                <w:sz w:val="24"/>
              </w:rPr>
              <w:t>公司认为，三元高镍与中镍技术路线将在长期内占据主流地位。其中，中镍凭借高电压特性具备显著性价比优势。公司正加速中镍产品研发，并与国内外头部企业达成战略合作，计划于今年下半年实现中镍材料批量出货。待2026年欧洲工厂投产后，中镍材料出货规模将进一步扩大，同时推动国内产线同步承接中镍订单，强化市场竞争力。</w:t>
            </w:r>
          </w:p>
          <w:p w:rsidR="00DA6772" w:rsidRDefault="00DA6772" w:rsidP="00DA6772">
            <w:pPr>
              <w:snapToGrid/>
              <w:spacing w:before="0" w:after="0" w:line="360" w:lineRule="auto"/>
              <w:jc w:val="both"/>
              <w:rPr>
                <w:rFonts w:hint="eastAsia"/>
              </w:rPr>
            </w:pPr>
          </w:p>
          <w:p w:rsidR="00785DED" w:rsidRDefault="00356540">
            <w:pPr>
              <w:snapToGrid/>
              <w:spacing w:before="0" w:after="0" w:line="360" w:lineRule="auto"/>
              <w:jc w:val="both"/>
              <w:rPr>
                <w:rFonts w:hint="eastAsia"/>
              </w:rPr>
            </w:pPr>
            <w:r>
              <w:rPr>
                <w:rFonts w:ascii="宋体" w:eastAsia="宋体" w:hAnsi="宋体" w:cs="宋体"/>
                <w:b/>
                <w:color w:val="000000"/>
                <w:sz w:val="24"/>
              </w:rPr>
              <w:t>十、公司近期在半固态电池和全固态电池方面的进展？</w:t>
            </w:r>
          </w:p>
          <w:p w:rsidR="00785DED" w:rsidRDefault="00356540">
            <w:pPr>
              <w:snapToGrid/>
              <w:spacing w:before="0" w:after="0" w:line="360" w:lineRule="auto"/>
              <w:ind w:firstLineChars="200" w:firstLine="482"/>
              <w:jc w:val="both"/>
              <w:rPr>
                <w:rFonts w:ascii="宋体" w:eastAsia="宋体" w:hAnsi="宋体" w:cs="宋体"/>
                <w:color w:val="000000"/>
                <w:sz w:val="24"/>
              </w:rPr>
            </w:pPr>
            <w:r>
              <w:rPr>
                <w:rFonts w:ascii="宋体" w:eastAsia="宋体" w:hAnsi="宋体" w:cs="宋体"/>
                <w:b/>
                <w:color w:val="000000"/>
                <w:sz w:val="24"/>
              </w:rPr>
              <w:t>答：</w:t>
            </w:r>
            <w:r>
              <w:rPr>
                <w:rFonts w:ascii="宋体" w:eastAsia="宋体" w:hAnsi="宋体" w:cs="宋体"/>
                <w:color w:val="000000"/>
                <w:sz w:val="24"/>
              </w:rPr>
              <w:t>半固态电池领域，公司持续稳定出货超高镍三元正极材料。全</w:t>
            </w:r>
            <w:r>
              <w:rPr>
                <w:rFonts w:ascii="宋体" w:eastAsia="宋体" w:hAnsi="宋体" w:cs="宋体"/>
                <w:color w:val="000000"/>
                <w:sz w:val="24"/>
              </w:rPr>
              <w:lastRenderedPageBreak/>
              <w:t>固态电池领域，公司重点研发超高镍三元正极材料与固态电解质。2025年一季度，超高镍三元正极材料已实现吨级送样测试，同时正在仙桃基地推进硫化物电解质中试线建设。</w:t>
            </w:r>
          </w:p>
          <w:p w:rsidR="00DA6772" w:rsidRDefault="00DA6772">
            <w:pPr>
              <w:snapToGrid/>
              <w:spacing w:before="0" w:after="0" w:line="360" w:lineRule="auto"/>
              <w:ind w:firstLineChars="200" w:firstLine="440"/>
              <w:jc w:val="both"/>
              <w:rPr>
                <w:rFonts w:hint="eastAsia"/>
              </w:rPr>
            </w:pPr>
          </w:p>
          <w:p w:rsidR="00785DED" w:rsidRDefault="00356540">
            <w:pPr>
              <w:snapToGrid/>
              <w:spacing w:before="0" w:after="0" w:line="360" w:lineRule="auto"/>
              <w:jc w:val="both"/>
              <w:rPr>
                <w:rFonts w:hint="eastAsia"/>
              </w:rPr>
            </w:pPr>
            <w:r>
              <w:rPr>
                <w:rFonts w:ascii="宋体" w:eastAsia="宋体" w:hAnsi="宋体" w:cs="宋体"/>
                <w:b/>
                <w:color w:val="000000"/>
                <w:sz w:val="24"/>
              </w:rPr>
              <w:t>十一、能否分享下富锂锰基产品更多的细节？</w:t>
            </w:r>
          </w:p>
          <w:p w:rsidR="00785DED" w:rsidRDefault="00356540">
            <w:pPr>
              <w:snapToGrid/>
              <w:spacing w:before="0" w:after="0" w:line="360" w:lineRule="auto"/>
              <w:ind w:firstLineChars="200" w:firstLine="482"/>
              <w:jc w:val="both"/>
              <w:rPr>
                <w:rFonts w:ascii="宋体" w:eastAsia="宋体" w:hAnsi="宋体" w:cs="宋体"/>
                <w:color w:val="000000"/>
                <w:sz w:val="24"/>
              </w:rPr>
            </w:pPr>
            <w:r>
              <w:rPr>
                <w:rFonts w:ascii="宋体" w:eastAsia="宋体" w:hAnsi="宋体" w:cs="宋体"/>
                <w:b/>
                <w:color w:val="000000"/>
                <w:sz w:val="24"/>
              </w:rPr>
              <w:t>答：</w:t>
            </w:r>
            <w:r>
              <w:rPr>
                <w:rFonts w:ascii="宋体" w:eastAsia="宋体" w:hAnsi="宋体" w:cs="宋体"/>
                <w:color w:val="000000"/>
                <w:sz w:val="24"/>
              </w:rPr>
              <w:t>由于超高镍三元正极材料在容量提升上存在瓶颈，富锂锰基正极材料愈发受到关注。目前行业内对富锂锰基正极材料的产业化研究仍处于起步阶段，而公司的测试显示，该材料在全固态体系中的容量可达300毫安时每克，且具备一定的循环性能，预计今年年底前可产出相关成果。</w:t>
            </w:r>
          </w:p>
          <w:p w:rsidR="00DA6772" w:rsidRDefault="00DA6772">
            <w:pPr>
              <w:snapToGrid/>
              <w:spacing w:before="0" w:after="0" w:line="360" w:lineRule="auto"/>
              <w:ind w:firstLineChars="200" w:firstLine="440"/>
              <w:jc w:val="both"/>
              <w:rPr>
                <w:rFonts w:hint="eastAsia"/>
              </w:rPr>
            </w:pPr>
          </w:p>
          <w:p w:rsidR="00785DED" w:rsidRDefault="00356540">
            <w:pPr>
              <w:snapToGrid/>
              <w:spacing w:before="0" w:after="0" w:line="360" w:lineRule="auto"/>
              <w:jc w:val="both"/>
              <w:rPr>
                <w:rFonts w:hint="eastAsia"/>
              </w:rPr>
            </w:pPr>
            <w:r>
              <w:rPr>
                <w:rFonts w:ascii="宋体" w:eastAsia="宋体" w:hAnsi="宋体" w:cs="宋体"/>
                <w:b/>
                <w:color w:val="000000"/>
                <w:sz w:val="24"/>
              </w:rPr>
              <w:t>十二、新国标对三元正极有哪些影响？</w:t>
            </w:r>
          </w:p>
          <w:p w:rsidR="00785DED" w:rsidRDefault="00356540">
            <w:pPr>
              <w:snapToGrid/>
              <w:spacing w:before="0" w:after="0" w:line="360" w:lineRule="auto"/>
              <w:ind w:firstLineChars="200" w:firstLine="482"/>
              <w:jc w:val="both"/>
              <w:rPr>
                <w:rFonts w:ascii="宋体" w:eastAsia="宋体" w:hAnsi="宋体" w:cs="宋体"/>
                <w:color w:val="000000"/>
                <w:sz w:val="24"/>
              </w:rPr>
            </w:pPr>
            <w:r>
              <w:rPr>
                <w:rFonts w:ascii="宋体" w:eastAsia="宋体" w:hAnsi="宋体" w:cs="宋体"/>
                <w:b/>
                <w:color w:val="000000"/>
                <w:sz w:val="24"/>
              </w:rPr>
              <w:t>答：</w:t>
            </w:r>
            <w:r>
              <w:rPr>
                <w:rFonts w:ascii="宋体" w:eastAsia="宋体" w:hAnsi="宋体" w:cs="宋体"/>
                <w:color w:val="000000"/>
                <w:sz w:val="24"/>
              </w:rPr>
              <w:t>新国标抬升了电池技术门槛，促使电池厂出现分化，综合实力强劲的电池厂优势更为凸显。对于材料厂来而言，新国标虽未对材料本身造成直接影响，却可能波及其部分客户，公司将持续深化同技术实力强的客户之间的战略合作。</w:t>
            </w:r>
          </w:p>
          <w:p w:rsidR="00DA6772" w:rsidRDefault="00DA6772">
            <w:pPr>
              <w:snapToGrid/>
              <w:spacing w:before="0" w:after="0" w:line="360" w:lineRule="auto"/>
              <w:ind w:firstLineChars="200" w:firstLine="440"/>
              <w:jc w:val="both"/>
              <w:rPr>
                <w:rFonts w:hint="eastAsia"/>
              </w:rPr>
            </w:pPr>
          </w:p>
          <w:p w:rsidR="00785DED" w:rsidRDefault="00356540">
            <w:pPr>
              <w:snapToGrid/>
              <w:spacing w:before="0" w:after="0" w:line="360" w:lineRule="auto"/>
              <w:jc w:val="both"/>
              <w:rPr>
                <w:rFonts w:hint="eastAsia"/>
              </w:rPr>
            </w:pPr>
            <w:r>
              <w:rPr>
                <w:rFonts w:ascii="宋体" w:eastAsia="宋体" w:hAnsi="宋体" w:cs="宋体"/>
                <w:b/>
                <w:color w:val="000000"/>
                <w:sz w:val="24"/>
              </w:rPr>
              <w:t>十三、如何看待磷酸铁锂压实密度持续提高，对锰铁锂产生的影响？</w:t>
            </w:r>
          </w:p>
          <w:p w:rsidR="00785DED" w:rsidRDefault="00356540">
            <w:pPr>
              <w:snapToGrid/>
              <w:spacing w:before="0" w:after="0" w:line="360" w:lineRule="auto"/>
              <w:ind w:firstLineChars="200" w:firstLine="482"/>
              <w:jc w:val="both"/>
              <w:rPr>
                <w:rFonts w:ascii="宋体" w:eastAsia="宋体" w:hAnsi="宋体" w:cs="宋体"/>
                <w:color w:val="000000"/>
                <w:sz w:val="24"/>
              </w:rPr>
            </w:pPr>
            <w:r>
              <w:rPr>
                <w:rFonts w:ascii="宋体" w:eastAsia="宋体" w:hAnsi="宋体" w:cs="宋体"/>
                <w:b/>
                <w:color w:val="000000"/>
                <w:sz w:val="24"/>
              </w:rPr>
              <w:t>答：</w:t>
            </w:r>
            <w:r>
              <w:rPr>
                <w:rFonts w:ascii="宋体" w:eastAsia="宋体" w:hAnsi="宋体" w:cs="宋体"/>
                <w:color w:val="000000"/>
                <w:sz w:val="24"/>
              </w:rPr>
              <w:t>在应对磷酸铁锂压实密度提升方面，锰铁锂也有对应举措。目前，锰铁锂已完成快充技术研发，可满足4C以上的快充需求，后续还将持续攻关，力求实现2.5至2.6g/cm³以上的压实密度。</w:t>
            </w:r>
          </w:p>
          <w:p w:rsidR="00DA6772" w:rsidRDefault="00DA6772">
            <w:pPr>
              <w:snapToGrid/>
              <w:spacing w:before="0" w:after="0" w:line="360" w:lineRule="auto"/>
              <w:ind w:firstLineChars="200" w:firstLine="440"/>
              <w:jc w:val="both"/>
              <w:rPr>
                <w:rFonts w:hint="eastAsia"/>
              </w:rPr>
            </w:pPr>
          </w:p>
          <w:p w:rsidR="00785DED" w:rsidRDefault="00356540">
            <w:pPr>
              <w:snapToGrid/>
              <w:spacing w:before="0" w:after="0" w:line="360" w:lineRule="auto"/>
              <w:jc w:val="both"/>
              <w:rPr>
                <w:rFonts w:hint="eastAsia"/>
              </w:rPr>
            </w:pPr>
            <w:r>
              <w:rPr>
                <w:rFonts w:ascii="宋体" w:eastAsia="宋体" w:hAnsi="宋体" w:cs="宋体"/>
                <w:b/>
                <w:color w:val="000000"/>
                <w:sz w:val="24"/>
              </w:rPr>
              <w:t>十四、关于三元正极技术演化的进展，尤其是四元路线和富锂锰基正极的进展如何？</w:t>
            </w:r>
          </w:p>
          <w:p w:rsidR="00785DED" w:rsidRDefault="00356540">
            <w:pPr>
              <w:snapToGrid/>
              <w:spacing w:before="0" w:after="0" w:line="360" w:lineRule="auto"/>
              <w:ind w:firstLineChars="200" w:firstLine="482"/>
              <w:jc w:val="both"/>
              <w:rPr>
                <w:rFonts w:hint="eastAsia"/>
              </w:rPr>
            </w:pPr>
            <w:r>
              <w:rPr>
                <w:rFonts w:ascii="宋体" w:eastAsia="宋体" w:hAnsi="宋体" w:cs="宋体"/>
                <w:b/>
                <w:color w:val="000000"/>
                <w:sz w:val="24"/>
              </w:rPr>
              <w:t>答：</w:t>
            </w:r>
            <w:r>
              <w:rPr>
                <w:rFonts w:ascii="宋体" w:eastAsia="宋体" w:hAnsi="宋体" w:cs="宋体"/>
                <w:color w:val="000000"/>
                <w:sz w:val="24"/>
              </w:rPr>
              <w:t>公司持续开展NCMA材料的产品研发工作，目前已有相应产品出货。同时，亦协同大客户推进富锂锰基正极材料的开发，产品已实现公斤级送样。</w:t>
            </w:r>
          </w:p>
        </w:tc>
      </w:tr>
      <w:tr w:rsidR="00785DED" w:rsidTr="00FB0610">
        <w:trPr>
          <w:trHeight w:val="681"/>
          <w:jc w:val="center"/>
        </w:trPr>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41" w:type="dxa"/>
              <w:right w:w="0" w:type="dxa"/>
            </w:tcMar>
          </w:tcPr>
          <w:p w:rsidR="00785DED" w:rsidRDefault="00356540">
            <w:pPr>
              <w:spacing w:before="0" w:after="0" w:line="360" w:lineRule="auto"/>
              <w:ind w:right="110"/>
              <w:jc w:val="center"/>
              <w:rPr>
                <w:rFonts w:hint="eastAsia"/>
              </w:rPr>
            </w:pPr>
            <w:r>
              <w:rPr>
                <w:rFonts w:ascii="宋体" w:eastAsia="宋体" w:hAnsi="宋体" w:cs="宋体"/>
                <w:b/>
                <w:color w:val="000000"/>
                <w:sz w:val="24"/>
              </w:rPr>
              <w:lastRenderedPageBreak/>
              <w:t> </w:t>
            </w:r>
          </w:p>
        </w:tc>
        <w:tc>
          <w:tcPr>
            <w:tcW w:w="7500" w:type="dxa"/>
            <w:tcBorders>
              <w:top w:val="single" w:sz="6" w:space="0" w:color="CBCDD1"/>
              <w:left w:val="single" w:sz="6" w:space="0" w:color="000000"/>
              <w:bottom w:val="single" w:sz="6" w:space="0" w:color="000000"/>
              <w:right w:val="single" w:sz="6" w:space="0" w:color="000000"/>
            </w:tcBorders>
            <w:tcMar>
              <w:top w:w="0" w:type="dxa"/>
              <w:left w:w="108" w:type="dxa"/>
              <w:bottom w:w="41" w:type="dxa"/>
              <w:right w:w="0" w:type="dxa"/>
            </w:tcMar>
          </w:tcPr>
          <w:p w:rsidR="00785DED" w:rsidRDefault="00356540" w:rsidP="00FB0610">
            <w:pPr>
              <w:spacing w:before="156" w:after="156" w:line="360" w:lineRule="auto"/>
              <w:jc w:val="both"/>
              <w:rPr>
                <w:rFonts w:hint="eastAsia"/>
              </w:rPr>
            </w:pPr>
            <w:r>
              <w:rPr>
                <w:rFonts w:ascii="宋体" w:eastAsia="宋体" w:hAnsi="宋体" w:cs="宋体"/>
                <w:color w:val="000000"/>
                <w:sz w:val="24"/>
              </w:rPr>
              <w:t>《与会清单》</w:t>
            </w:r>
          </w:p>
        </w:tc>
      </w:tr>
    </w:tbl>
    <w:p w:rsidR="00785DED" w:rsidRDefault="00356540">
      <w:pPr>
        <w:snapToGrid/>
        <w:spacing w:before="0" w:after="0" w:line="360" w:lineRule="auto"/>
        <w:rPr>
          <w:rFonts w:hint="eastAsia"/>
        </w:rPr>
      </w:pPr>
      <w:r>
        <w:rPr>
          <w:rFonts w:ascii="宋体" w:eastAsia="宋体" w:hAnsi="宋体" w:cs="宋体"/>
          <w:b/>
          <w:color w:val="000000"/>
          <w:sz w:val="24"/>
        </w:rPr>
        <w:t> </w:t>
      </w:r>
    </w:p>
    <w:p w:rsidR="00FB0610" w:rsidRDefault="00FB0610">
      <w:pPr>
        <w:spacing w:before="0" w:after="0" w:line="360" w:lineRule="auto"/>
        <w:rPr>
          <w:rFonts w:ascii="宋体" w:eastAsia="宋体" w:hAnsi="宋体" w:cs="宋体"/>
          <w:b/>
          <w:color w:val="000000"/>
          <w:sz w:val="24"/>
        </w:rPr>
      </w:pPr>
    </w:p>
    <w:p w:rsidR="00785DED" w:rsidRDefault="00356540">
      <w:pPr>
        <w:spacing w:before="0" w:after="0" w:line="360" w:lineRule="auto"/>
        <w:rPr>
          <w:rFonts w:hint="eastAsia"/>
        </w:rPr>
      </w:pPr>
      <w:r>
        <w:rPr>
          <w:rFonts w:ascii="宋体" w:eastAsia="宋体" w:hAnsi="宋体" w:cs="宋体"/>
          <w:b/>
          <w:color w:val="000000"/>
          <w:sz w:val="24"/>
        </w:rPr>
        <w:lastRenderedPageBreak/>
        <w:t>附件：《与会清单》</w:t>
      </w:r>
    </w:p>
    <w:tbl>
      <w:tblPr>
        <w:tblStyle w:val="a3"/>
        <w:tblW w:w="0" w:type="auto"/>
        <w:tblLayout w:type="fixed"/>
        <w:tblLook w:val="04A0" w:firstRow="1" w:lastRow="0" w:firstColumn="1" w:lastColumn="0" w:noHBand="0" w:noVBand="1"/>
      </w:tblPr>
      <w:tblGrid>
        <w:gridCol w:w="4245"/>
        <w:gridCol w:w="4320"/>
      </w:tblGrid>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IncTarCap</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平安银行股份有限公司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北京富智投资管理有限公司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青岛止定私募基金管理有限公司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北京泓澄投资管理有限公司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瑞银集团</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北京鸿道投资管理有限责任公司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厦门象屿金象控股集团有限公司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北京久银投资控股股份有限公司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山东能源装备集团鲁中装备制造有限公司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北京汽车集团产业投资有限公司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山西证券股份有限公司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北京玺悦资产管理有限公司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上海光合未来私募基金管理有限公司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北京禹田资本管理有限公司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上海国际信托有限公司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北京中泽控股集团有限公司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上海国理投资有限公司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财通证券股份有限公司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上海申银万国证券研究所有限公司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常州投资集团有限公司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上海天猊投资管理有限公司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大和证券株式会社</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上海途灵资产管理有限公司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东方财富证券股份有限公司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上海蔚来汽车有限公司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东方基金管理股份有限公司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申万宏源证券有限公司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东方证券股份有限公司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申万宏源证券资产管理有限公司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东吴证券股份有限公司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申万菱信基金管理有限公司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敦和资产管理有限公司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深圳进门财经科技股份有限公司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格林基金管理有限公司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深圳量度资本投资管理有限公司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耕霁(上海)投资管理有限公司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深圳前海亿阳投资管理有限公司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光大证券股份有限公司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深圳市国晖投资有限公司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广东二十一世纪传媒股份有限公司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深圳市红筹投资有限公司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广东正圆私募基金管理有限公司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深圳市前海禾丰正则资产管理有限公司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广发证券股份有限公司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深圳中天汇富基金管理有限公司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硅谷天堂产业集团股份有限公司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沈阳广益恒嘉私募基金管理有限公司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国海创新资本投资管理有限公司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首程控股有限公司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国海证券股份有限公司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太平洋证券股份有限公司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国金证券股份有限公司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天风(上海)证券资产管理有限公司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lastRenderedPageBreak/>
              <w:t>国联民生证券股份有限公司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天风证券股份有限公司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国盛证券有限责任公司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天惠投资有限责任公司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国泰海通证券股份有限公司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蔚来资本</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国投证券股份有限公司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武汉证国私募基金管理有限公司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国信证券股份有限公司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西部长江企业管理重庆有限公司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海南棕榈湾投资有限公司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西部证券股份有限公司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杭州红骅投资管理有限公司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兴业证券股份有限公司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杭州玖龙资产管理有限公司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兴证全球基金管理有限公司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杭州长谋投资管理有限公司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野村东方国际证券有限公司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泓德基金管理有限公司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永骥投资(上海)有限公司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鸿运私募基金管理(海南)有限公司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甬兴证券有限公司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湖南顺华锂业有限公司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长安国际信托股份有限公司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花旗环球金融亚洲有限公司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长沙美丰资产管理有限公司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华安证券股份有限公司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招商基金管理有限公司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华创证券有限责任公司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招商证券股份有限公司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华福证券有限责任公司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浙江富浙私募基金管理有限公司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华金证券股份有限公司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浙江农村商业联合银行股份有限公司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华泰证券股份有限公司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中国国际金融股份有限公司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华鑫证券有限责任公司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中国人民健康保险股份有限公司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金沙江资本</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中国信达资产管理股份有限公司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金沙江资本(香港)有限公司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中国银河证券股份有限公司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昆仑健康保险股份有限公司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中泰证券股份有限公司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民生证券股份有限公司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中信建投(国际)金融控股有限公司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宁波高新区台裕科技有限公司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中信期货有限公司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宁波信涛私募基金管理合伙企业(有限合伙)</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中信证券股份有限公司</w:t>
            </w:r>
          </w:p>
        </w:tc>
      </w:tr>
      <w:tr w:rsidR="00785DED" w:rsidTr="00FB0610">
        <w:trPr>
          <w:trHeight w:val="280"/>
        </w:trPr>
        <w:tc>
          <w:tcPr>
            <w:tcW w:w="4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宁海经佳股权投资有限公司</w:t>
            </w:r>
          </w:p>
        </w:tc>
        <w:tc>
          <w:tcPr>
            <w:tcW w:w="432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tcPr>
          <w:p w:rsidR="00785DED" w:rsidRDefault="00356540" w:rsidP="00FB0610">
            <w:pPr>
              <w:snapToGrid/>
              <w:spacing w:before="0" w:after="0" w:line="360" w:lineRule="auto"/>
              <w:jc w:val="center"/>
              <w:rPr>
                <w:rFonts w:hint="eastAsia"/>
              </w:rPr>
            </w:pPr>
            <w:r>
              <w:rPr>
                <w:rFonts w:ascii="宋体" w:eastAsia="宋体" w:hAnsi="宋体" w:cs="宋体"/>
                <w:color w:val="000000"/>
                <w:sz w:val="24"/>
              </w:rPr>
              <w:t>中银国际证券股份有限公司</w:t>
            </w:r>
          </w:p>
        </w:tc>
      </w:tr>
    </w:tbl>
    <w:p w:rsidR="00785DED" w:rsidRDefault="00785DED">
      <w:pPr>
        <w:snapToGrid/>
        <w:spacing w:before="0" w:after="0" w:line="360" w:lineRule="auto"/>
        <w:jc w:val="center"/>
        <w:rPr>
          <w:rFonts w:hint="eastAsia"/>
        </w:rPr>
      </w:pPr>
      <w:bookmarkStart w:id="0" w:name="_GoBack"/>
      <w:bookmarkEnd w:id="0"/>
    </w:p>
    <w:p w:rsidR="00785DED" w:rsidRDefault="00785DED">
      <w:pPr>
        <w:rPr>
          <w:rFonts w:hint="eastAsia"/>
        </w:rPr>
      </w:pPr>
    </w:p>
    <w:sectPr w:rsidR="00785DED">
      <w:pgSz w:w="11905" w:h="16838"/>
      <w:pgMar w:top="1361" w:right="1417" w:bottom="136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389" w:rsidRDefault="00F10389" w:rsidP="006D4D98">
      <w:pPr>
        <w:spacing w:before="0" w:after="0" w:line="240" w:lineRule="auto"/>
        <w:rPr>
          <w:rFonts w:hint="eastAsia"/>
        </w:rPr>
      </w:pPr>
      <w:r>
        <w:separator/>
      </w:r>
    </w:p>
  </w:endnote>
  <w:endnote w:type="continuationSeparator" w:id="0">
    <w:p w:rsidR="00F10389" w:rsidRDefault="00F10389" w:rsidP="006D4D98">
      <w:pPr>
        <w:spacing w:before="0"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orHAnsi">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389" w:rsidRDefault="00F10389" w:rsidP="006D4D98">
      <w:pPr>
        <w:spacing w:before="0" w:after="0" w:line="240" w:lineRule="auto"/>
        <w:rPr>
          <w:rFonts w:hint="eastAsia"/>
        </w:rPr>
      </w:pPr>
      <w:r>
        <w:separator/>
      </w:r>
    </w:p>
  </w:footnote>
  <w:footnote w:type="continuationSeparator" w:id="0">
    <w:p w:rsidR="00F10389" w:rsidRDefault="00F10389" w:rsidP="006D4D98">
      <w:pPr>
        <w:spacing w:before="0"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3A0"/>
    <w:rsid w:val="00262110"/>
    <w:rsid w:val="00356540"/>
    <w:rsid w:val="00442139"/>
    <w:rsid w:val="00480717"/>
    <w:rsid w:val="00500759"/>
    <w:rsid w:val="00680AC3"/>
    <w:rsid w:val="006D4D98"/>
    <w:rsid w:val="007452DF"/>
    <w:rsid w:val="00785DED"/>
    <w:rsid w:val="008F4B3F"/>
    <w:rsid w:val="00962376"/>
    <w:rsid w:val="00B51C46"/>
    <w:rsid w:val="00C43124"/>
    <w:rsid w:val="00DA6772"/>
    <w:rsid w:val="00E023A0"/>
    <w:rsid w:val="00F10389"/>
    <w:rsid w:val="00F21B23"/>
    <w:rsid w:val="00FB0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2CAF9"/>
  <w15:chartTrackingRefBased/>
  <w15:docId w15:val="{0549D595-5F3E-9A49-832F-E7DF3778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norHAnsi" w:eastAsiaTheme="minorEastAsia" w:hAnsi="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paragraph" w:styleId="a4">
    <w:name w:val="Title"/>
    <w:basedOn w:val="a"/>
    <w:next w:val="a"/>
    <w:uiPriority w:val="10"/>
    <w:qFormat/>
    <w:pPr>
      <w:keepNext/>
      <w:keepLines/>
      <w:spacing w:before="0" w:after="0" w:line="408" w:lineRule="auto"/>
      <w:jc w:val="center"/>
      <w:outlineLvl w:val="0"/>
    </w:pPr>
    <w:rPr>
      <w:b/>
      <w:bCs/>
      <w:color w:val="1A1A1A"/>
      <w:sz w:val="48"/>
      <w:szCs w:val="48"/>
    </w:rPr>
  </w:style>
  <w:style w:type="paragraph" w:styleId="a5">
    <w:name w:val="header"/>
    <w:basedOn w:val="a"/>
    <w:link w:val="a6"/>
    <w:uiPriority w:val="99"/>
    <w:unhideWhenUsed/>
    <w:rsid w:val="006D4D98"/>
    <w:pPr>
      <w:pBdr>
        <w:bottom w:val="single" w:sz="6" w:space="1" w:color="auto"/>
      </w:pBdr>
      <w:tabs>
        <w:tab w:val="center" w:pos="4153"/>
        <w:tab w:val="right" w:pos="8306"/>
      </w:tabs>
      <w:spacing w:line="240" w:lineRule="auto"/>
      <w:jc w:val="center"/>
    </w:pPr>
    <w:rPr>
      <w:sz w:val="18"/>
      <w:szCs w:val="18"/>
    </w:rPr>
  </w:style>
  <w:style w:type="character" w:customStyle="1" w:styleId="a6">
    <w:name w:val="页眉 字符"/>
    <w:basedOn w:val="a0"/>
    <w:link w:val="a5"/>
    <w:uiPriority w:val="99"/>
    <w:rsid w:val="006D4D98"/>
    <w:rPr>
      <w:sz w:val="18"/>
      <w:szCs w:val="18"/>
    </w:rPr>
  </w:style>
  <w:style w:type="paragraph" w:styleId="a7">
    <w:name w:val="footer"/>
    <w:basedOn w:val="a"/>
    <w:link w:val="a8"/>
    <w:uiPriority w:val="99"/>
    <w:unhideWhenUsed/>
    <w:rsid w:val="006D4D98"/>
    <w:pPr>
      <w:tabs>
        <w:tab w:val="center" w:pos="4153"/>
        <w:tab w:val="right" w:pos="8306"/>
      </w:tabs>
      <w:spacing w:line="240" w:lineRule="auto"/>
    </w:pPr>
    <w:rPr>
      <w:sz w:val="18"/>
      <w:szCs w:val="18"/>
    </w:rPr>
  </w:style>
  <w:style w:type="character" w:customStyle="1" w:styleId="a8">
    <w:name w:val="页脚 字符"/>
    <w:basedOn w:val="a0"/>
    <w:link w:val="a7"/>
    <w:uiPriority w:val="99"/>
    <w:rsid w:val="006D4D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8</cp:revision>
  <dcterms:created xsi:type="dcterms:W3CDTF">2025-05-07T09:40:00Z</dcterms:created>
  <dcterms:modified xsi:type="dcterms:W3CDTF">2025-05-07T02:49:00Z</dcterms:modified>
</cp:coreProperties>
</file>