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C075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  <w:szCs w:val="22"/>
        </w:rPr>
      </w:pPr>
      <w:r>
        <w:rPr>
          <w:rFonts w:hint="eastAsia" w:ascii="宋体" w:hAnsi="宋体"/>
          <w:bCs/>
          <w:iCs/>
          <w:color w:val="000000"/>
          <w:sz w:val="24"/>
          <w:szCs w:val="22"/>
        </w:rPr>
        <w:t xml:space="preserve">证券代码：688484                                </w:t>
      </w:r>
      <w:r>
        <w:rPr>
          <w:rFonts w:ascii="宋体" w:hAnsi="宋体"/>
          <w:bCs/>
          <w:iCs/>
          <w:color w:val="000000"/>
          <w:sz w:val="24"/>
          <w:szCs w:val="22"/>
        </w:rPr>
        <w:t xml:space="preserve">   </w:t>
      </w:r>
      <w:r>
        <w:rPr>
          <w:rFonts w:hint="eastAsia" w:ascii="宋体" w:hAnsi="宋体"/>
          <w:bCs/>
          <w:iCs/>
          <w:color w:val="000000"/>
          <w:sz w:val="24"/>
          <w:szCs w:val="22"/>
        </w:rPr>
        <w:t>证券简称：南芯科技</w:t>
      </w:r>
    </w:p>
    <w:p w14:paraId="3E479E65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</w:p>
    <w:p w14:paraId="62F6DBE7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>
      <w:pPr>
        <w:spacing w:line="360" w:lineRule="auto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FF0000"/>
          <w:sz w:val="32"/>
          <w:szCs w:val="32"/>
        </w:rPr>
        <w:t>投资者关系活动记录表</w:t>
      </w:r>
    </w:p>
    <w:p w14:paraId="64891BC8">
      <w:pPr>
        <w:spacing w:line="400" w:lineRule="exact"/>
        <w:ind w:firstLine="480" w:firstLineChars="20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编号：202</w:t>
      </w:r>
      <w:r>
        <w:rPr>
          <w:rFonts w:ascii="宋体" w:hAnsi="宋体"/>
          <w:bCs/>
          <w:iCs/>
          <w:color w:val="000000"/>
          <w:sz w:val="24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-00</w:t>
      </w:r>
      <w:r>
        <w:rPr>
          <w:rFonts w:ascii="宋体" w:hAnsi="宋体"/>
          <w:bCs/>
          <w:iCs/>
          <w:color w:val="000000"/>
          <w:sz w:val="24"/>
        </w:rPr>
        <w:t>1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6"/>
      </w:tblGrid>
      <w:tr w14:paraId="2C19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C624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投资者关系活动类别</w:t>
            </w:r>
          </w:p>
          <w:p w14:paraId="7636E0E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EC16C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特定对象调研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分析师会议</w:t>
            </w:r>
          </w:p>
          <w:p w14:paraId="6B5BDB17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媒体采访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业绩说明会</w:t>
            </w:r>
          </w:p>
          <w:p w14:paraId="0042B3D9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新闻发布会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路演活动</w:t>
            </w:r>
          </w:p>
          <w:p w14:paraId="016317F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现场参观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ab/>
            </w:r>
          </w:p>
          <w:p w14:paraId="0795FF3A">
            <w:pPr>
              <w:tabs>
                <w:tab w:val="center" w:pos="3199"/>
              </w:tabs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 （电话会议）</w:t>
            </w:r>
          </w:p>
        </w:tc>
      </w:tr>
      <w:tr w14:paraId="75AA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0A3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EA98D">
            <w:pPr>
              <w:spacing w:line="400" w:lineRule="exact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子翼投资、朱雀基金管理有限公司、中邮证券有限责任公司、中邮创业基金管理股份有限公司、中信证券股份有限公司、中信建投证券股份有限公司、中信保诚基金管理有限公司、中国国际金融股份有限公司、中国船舶集团投资有限公司、招商证券股份有限公司、长江证券股份有限公司、兴业证券股份有限公司、兴业银行股份有限公司、西部证券股份有限公司、文渊资本管理有限公司、天弘基金管理有限公司、太平基金管理有限公司、施罗德投资管理(香港)有限公司、施罗德投资管理(上海)有限公司、深圳市尚诚资产管理有限责任公司、深圳市恒信华业股权投资基金管理有限公司、申万宏源证券有限公司、上海证券有限责任公司、上海湘禾投资有限公司、上海申银万国证券研究所有限公司、上海熵盈私募基金管理有限公司、上海宁泉资产管理有限公司、上海明汯投资管理有限公司、上海理成资产管理有限公司、上海呈瑞投资管理有限公司、上海标朴投资管理有限公司、厦门圆和景明投资有限公司、瑞银证券有限责任公司、平安证券股份有限公司、磐厚动量(上海)资本管理有限公司、宁波泓宁亨泰投资管理有限公司、纳弗斯信息科技(上海)有限公司、摩根士丹利基金管理(中国)有限公司、摩根大通证券(中国)有限公司、路博迈集团、金鹰基金管理有限公司、交银施罗德资产管理(香港)有限公司、交银施罗德基金管理有限公司、嘉实基金管理有限公司、汇丰前海证券有限责任公司、汇百川基金管理有限公司、华源证券股份有限公司、华西证券股份有限公司、华泰证券股份有限公司、华泰金融控股(香港)有限公司、华泰保兴基金管理有限公司、华金证券股份有限公司、华福证券有限责任公司、华创证券有限责任公司、华宝信托有限责任公司、华安证券股份有限公司、合众资产管理股份有限公司、杭州汇升投资管理有限公司、海南峰和私募基金管理有限公司、海创(上海)私募基金管理有限公司、国信证券股份有限公司、国投证券股份有限公司、国泰证券投资信托股份有限公司、国泰海通证券股份有限公司、国盛证券有限责任公司、国融基金管理有限公司、国联民生证券股份有限公司、国金证券股份有限公司、国海证券股份有限公司、广发证券股份有限公司、光大证券股份有限公司、东兴基金管理有限公司、大家资产管理有限责任公司、财通证券股份有限公司、博时基金管理有限公司、毕盛(上海)投资管理有限公司、北京橡果资产管理有限公司、鲍尔赛嘉(上海)投资管理有限公司、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UBS Group A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G</w:t>
            </w:r>
          </w:p>
        </w:tc>
      </w:tr>
      <w:tr w14:paraId="2333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9A44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8338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202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年4月2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日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: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0-1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: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63EE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1520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C8E9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线上会议</w:t>
            </w:r>
          </w:p>
        </w:tc>
      </w:tr>
      <w:tr w14:paraId="7431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55C7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E2D9">
            <w:pPr>
              <w:pStyle w:val="15"/>
              <w:spacing w:line="520" w:lineRule="exact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董事长兼总经理 阮晨杰</w:t>
            </w:r>
          </w:p>
          <w:p w14:paraId="4AED3EE9">
            <w:pPr>
              <w:pStyle w:val="15"/>
              <w:spacing w:line="520" w:lineRule="exact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董事会秘书 梁映珍</w:t>
            </w:r>
          </w:p>
          <w:p w14:paraId="0E559A1F">
            <w:pPr>
              <w:pStyle w:val="15"/>
              <w:spacing w:line="520" w:lineRule="exact"/>
              <w:rPr>
                <w:rFonts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财务负责人 赵熹</w:t>
            </w:r>
          </w:p>
        </w:tc>
      </w:tr>
    </w:tbl>
    <w:p w14:paraId="2984EB00">
      <w:bookmarkStart w:id="0" w:name="_GoBack"/>
      <w:bookmarkEnd w:id="0"/>
    </w:p>
    <w:p w14:paraId="2654008C">
      <w:r>
        <w:br w:type="page"/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6"/>
      </w:tblGrid>
      <w:tr w14:paraId="16BE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C09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676D352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5517A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主要交流的问题：</w:t>
            </w:r>
          </w:p>
          <w:p w14:paraId="54CE4A1B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问题一：去年汽车业务增长情况如何？后续公司汽车的布局情况如何？当前如何看待国产替代的趋势？</w:t>
            </w:r>
          </w:p>
          <w:p w14:paraId="1A3DB671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答：2024 年，公司汽车业务增速达到 179%，在营收中所占比重超过 3%，远超去年年初预期。2025 年，该业务有望继续保持快速增长态势，占比也将进一步显著提升。目前，公司在汽车领域正处于快速拓展阶段，布局涵盖车身控制、智能驾驶、智能座舱、车载充电四大领域。在这些领域，公司已推出多款新品，如部分高端PMIC以及域控制器中的驱动类芯片等。2025 年，公司还计划推出涉及更多细分领域的产品。</w:t>
            </w:r>
          </w:p>
          <w:p w14:paraId="694559B0">
            <w:pPr>
              <w:spacing w:line="48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产替代或自主可控已成为行业发展的重要趋势，为汽车领域的厂商带来了良好机遇。尽管公司涉足汽车业务的时间相对较短，但在产品推出及迭代方面效率高，获得了客户的高度认可。公司车载业务团队充分发挥了在消费电子领域积累的优势能力，有信心在未来几年实现汽车电子业务的快速增长和占比提升，不断丰富产品种类，并拓展更多海内外汽车领域客户。近期，公司正式发布了车规级高速CAN产品，便是公司在该领域持续推进业务发展的有力证明。</w:t>
            </w:r>
          </w:p>
          <w:p w14:paraId="1560A839">
            <w:pPr>
              <w:spacing w:line="4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14832C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问题二：公司的研发费用率今年会在什么样的水准？公司今年收购了昇生微，后续的发展策略是什么？</w:t>
            </w:r>
          </w:p>
          <w:p w14:paraId="5D559D75">
            <w:pPr>
              <w:spacing w:line="480" w:lineRule="exact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答：2024 年下半年，公司员工规模扩张迅速，全年研发人员占比维持在三分之二左右，导致下半年研发费用率较上半年有较为明显的上升，全年研发费用率为 17.01%。2025 年，公司员工数量可能会继续增加，预计今年研发费用率可能与去年水平相近，研发费用的增长幅度预计与公司收入增速相匹配。</w:t>
            </w:r>
          </w:p>
          <w:p w14:paraId="7942CF65">
            <w:pPr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公司收购昇生微，保留了其核心团队。昇生微与公司的价值观高度契合，在MCU、数字芯片领域具备比较强的能力，其产品路线与公司现有业务路线具有良好的匹配度，且交易对价合理。在整合方面，公司将首先在业务端和供应链层面为昇生微赋能，双方在诸多方面能够形成互补，有利于提升其运营效率。在产品层面，公司的电源方面的能力将赋能昇生微。TWS 业务只是一个领域，后续还将拓展至更多端侧产品领域，还包括汽车、工业等领域的业务机会。</w:t>
            </w:r>
          </w:p>
          <w:p w14:paraId="7510A346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AB26E7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问题三：公司在工业领域具体是哪些下游方向的布局？</w:t>
            </w:r>
          </w:p>
          <w:p w14:paraId="4C28D92C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答：公司目前在工业领域的产品主要应用于储能、无人机、电池系统等下游方向。2024 年，公司持续推出了多款适用于储能、光伏、通信领域的芯片新品。今年及未来，公司还将拓展更多新方向，积极布局 AI Power、工业自动化、工控及机器人领域，以把握这些长期发展的重要机遇，后续工业相关在公司整体业务中的占比有望得到提升。</w:t>
            </w:r>
          </w:p>
          <w:p w14:paraId="1FF477D0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31B995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问题四：公司在有线充电的业务情况如何？公司业务后续的增长驱动力在哪些方面？</w:t>
            </w:r>
          </w:p>
          <w:p w14:paraId="400FA3CC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在有线充电方面，公司保持领先的技术优势，占据明显的优势竞争地位。当前，有公司的技术趋势正朝着集成化、系统化综合解决方案的方向发展，这有助于公司进一步巩固自身优势。去年，集成化、系统化有线充电业务已取得了显著突破。</w:t>
            </w:r>
          </w:p>
          <w:p w14:paraId="1CF24E85">
            <w:pPr>
              <w:spacing w:line="48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业务长期增长的驱动力基于底层的产品能力，致力于实现多元化、平台化的发展战略。从具体领域来看，公司不仅在汽车、工业等领域拥有较好的发展机遇，在众多细分方向也在持续推进新品布局。在高端消费电子领域，包括无线充电、显示电源、锂电管理、适配器电源等方向，均具备强劲的成长动能。业务范围从智能手机拓展至PC、平板电脑、TWS、智能穿戴设备等，将有更广阔的业务空间。</w:t>
            </w:r>
          </w:p>
          <w:p w14:paraId="2A0A036D">
            <w:pPr>
              <w:spacing w:line="48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 年，公司在有线充电业务稳健发展的同时，高集成度的有线充电芯片、显示屏电源芯片、锂电管理芯片、氮化镓（GaN）合封方案和全集成反激方案 POWERQUARK®，已在国内多家大客户实现规模化应用，销量增长迅速。预计今年将取得更为显著的市场成绩。</w:t>
            </w:r>
          </w:p>
          <w:p w14:paraId="2128403A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6AACED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问题五：公司如何看待无线充业务的发展情况？</w:t>
            </w:r>
          </w:p>
          <w:p w14:paraId="556ED83E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答：公司预计今年无线充业务有望实现快速增长。这主要得益于公司在无线充接收端取得的进展，已切入多各主要手机品牌客户，并实现了不同程度的业务突破。</w:t>
            </w:r>
          </w:p>
          <w:p w14:paraId="1BB85CA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937B65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问题六：代工厂方面目前看到产能的变化情况吗？成本的变化情况如何？</w:t>
            </w:r>
          </w:p>
          <w:p w14:paraId="13293EE4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目前，部分晶圆厂和封装厂的产能出现了趋紧的情况。公司在供应链管理方面制定了明确的战略规划，对产能锁定、投片等环节均有制定计划，并会根据市场大环境的变化及时做出调整。当前，公司在产能分配上能够合理匹配业务订单需求。</w:t>
            </w:r>
          </w:p>
          <w:p w14:paraId="679F6954">
            <w:pPr>
              <w:spacing w:line="48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公司的晶圆采购价格和封装测试价格保持稳定。未来，公司将持续推动独有工艺在更多产品类别中的应用，并不断强化供应链多元化能力，进一步巩固和优化公司的虚拟 IDM 能力。</w:t>
            </w:r>
          </w:p>
          <w:p w14:paraId="2CE33E04">
            <w:pPr>
              <w:spacing w:line="4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E9F5AF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问题七：有看到公司推出C</w:t>
            </w:r>
            <w:r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AN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接口方面的产品，方便介绍一下吗？后续我们有意向在信号链方面更多的产品推出吗？</w:t>
            </w:r>
          </w:p>
          <w:p w14:paraId="3E96513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答：公司最近推出了车规级高速 CAN/CAN FD 收发器产品SC25042Q，适用于主流12V和24V汽车系统，可直连3-5VMCU，集成了振铃抑制功能，抗电磁干扰能力强，可实现无损时间传输，保证信号的高效可靠。</w:t>
            </w:r>
          </w:p>
          <w:p w14:paraId="459D53B6">
            <w:pPr>
              <w:spacing w:line="480" w:lineRule="exact"/>
              <w:ind w:firstLine="480" w:firstLineChars="200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车规方面，去年公司已推出支持单/双/四/六通道的高边开关产品、高集成度的车载摄像头PMIC、8通道半桥驱动器、车规eFuse、36V升降压转换器等新产品，今年明年还将继续围绕车载综合解决方案进一步完善产品布局，不仅局限于信号链，电源、驱动等产品也会有更多型号推出，在正确的方向，公司会坚定不移的持续投入，期望汽车能成为公司长期可持续发展，走向世界的源动力之一。</w:t>
            </w:r>
          </w:p>
          <w:p w14:paraId="27C4A6D8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ACA1C1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问题八：公司的知名品牌客户较多，后续还会加大力度拓展经销商吗？</w:t>
            </w:r>
          </w:p>
          <w:p w14:paraId="6F6EDD09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客户与业务是结果，产品竞争力则是取得好的结果的本质。无论是国内国外的大客户，对于公司都是技术、能力的重要牵引，能够不断提升公司的产品竞争力，以及推出市场真正迫切需要的正确的产品。经销商对于公司而言就是把公司所具备的核心能力进行一个转换，有更多的渠道则能够帮助做到更大程度的转换，犹如放大器的功能。因此，公司在大客户和经销商会两线并举，这是相辅相成的发展模式。</w:t>
            </w:r>
          </w:p>
          <w:p w14:paraId="1CC7E2BD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6D6B6D">
            <w:pPr>
              <w:spacing w:line="480" w:lineRule="exact"/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问题九：公司一季报中增加1</w:t>
            </w:r>
            <w:r>
              <w:rPr>
                <w:rFonts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亿的商誉，这个是什么原因？</w:t>
            </w:r>
          </w:p>
          <w:p w14:paraId="6CA20308">
            <w:pPr>
              <w:spacing w:line="480" w:lineRule="exact"/>
              <w:rPr>
                <w:rFonts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答：公司目前已经完成了对昇生微的收购全部流程，由于在一季度已经支付了交易款项，在一季度末公司先对昇生微的资产负债表进行了并表，商誉的金额是结合在并表时点净资产的情况来测算的。</w:t>
            </w:r>
          </w:p>
        </w:tc>
      </w:tr>
      <w:tr w14:paraId="7FC4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F4F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附件清单</w:t>
            </w:r>
          </w:p>
          <w:p w14:paraId="063E53FE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37B2C0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39CC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B323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38458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.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.</w:t>
            </w:r>
            <w:r>
              <w:rPr>
                <w:rFonts w:asciiTheme="minorEastAsia" w:hAnsiTheme="minorEastAsia" w:eastAsiaTheme="minorEastAsia" w:cstheme="minorEastAsia"/>
                <w:bCs/>
                <w:iCs/>
                <w:color w:val="000000"/>
                <w:sz w:val="24"/>
              </w:rPr>
              <w:t>29</w:t>
            </w:r>
          </w:p>
        </w:tc>
      </w:tr>
    </w:tbl>
    <w:p w14:paraId="0BDFA1E2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26A62"/>
    <w:rsid w:val="00032A5D"/>
    <w:rsid w:val="000419E7"/>
    <w:rsid w:val="00050098"/>
    <w:rsid w:val="00054C15"/>
    <w:rsid w:val="00055B51"/>
    <w:rsid w:val="0006601A"/>
    <w:rsid w:val="00067900"/>
    <w:rsid w:val="000807FF"/>
    <w:rsid w:val="00082FEC"/>
    <w:rsid w:val="000833F1"/>
    <w:rsid w:val="00083F5D"/>
    <w:rsid w:val="000866C5"/>
    <w:rsid w:val="000934CF"/>
    <w:rsid w:val="00093BD5"/>
    <w:rsid w:val="000942B7"/>
    <w:rsid w:val="00095A69"/>
    <w:rsid w:val="000A344F"/>
    <w:rsid w:val="000A5F1C"/>
    <w:rsid w:val="000B409F"/>
    <w:rsid w:val="000E5184"/>
    <w:rsid w:val="000E548C"/>
    <w:rsid w:val="000E7EF6"/>
    <w:rsid w:val="000F61D5"/>
    <w:rsid w:val="000F6D23"/>
    <w:rsid w:val="00105B2C"/>
    <w:rsid w:val="00106A7F"/>
    <w:rsid w:val="00107BEB"/>
    <w:rsid w:val="001130D9"/>
    <w:rsid w:val="001207F7"/>
    <w:rsid w:val="00120DD5"/>
    <w:rsid w:val="00125F87"/>
    <w:rsid w:val="00131563"/>
    <w:rsid w:val="001417C0"/>
    <w:rsid w:val="00162497"/>
    <w:rsid w:val="00171179"/>
    <w:rsid w:val="00171322"/>
    <w:rsid w:val="001716D1"/>
    <w:rsid w:val="00173F35"/>
    <w:rsid w:val="00175B1F"/>
    <w:rsid w:val="00181B65"/>
    <w:rsid w:val="00182CAF"/>
    <w:rsid w:val="0018761A"/>
    <w:rsid w:val="001A0AEC"/>
    <w:rsid w:val="001A2E1E"/>
    <w:rsid w:val="001A31FD"/>
    <w:rsid w:val="001A58C8"/>
    <w:rsid w:val="001C37D2"/>
    <w:rsid w:val="001C4166"/>
    <w:rsid w:val="001C4535"/>
    <w:rsid w:val="001C534A"/>
    <w:rsid w:val="001D3494"/>
    <w:rsid w:val="001F3EFA"/>
    <w:rsid w:val="001F427E"/>
    <w:rsid w:val="001F4D68"/>
    <w:rsid w:val="002001FC"/>
    <w:rsid w:val="00207811"/>
    <w:rsid w:val="00223DEE"/>
    <w:rsid w:val="00232CE1"/>
    <w:rsid w:val="00247F0B"/>
    <w:rsid w:val="00251BE0"/>
    <w:rsid w:val="002523B2"/>
    <w:rsid w:val="00253401"/>
    <w:rsid w:val="002614B2"/>
    <w:rsid w:val="0026626D"/>
    <w:rsid w:val="00274AEA"/>
    <w:rsid w:val="00293E36"/>
    <w:rsid w:val="00294C97"/>
    <w:rsid w:val="00295CED"/>
    <w:rsid w:val="002A2C74"/>
    <w:rsid w:val="002B1024"/>
    <w:rsid w:val="002B6A6E"/>
    <w:rsid w:val="002C0BE7"/>
    <w:rsid w:val="002D07FE"/>
    <w:rsid w:val="002D6F89"/>
    <w:rsid w:val="002D7C22"/>
    <w:rsid w:val="002E50CF"/>
    <w:rsid w:val="002E5FF4"/>
    <w:rsid w:val="002E7334"/>
    <w:rsid w:val="002F3005"/>
    <w:rsid w:val="002F732A"/>
    <w:rsid w:val="00302907"/>
    <w:rsid w:val="003035EA"/>
    <w:rsid w:val="00303862"/>
    <w:rsid w:val="00311550"/>
    <w:rsid w:val="00334E89"/>
    <w:rsid w:val="00336FA9"/>
    <w:rsid w:val="00342594"/>
    <w:rsid w:val="003526F4"/>
    <w:rsid w:val="003609BA"/>
    <w:rsid w:val="00361618"/>
    <w:rsid w:val="00365E74"/>
    <w:rsid w:val="003763FA"/>
    <w:rsid w:val="003A67E3"/>
    <w:rsid w:val="003C16E0"/>
    <w:rsid w:val="003C44C9"/>
    <w:rsid w:val="003C54F3"/>
    <w:rsid w:val="003C6B6E"/>
    <w:rsid w:val="003D193A"/>
    <w:rsid w:val="003D5008"/>
    <w:rsid w:val="003E4CFB"/>
    <w:rsid w:val="003E70FC"/>
    <w:rsid w:val="003F22CB"/>
    <w:rsid w:val="00400253"/>
    <w:rsid w:val="00402E08"/>
    <w:rsid w:val="00403882"/>
    <w:rsid w:val="0041104D"/>
    <w:rsid w:val="00411762"/>
    <w:rsid w:val="00412D50"/>
    <w:rsid w:val="00420A05"/>
    <w:rsid w:val="00420BA0"/>
    <w:rsid w:val="004212F8"/>
    <w:rsid w:val="00421EE6"/>
    <w:rsid w:val="0042481B"/>
    <w:rsid w:val="0042768B"/>
    <w:rsid w:val="00431577"/>
    <w:rsid w:val="00432057"/>
    <w:rsid w:val="004333C0"/>
    <w:rsid w:val="0043582B"/>
    <w:rsid w:val="00440232"/>
    <w:rsid w:val="004425F0"/>
    <w:rsid w:val="00443176"/>
    <w:rsid w:val="00454193"/>
    <w:rsid w:val="00471200"/>
    <w:rsid w:val="00475245"/>
    <w:rsid w:val="00476C44"/>
    <w:rsid w:val="0048147C"/>
    <w:rsid w:val="00483415"/>
    <w:rsid w:val="00495436"/>
    <w:rsid w:val="004A256D"/>
    <w:rsid w:val="004A4935"/>
    <w:rsid w:val="004A7E95"/>
    <w:rsid w:val="004B22B6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A89"/>
    <w:rsid w:val="004F27C6"/>
    <w:rsid w:val="004F490D"/>
    <w:rsid w:val="004F6A8C"/>
    <w:rsid w:val="004F741B"/>
    <w:rsid w:val="00506E21"/>
    <w:rsid w:val="00524DDA"/>
    <w:rsid w:val="0054281D"/>
    <w:rsid w:val="0054338C"/>
    <w:rsid w:val="00544C01"/>
    <w:rsid w:val="0055478B"/>
    <w:rsid w:val="00563858"/>
    <w:rsid w:val="00572B39"/>
    <w:rsid w:val="005774B7"/>
    <w:rsid w:val="00585BFF"/>
    <w:rsid w:val="005928C9"/>
    <w:rsid w:val="0059366B"/>
    <w:rsid w:val="0059383B"/>
    <w:rsid w:val="00596D89"/>
    <w:rsid w:val="005A1116"/>
    <w:rsid w:val="005A475C"/>
    <w:rsid w:val="005A58C7"/>
    <w:rsid w:val="005C645F"/>
    <w:rsid w:val="005C7B6C"/>
    <w:rsid w:val="005D164B"/>
    <w:rsid w:val="005D3FC4"/>
    <w:rsid w:val="005D5E64"/>
    <w:rsid w:val="005D7DA3"/>
    <w:rsid w:val="005E42D1"/>
    <w:rsid w:val="005F000D"/>
    <w:rsid w:val="005F45A0"/>
    <w:rsid w:val="00601539"/>
    <w:rsid w:val="006118B8"/>
    <w:rsid w:val="00616EB3"/>
    <w:rsid w:val="00617C4D"/>
    <w:rsid w:val="006220F1"/>
    <w:rsid w:val="00626330"/>
    <w:rsid w:val="00630DC4"/>
    <w:rsid w:val="00647B49"/>
    <w:rsid w:val="006504B7"/>
    <w:rsid w:val="006508FF"/>
    <w:rsid w:val="00652AE8"/>
    <w:rsid w:val="006666AB"/>
    <w:rsid w:val="00672869"/>
    <w:rsid w:val="0067308F"/>
    <w:rsid w:val="00674CB0"/>
    <w:rsid w:val="00684439"/>
    <w:rsid w:val="006903D5"/>
    <w:rsid w:val="00695E64"/>
    <w:rsid w:val="006A7188"/>
    <w:rsid w:val="006A78DE"/>
    <w:rsid w:val="006B2A13"/>
    <w:rsid w:val="006B50D7"/>
    <w:rsid w:val="006D1A0A"/>
    <w:rsid w:val="006D3D4C"/>
    <w:rsid w:val="006D5F46"/>
    <w:rsid w:val="006E77F5"/>
    <w:rsid w:val="006F1C9E"/>
    <w:rsid w:val="006F2FF0"/>
    <w:rsid w:val="00715E46"/>
    <w:rsid w:val="0074273E"/>
    <w:rsid w:val="00744027"/>
    <w:rsid w:val="007451ED"/>
    <w:rsid w:val="007462A5"/>
    <w:rsid w:val="00752966"/>
    <w:rsid w:val="00761A73"/>
    <w:rsid w:val="00765A52"/>
    <w:rsid w:val="00775DC6"/>
    <w:rsid w:val="00782733"/>
    <w:rsid w:val="00784659"/>
    <w:rsid w:val="007915F6"/>
    <w:rsid w:val="00793994"/>
    <w:rsid w:val="00795135"/>
    <w:rsid w:val="0079785A"/>
    <w:rsid w:val="007A3FF4"/>
    <w:rsid w:val="007B4C98"/>
    <w:rsid w:val="00800F32"/>
    <w:rsid w:val="00805365"/>
    <w:rsid w:val="00813FE6"/>
    <w:rsid w:val="0082594F"/>
    <w:rsid w:val="00841FA1"/>
    <w:rsid w:val="00853045"/>
    <w:rsid w:val="008577F6"/>
    <w:rsid w:val="0088391D"/>
    <w:rsid w:val="008949FE"/>
    <w:rsid w:val="008A37DE"/>
    <w:rsid w:val="008A7F36"/>
    <w:rsid w:val="008B0754"/>
    <w:rsid w:val="008B2B95"/>
    <w:rsid w:val="008B5BCB"/>
    <w:rsid w:val="008C5BA8"/>
    <w:rsid w:val="008C6A40"/>
    <w:rsid w:val="008D48A2"/>
    <w:rsid w:val="008E1595"/>
    <w:rsid w:val="008E29E6"/>
    <w:rsid w:val="008F1DC0"/>
    <w:rsid w:val="008F40B6"/>
    <w:rsid w:val="008F58C2"/>
    <w:rsid w:val="00904AB1"/>
    <w:rsid w:val="00907A9A"/>
    <w:rsid w:val="00915602"/>
    <w:rsid w:val="00915BB7"/>
    <w:rsid w:val="00916EB1"/>
    <w:rsid w:val="009242DC"/>
    <w:rsid w:val="00931DC8"/>
    <w:rsid w:val="00932681"/>
    <w:rsid w:val="00935350"/>
    <w:rsid w:val="009366FA"/>
    <w:rsid w:val="009422D6"/>
    <w:rsid w:val="009444CB"/>
    <w:rsid w:val="00945625"/>
    <w:rsid w:val="0094770D"/>
    <w:rsid w:val="009552F0"/>
    <w:rsid w:val="009647A9"/>
    <w:rsid w:val="009664CE"/>
    <w:rsid w:val="009735CB"/>
    <w:rsid w:val="00982251"/>
    <w:rsid w:val="00990069"/>
    <w:rsid w:val="00993CDF"/>
    <w:rsid w:val="009950F4"/>
    <w:rsid w:val="009967E3"/>
    <w:rsid w:val="009A2F75"/>
    <w:rsid w:val="009A490D"/>
    <w:rsid w:val="009A7190"/>
    <w:rsid w:val="009B0B11"/>
    <w:rsid w:val="009B5410"/>
    <w:rsid w:val="009C4D8C"/>
    <w:rsid w:val="009E095F"/>
    <w:rsid w:val="009E4A55"/>
    <w:rsid w:val="009E743C"/>
    <w:rsid w:val="009F0FB3"/>
    <w:rsid w:val="009F3EFD"/>
    <w:rsid w:val="00A022DE"/>
    <w:rsid w:val="00A22CF2"/>
    <w:rsid w:val="00A40106"/>
    <w:rsid w:val="00A43EF4"/>
    <w:rsid w:val="00A444E7"/>
    <w:rsid w:val="00A461A1"/>
    <w:rsid w:val="00A57651"/>
    <w:rsid w:val="00A6539A"/>
    <w:rsid w:val="00A80CD4"/>
    <w:rsid w:val="00A84CDE"/>
    <w:rsid w:val="00A93FFB"/>
    <w:rsid w:val="00AA4AE1"/>
    <w:rsid w:val="00AA4B17"/>
    <w:rsid w:val="00AA4E23"/>
    <w:rsid w:val="00AB5EB6"/>
    <w:rsid w:val="00AB614A"/>
    <w:rsid w:val="00AB688D"/>
    <w:rsid w:val="00AC4021"/>
    <w:rsid w:val="00AC6DF3"/>
    <w:rsid w:val="00AC7C57"/>
    <w:rsid w:val="00AE1BD9"/>
    <w:rsid w:val="00AE4ED3"/>
    <w:rsid w:val="00AE761E"/>
    <w:rsid w:val="00AF08B1"/>
    <w:rsid w:val="00AF0FBF"/>
    <w:rsid w:val="00B06767"/>
    <w:rsid w:val="00B075FD"/>
    <w:rsid w:val="00B10690"/>
    <w:rsid w:val="00B20AA4"/>
    <w:rsid w:val="00B26A5B"/>
    <w:rsid w:val="00B63D0B"/>
    <w:rsid w:val="00B86853"/>
    <w:rsid w:val="00B86A7B"/>
    <w:rsid w:val="00B87C49"/>
    <w:rsid w:val="00B9490D"/>
    <w:rsid w:val="00B9496C"/>
    <w:rsid w:val="00BB2FC3"/>
    <w:rsid w:val="00BD27E8"/>
    <w:rsid w:val="00BD546F"/>
    <w:rsid w:val="00BF5A38"/>
    <w:rsid w:val="00C01E5E"/>
    <w:rsid w:val="00C029D5"/>
    <w:rsid w:val="00C0549C"/>
    <w:rsid w:val="00C0623F"/>
    <w:rsid w:val="00C213AF"/>
    <w:rsid w:val="00C23EA4"/>
    <w:rsid w:val="00C3677C"/>
    <w:rsid w:val="00C5614E"/>
    <w:rsid w:val="00C602C5"/>
    <w:rsid w:val="00C710BF"/>
    <w:rsid w:val="00C76774"/>
    <w:rsid w:val="00C90BA4"/>
    <w:rsid w:val="00C963D2"/>
    <w:rsid w:val="00CA4FF1"/>
    <w:rsid w:val="00CA5223"/>
    <w:rsid w:val="00CA5903"/>
    <w:rsid w:val="00CA7104"/>
    <w:rsid w:val="00CB47FB"/>
    <w:rsid w:val="00CB7CA7"/>
    <w:rsid w:val="00CD2A33"/>
    <w:rsid w:val="00CD32CA"/>
    <w:rsid w:val="00CD4283"/>
    <w:rsid w:val="00CE14F6"/>
    <w:rsid w:val="00CE4133"/>
    <w:rsid w:val="00CF1F10"/>
    <w:rsid w:val="00D039FA"/>
    <w:rsid w:val="00D043DF"/>
    <w:rsid w:val="00D1206F"/>
    <w:rsid w:val="00D1387A"/>
    <w:rsid w:val="00D20F5E"/>
    <w:rsid w:val="00D221D4"/>
    <w:rsid w:val="00D22388"/>
    <w:rsid w:val="00D35140"/>
    <w:rsid w:val="00D46B8E"/>
    <w:rsid w:val="00D5265F"/>
    <w:rsid w:val="00D54DFB"/>
    <w:rsid w:val="00D56FC8"/>
    <w:rsid w:val="00D6793E"/>
    <w:rsid w:val="00D71A6B"/>
    <w:rsid w:val="00D74523"/>
    <w:rsid w:val="00D75134"/>
    <w:rsid w:val="00D82D04"/>
    <w:rsid w:val="00D919A9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27A6"/>
    <w:rsid w:val="00E064D3"/>
    <w:rsid w:val="00E12AFD"/>
    <w:rsid w:val="00E1377C"/>
    <w:rsid w:val="00E15C98"/>
    <w:rsid w:val="00E339FA"/>
    <w:rsid w:val="00E34142"/>
    <w:rsid w:val="00E40B71"/>
    <w:rsid w:val="00E4302E"/>
    <w:rsid w:val="00E44854"/>
    <w:rsid w:val="00E4621C"/>
    <w:rsid w:val="00E52443"/>
    <w:rsid w:val="00E5478C"/>
    <w:rsid w:val="00E62738"/>
    <w:rsid w:val="00E6317F"/>
    <w:rsid w:val="00E63813"/>
    <w:rsid w:val="00E733DE"/>
    <w:rsid w:val="00E93166"/>
    <w:rsid w:val="00EB0584"/>
    <w:rsid w:val="00EB0D2E"/>
    <w:rsid w:val="00EB113E"/>
    <w:rsid w:val="00EB1962"/>
    <w:rsid w:val="00EC0581"/>
    <w:rsid w:val="00ED430E"/>
    <w:rsid w:val="00EE1E13"/>
    <w:rsid w:val="00EE2CA0"/>
    <w:rsid w:val="00EE5D02"/>
    <w:rsid w:val="00EF0B81"/>
    <w:rsid w:val="00EF1278"/>
    <w:rsid w:val="00EF57D0"/>
    <w:rsid w:val="00EF6B08"/>
    <w:rsid w:val="00F004EE"/>
    <w:rsid w:val="00F0055B"/>
    <w:rsid w:val="00F052AC"/>
    <w:rsid w:val="00F22364"/>
    <w:rsid w:val="00F2298D"/>
    <w:rsid w:val="00F35624"/>
    <w:rsid w:val="00F44967"/>
    <w:rsid w:val="00F44971"/>
    <w:rsid w:val="00F46F9B"/>
    <w:rsid w:val="00F514E1"/>
    <w:rsid w:val="00F541E7"/>
    <w:rsid w:val="00F55EE8"/>
    <w:rsid w:val="00F60D1B"/>
    <w:rsid w:val="00F655DD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3077"/>
    <w:rsid w:val="00FA6BD4"/>
    <w:rsid w:val="00FB0C94"/>
    <w:rsid w:val="00FB672F"/>
    <w:rsid w:val="00FD102E"/>
    <w:rsid w:val="00FE0936"/>
    <w:rsid w:val="00FE1B43"/>
    <w:rsid w:val="00FE3ADE"/>
    <w:rsid w:val="00FF2359"/>
    <w:rsid w:val="00FF740D"/>
    <w:rsid w:val="030148E2"/>
    <w:rsid w:val="07372051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2B440C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F763-08E1-42F7-B0DC-65F312CD3E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3513</Words>
  <Characters>3644</Characters>
  <Lines>27</Lines>
  <Paragraphs>7</Paragraphs>
  <TotalTime>1709</TotalTime>
  <ScaleCrop>false</ScaleCrop>
  <LinksUpToDate>false</LinksUpToDate>
  <CharactersWithSpaces>3792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2020-04-26T08:00:00Z</dcterms:created>
  <dc:creator>skd004</dc:creator>
  <cp:lastModifiedBy>WR</cp:lastModifiedBy>
  <dcterms:modified xsi:type="dcterms:W3CDTF">2025-05-07T01:48:15Z</dcterms:modified>
  <cp:revision>322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AB9840B96CF64832B610B2479A0E5ADB_13</vt:lpwstr>
  </property>
  <property fmtid="{D5CDD505-2E9C-101B-9397-08002B2CF9AE}" pid="4" name="KSOTemplateDocerSaveRecord">
    <vt:lpwstr>eyJoZGlkIjoiN2I3Y2IxNzY4NTgxMmNkODc5ZmM5MzJjYWQwYjYwYmQiLCJ1c2VySWQiOiIyNDA1ODcwNzIifQ==</vt:lpwstr>
  </property>
</Properties>
</file>