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5026" w14:textId="77777777" w:rsidR="00032471" w:rsidRPr="0066753E" w:rsidRDefault="00D745A5" w:rsidP="00032471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</w:pPr>
      <w:r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无锡芯朋微电子</w:t>
      </w:r>
      <w:r w:rsidR="00032471"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1D729102" w14:textId="4EE3EE08" w:rsidR="00032471" w:rsidRPr="0066753E" w:rsidRDefault="004E6240" w:rsidP="004E6240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</w:pPr>
      <w:r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（2</w:t>
      </w:r>
      <w:r w:rsidRPr="0066753E"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  <w:t>02</w:t>
      </w:r>
      <w:r w:rsidR="009F2D97"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  <w:t>5</w:t>
      </w:r>
      <w:r w:rsidRPr="0066753E"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  <w:t>年</w:t>
      </w:r>
      <w:r w:rsidR="009F2D97"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  <w:t>4</w:t>
      </w:r>
      <w:r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月）</w:t>
      </w:r>
    </w:p>
    <w:p w14:paraId="4F31ACFA" w14:textId="77777777" w:rsidR="004E6240" w:rsidRPr="0066753E" w:rsidRDefault="004E6240" w:rsidP="004E6240">
      <w:pPr>
        <w:spacing w:beforeLines="50" w:before="156" w:afterLines="50" w:after="156" w:line="400" w:lineRule="exact"/>
        <w:rPr>
          <w:rFonts w:asciiTheme="minorEastAsia" w:eastAsiaTheme="minorEastAsia" w:hAnsiTheme="minorEastAsia"/>
          <w:bCs/>
          <w:iCs/>
          <w:color w:val="000000"/>
          <w:sz w:val="24"/>
        </w:rPr>
      </w:pPr>
      <w:r w:rsidRPr="0066753E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证券代码：芯朋微                              </w:t>
      </w:r>
      <w:r w:rsidRPr="0066753E">
        <w:rPr>
          <w:rFonts w:asciiTheme="minorEastAsia" w:eastAsiaTheme="minorEastAsia" w:hAnsiTheme="minorEastAsia"/>
          <w:bCs/>
          <w:iCs/>
          <w:color w:val="000000"/>
          <w:sz w:val="24"/>
        </w:rPr>
        <w:t xml:space="preserve">    </w:t>
      </w:r>
      <w:r w:rsidRPr="0066753E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>证券简称：6</w:t>
      </w:r>
      <w:r w:rsidRPr="0066753E">
        <w:rPr>
          <w:rFonts w:asciiTheme="minorEastAsia" w:eastAsiaTheme="minorEastAsia" w:hAnsiTheme="minorEastAsia"/>
          <w:bCs/>
          <w:iCs/>
          <w:color w:val="000000"/>
          <w:sz w:val="24"/>
        </w:rPr>
        <w:t>88508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2122"/>
        <w:gridCol w:w="6174"/>
      </w:tblGrid>
      <w:tr w:rsidR="00032471" w:rsidRPr="0066753E" w14:paraId="6069E0BB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D5F3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23ADB108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D6B" w14:textId="76F47B70" w:rsidR="00DF5D5C" w:rsidRPr="0066753E" w:rsidRDefault="0078409F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sym w:font="Wingdings 2" w:char="F052"/>
            </w:r>
            <w:r w:rsidR="00DF5D5C"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特定对象调研        </w:t>
            </w:r>
            <w:r w:rsidR="00DF5D5C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="00DF5D5C"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分析师会议</w:t>
            </w:r>
          </w:p>
          <w:p w14:paraId="16B3C5F9" w14:textId="19F29DFC" w:rsidR="00DF5D5C" w:rsidRPr="0066753E" w:rsidRDefault="00DF5D5C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媒体采访           </w:t>
            </w:r>
            <w:r w:rsidRPr="0066753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="00DE1961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sym w:font="Wingdings 2" w:char="F052"/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业绩说明会</w:t>
            </w:r>
          </w:p>
          <w:p w14:paraId="09BEA977" w14:textId="77777777" w:rsidR="00DF5D5C" w:rsidRPr="0066753E" w:rsidRDefault="00DF5D5C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新闻发布会          </w:t>
            </w: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路演活动</w:t>
            </w:r>
          </w:p>
          <w:p w14:paraId="7278030F" w14:textId="77777777" w:rsidR="00DF5D5C" w:rsidRPr="0066753E" w:rsidRDefault="00DF5D5C" w:rsidP="00DF5D5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现场参观</w:t>
            </w: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ab/>
            </w:r>
          </w:p>
          <w:p w14:paraId="3A4767E7" w14:textId="011A4592" w:rsidR="00032471" w:rsidRPr="0066753E" w:rsidRDefault="00DF5D5C" w:rsidP="00DF5D5C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其他 </w:t>
            </w:r>
            <w:r w:rsidRPr="0066753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032471" w:rsidRPr="0066753E" w14:paraId="0F316961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1A4" w14:textId="77777777" w:rsidR="00032471" w:rsidRPr="0066753E" w:rsidRDefault="00032471" w:rsidP="004E6240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B4C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中海基金管理有限公司</w:t>
            </w:r>
          </w:p>
          <w:p w14:paraId="1886B57A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申万菱信基金管理有限公司</w:t>
            </w:r>
          </w:p>
          <w:p w14:paraId="02ECCE42" w14:textId="36EB7147" w:rsidR="00A2257A" w:rsidRPr="00A2257A" w:rsidRDefault="00BE7CF4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Centerl</w:t>
            </w:r>
            <w:r w:rsidR="00A2257A" w:rsidRPr="00A2257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ine Investment Management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Limited</w:t>
            </w:r>
          </w:p>
          <w:p w14:paraId="51B171A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金鹰基金管理有限公司</w:t>
            </w:r>
          </w:p>
          <w:p w14:paraId="1F61C593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鹏华基金管理有限公司</w:t>
            </w:r>
          </w:p>
          <w:p w14:paraId="04E561D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交银施罗德基金管理有限公司</w:t>
            </w:r>
          </w:p>
          <w:p w14:paraId="6EE70284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广东正圆私募基金管理有限公司</w:t>
            </w:r>
          </w:p>
          <w:p w14:paraId="2F586F80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昆仑健康保险股份有限公司</w:t>
            </w:r>
          </w:p>
          <w:p w14:paraId="6EBA4A8D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东吴基金管理有限公司</w:t>
            </w:r>
          </w:p>
          <w:p w14:paraId="7BCB073E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嘉实基金管理有限公司</w:t>
            </w:r>
          </w:p>
          <w:p w14:paraId="36E1D7D3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长城基金管理有限公司</w:t>
            </w:r>
          </w:p>
          <w:p w14:paraId="11218EB3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大成基金管理有限公司</w:t>
            </w:r>
          </w:p>
          <w:p w14:paraId="4F6C22B9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上海宁泉资产管理有限公司</w:t>
            </w:r>
          </w:p>
          <w:p w14:paraId="027CE7CE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君康人寿保险股份有限公司</w:t>
            </w:r>
          </w:p>
          <w:p w14:paraId="0CD5801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圆信永丰基金管理有限公司</w:t>
            </w:r>
          </w:p>
          <w:p w14:paraId="759F92F3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长城财富保险资产管理股份有限公司</w:t>
            </w:r>
          </w:p>
          <w:p w14:paraId="05D565A3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华泰柏瑞基金管理有限公司</w:t>
            </w:r>
          </w:p>
          <w:p w14:paraId="66A8E20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中信证券股份有限公司</w:t>
            </w:r>
          </w:p>
          <w:p w14:paraId="77F3E8C7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民生证券股份有限公司</w:t>
            </w:r>
          </w:p>
          <w:p w14:paraId="63360A02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中泰证券股份有限公司</w:t>
            </w:r>
          </w:p>
          <w:p w14:paraId="2B2AE85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上海睿郡资产管理有限公司</w:t>
            </w:r>
          </w:p>
          <w:p w14:paraId="281FFD84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中国国际金融股份有限公司</w:t>
            </w:r>
          </w:p>
          <w:p w14:paraId="6E4D755C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平安证券股份有限公司</w:t>
            </w:r>
          </w:p>
          <w:p w14:paraId="2C9C4468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国海证券股份有限公司</w:t>
            </w:r>
          </w:p>
          <w:p w14:paraId="01F91889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中邮证券股份有限公司</w:t>
            </w:r>
          </w:p>
          <w:p w14:paraId="4C2EEF93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招商证券股份有限公司</w:t>
            </w:r>
          </w:p>
          <w:p w14:paraId="3FA9AFE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富国基金管理有限公司</w:t>
            </w:r>
          </w:p>
          <w:p w14:paraId="6BCDDEB2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融通基金管理有限公司</w:t>
            </w:r>
          </w:p>
          <w:p w14:paraId="53E55231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华泰资产管理有限公司</w:t>
            </w:r>
          </w:p>
          <w:p w14:paraId="1F8F01A3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永赢基金管理有限公司</w:t>
            </w:r>
          </w:p>
          <w:p w14:paraId="4C3E89E7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循远资产管理（上海）有限公司</w:t>
            </w:r>
          </w:p>
          <w:p w14:paraId="163D4BE5" w14:textId="4A5C5ED1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国联</w:t>
            </w:r>
            <w:r w:rsidR="00240A1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民生</w:t>
            </w: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证券股份有限公司</w:t>
            </w:r>
          </w:p>
          <w:p w14:paraId="4895560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东兴基金管理有限公司</w:t>
            </w:r>
          </w:p>
          <w:p w14:paraId="2412091C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国信证券股份有限公司</w:t>
            </w:r>
          </w:p>
          <w:p w14:paraId="62F44459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华宝基金管理有限公司</w:t>
            </w:r>
          </w:p>
          <w:p w14:paraId="4FEEE79E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国新国证基金管理有限公司</w:t>
            </w:r>
          </w:p>
          <w:p w14:paraId="1B3877B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东方基金管理股份有限公司</w:t>
            </w:r>
          </w:p>
          <w:p w14:paraId="60553664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东莞证券股份有限公司</w:t>
            </w:r>
          </w:p>
          <w:p w14:paraId="401479C9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杭银理财有限责任公司</w:t>
            </w:r>
          </w:p>
          <w:p w14:paraId="6C90FD97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朱雀基金管理有限公司</w:t>
            </w:r>
          </w:p>
          <w:p w14:paraId="115D8770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Pinpoint</w:t>
            </w:r>
          </w:p>
          <w:p w14:paraId="4C2197A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兴业证券股份有限公司</w:t>
            </w:r>
          </w:p>
          <w:p w14:paraId="3FC38B7A" w14:textId="04455B19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Pleiad</w:t>
            </w:r>
            <w:r w:rsidR="00BE7CF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A2257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Investment</w:t>
            </w:r>
            <w:r w:rsidR="00BE7CF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A2257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Advisors</w:t>
            </w:r>
            <w:r w:rsidR="00BE7CF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A2257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Limited</w:t>
            </w:r>
          </w:p>
          <w:p w14:paraId="4BCAAECC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上海常春藤私募基金管理有限公司</w:t>
            </w:r>
          </w:p>
          <w:p w14:paraId="39A09C08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红杉资本股权投资管理（天津）有限公司</w:t>
            </w:r>
          </w:p>
          <w:p w14:paraId="618EA32A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创金合信基金管理有限公司</w:t>
            </w:r>
          </w:p>
          <w:p w14:paraId="38166E4E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上海国泰君安证券资产管理有限公司</w:t>
            </w:r>
          </w:p>
          <w:p w14:paraId="4F927D54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华安基金管理有限公司</w:t>
            </w:r>
          </w:p>
          <w:p w14:paraId="41DED4EF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上海迈维资产管理有限公司</w:t>
            </w:r>
          </w:p>
          <w:p w14:paraId="1C9BB15D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华泰证券股份有限公司</w:t>
            </w:r>
          </w:p>
          <w:p w14:paraId="1BEFFCC7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华创证券股份有限公司</w:t>
            </w:r>
          </w:p>
          <w:p w14:paraId="60C1166A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国泰基金管理有限公司</w:t>
            </w:r>
          </w:p>
          <w:p w14:paraId="6A85BC38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长安基金管理有限公司</w:t>
            </w:r>
          </w:p>
          <w:p w14:paraId="279296C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泰信基金管理有限公司</w:t>
            </w:r>
          </w:p>
          <w:p w14:paraId="3DAEE905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上海丹羿投资管理合伙企业（普通合伙）</w:t>
            </w:r>
          </w:p>
          <w:p w14:paraId="7A2E3C68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上海季胜投资管理有限公司</w:t>
            </w:r>
          </w:p>
          <w:p w14:paraId="5AD04895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中银基金管理有限公司</w:t>
            </w:r>
          </w:p>
          <w:p w14:paraId="037D5E10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中信建投基金管理有限公司</w:t>
            </w:r>
          </w:p>
          <w:p w14:paraId="7B8E4ECC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上海高毅资产管理合伙企业（有限合伙）</w:t>
            </w:r>
          </w:p>
          <w:p w14:paraId="1D71D0C9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兴业基金管理有限公司</w:t>
            </w:r>
          </w:p>
          <w:p w14:paraId="32637F6B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上海聆泽投资管理有限公司</w:t>
            </w:r>
          </w:p>
          <w:p w14:paraId="2E1C01E4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景顺长城基金管理有限公司</w:t>
            </w:r>
          </w:p>
          <w:p w14:paraId="03814F63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红土创新基金管理有限公司</w:t>
            </w:r>
          </w:p>
          <w:p w14:paraId="12CF4E5A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富荣基金管理有限公司</w:t>
            </w:r>
          </w:p>
          <w:p w14:paraId="35FD8DD1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大家资产管理有限责任公司</w:t>
            </w:r>
          </w:p>
          <w:p w14:paraId="5B364A77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摩根士丹利基金管理（中国）有限公司</w:t>
            </w:r>
          </w:p>
          <w:p w14:paraId="4CD39245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敦和资产管理有限公司</w:t>
            </w:r>
          </w:p>
          <w:p w14:paraId="6B9F2F24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国联基金管理有限公司</w:t>
            </w:r>
          </w:p>
          <w:p w14:paraId="54E05C42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海富通基金管理有限公司</w:t>
            </w:r>
          </w:p>
          <w:p w14:paraId="3E402445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广发基金管理有限公司</w:t>
            </w:r>
          </w:p>
          <w:p w14:paraId="3DBC522B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汇丰晋信基金管理有限公司</w:t>
            </w:r>
          </w:p>
          <w:p w14:paraId="7CA9130F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中信保诚基金管理有限公司</w:t>
            </w:r>
          </w:p>
          <w:p w14:paraId="7D4D25AD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新疆前海联合基金管理有限公司</w:t>
            </w:r>
          </w:p>
          <w:p w14:paraId="13AB482D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财通证券资产管理有限公司</w:t>
            </w:r>
          </w:p>
          <w:p w14:paraId="2CFC903C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深圳市坚果基金管理有限公司</w:t>
            </w:r>
          </w:p>
          <w:p w14:paraId="703615E0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上海五地私募基金管理有限公司</w:t>
            </w:r>
          </w:p>
          <w:p w14:paraId="65F22889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Willing Capital</w:t>
            </w:r>
          </w:p>
          <w:p w14:paraId="1609FAD8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银华基金管理股份有限公司</w:t>
            </w:r>
          </w:p>
          <w:p w14:paraId="17E8F99A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太平资产管理有限公司</w:t>
            </w:r>
          </w:p>
          <w:p w14:paraId="5FBC4736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中原农业保险股份有限公司</w:t>
            </w:r>
          </w:p>
          <w:p w14:paraId="5504BA48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仁桥（北京）资产管理有限公司</w:t>
            </w:r>
          </w:p>
          <w:p w14:paraId="316B49ED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华富基金管理有限公司</w:t>
            </w:r>
          </w:p>
          <w:p w14:paraId="7BFFE6E8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海南进化论私募基金管理有限公司</w:t>
            </w:r>
          </w:p>
          <w:p w14:paraId="234A3C02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太平洋证券股份有限公司</w:t>
            </w:r>
          </w:p>
          <w:p w14:paraId="71ECD797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财通证券股份有限公司</w:t>
            </w:r>
          </w:p>
          <w:p w14:paraId="2617A4E8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万家基金管理有限公司</w:t>
            </w:r>
          </w:p>
          <w:p w14:paraId="741E253B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西部利得基金管理有限公司</w:t>
            </w:r>
          </w:p>
          <w:p w14:paraId="4387372D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招商基金管理有限公司</w:t>
            </w:r>
          </w:p>
          <w:p w14:paraId="355CA52C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长信基金管理有限公司</w:t>
            </w:r>
          </w:p>
          <w:p w14:paraId="3E394B12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兴全基金管理有限公司</w:t>
            </w:r>
          </w:p>
          <w:p w14:paraId="3701D352" w14:textId="77777777" w:rsidR="00A2257A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大成基金管理有限公司 </w:t>
            </w:r>
          </w:p>
          <w:p w14:paraId="136E72A9" w14:textId="34D88D01" w:rsidR="00B6655B" w:rsidRPr="00A2257A" w:rsidRDefault="00A2257A" w:rsidP="00A2257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225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泰康基金管理有限公司</w:t>
            </w:r>
          </w:p>
        </w:tc>
      </w:tr>
      <w:tr w:rsidR="00032471" w:rsidRPr="0066753E" w14:paraId="48A9ECBA" w14:textId="77777777" w:rsidTr="00F22097">
        <w:trPr>
          <w:trHeight w:val="7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99D" w14:textId="77777777" w:rsidR="00032471" w:rsidRPr="0066753E" w:rsidRDefault="00032471" w:rsidP="0041409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时间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997B" w14:textId="2E4577E8" w:rsidR="006A3DCA" w:rsidRDefault="00703C09" w:rsidP="002C12C3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</w:t>
            </w:r>
            <w:r w:rsidR="006E1512">
              <w:rPr>
                <w:rFonts w:asciiTheme="minorEastAsia" w:eastAsiaTheme="minorEastAsia" w:hAnsiTheme="minorEastAsia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</w:rPr>
              <w:t>年</w:t>
            </w:r>
            <w:r w:rsidR="006E1512">
              <w:rPr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6E1512">
              <w:rPr>
                <w:rFonts w:asciiTheme="minorEastAsia" w:eastAsiaTheme="minorEastAsia" w:hAnsiTheme="minorEastAsia"/>
                <w:sz w:val="24"/>
              </w:rPr>
              <w:t>16</w:t>
            </w:r>
            <w:r>
              <w:rPr>
                <w:rFonts w:asciiTheme="minorEastAsia" w:eastAsiaTheme="minorEastAsia" w:hAnsiTheme="minorEastAsia"/>
                <w:sz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6E1512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</w:t>
            </w:r>
            <w:r w:rsidR="002C12C3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:</w:t>
            </w:r>
            <w:r w:rsidR="002C12C3" w:rsidRPr="0066753E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00</w:t>
            </w:r>
          </w:p>
          <w:p w14:paraId="408225ED" w14:textId="77777777" w:rsidR="00DF5D5C" w:rsidRDefault="006A3DCA" w:rsidP="00A04CF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A3DC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202</w:t>
            </w:r>
            <w:r w:rsidR="00A04CF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5</w:t>
            </w:r>
            <w:r w:rsidRPr="006A3DC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年</w:t>
            </w:r>
            <w:r w:rsidR="00A04CF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4</w:t>
            </w:r>
            <w:r w:rsidRPr="006A3DC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月</w:t>
            </w:r>
            <w:r w:rsidR="0078409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</w:t>
            </w:r>
            <w:r w:rsidR="00A04CF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3</w:t>
            </w:r>
            <w:r w:rsidRPr="006A3DC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="00B17A9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13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:</w:t>
            </w:r>
            <w:r w:rsidR="00B17A9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0</w:t>
            </w:r>
          </w:p>
          <w:p w14:paraId="6C0DDF17" w14:textId="77777777" w:rsidR="00A04CF9" w:rsidRDefault="00A04CF9" w:rsidP="00A04CF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2025年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4月2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4日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10:00</w:t>
            </w:r>
          </w:p>
          <w:p w14:paraId="745053C0" w14:textId="3B117E33" w:rsidR="00A04CF9" w:rsidRPr="0066753E" w:rsidRDefault="00A04CF9" w:rsidP="00A076C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2025年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4月2</w:t>
            </w:r>
            <w:r w:rsidR="00A076C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日</w:t>
            </w:r>
            <w:r w:rsidR="00A076CD" w:rsidRPr="00A076C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13:30</w:t>
            </w:r>
          </w:p>
        </w:tc>
      </w:tr>
      <w:tr w:rsidR="00032471" w:rsidRPr="0066753E" w14:paraId="35D48BC2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EB3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7EC8" w14:textId="46470A2D" w:rsidR="00DB7D20" w:rsidRPr="006809F3" w:rsidRDefault="00D14B15" w:rsidP="00D14B15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14B1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电话会议</w:t>
            </w:r>
            <w:r w:rsidR="00A076C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、基金公司</w:t>
            </w:r>
          </w:p>
        </w:tc>
      </w:tr>
      <w:tr w:rsidR="00032471" w:rsidRPr="0066753E" w14:paraId="6CD0E2A6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7CB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090" w14:textId="77777777" w:rsidR="00A04CF9" w:rsidRDefault="00E61629" w:rsidP="00E61629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董秘、财务总监  易慧敏 </w:t>
            </w:r>
            <w:r w:rsidR="00A04CF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</w:p>
          <w:p w14:paraId="6E772B9C" w14:textId="74ECCC08" w:rsidR="00A04CF9" w:rsidRPr="0066753E" w:rsidRDefault="00A04CF9" w:rsidP="00E61629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证券事务代表孙朝霞</w:t>
            </w:r>
          </w:p>
        </w:tc>
      </w:tr>
      <w:tr w:rsidR="00A076CD" w:rsidRPr="0066753E" w14:paraId="3BC0E7B2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890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BB36256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EastAsia" w:eastAsiaTheme="minorEastAsia" w:hAnsiTheme="minorEastAsia" w:hint="eastAsia"/>
                <w:sz w:val="24"/>
              </w:rPr>
              <w:alias w:val="公司发展战略"/>
              <w:tag w:val="_GBC_afe9ed534944441fae5223f90c2521f1"/>
              <w:id w:val="1792709861"/>
              <w:placeholder>
                <w:docPart w:val="28CE4FFDDB8F4878A13A53687303E587"/>
              </w:placeholder>
            </w:sdtPr>
            <w:sdtEndPr/>
            <w:sdtContent>
              <w:p w14:paraId="7307E4DB" w14:textId="77777777" w:rsidR="00A076CD" w:rsidRPr="002733CF" w:rsidRDefault="00A076CD" w:rsidP="00A076CD">
                <w:pPr>
                  <w:spacing w:line="360" w:lineRule="auto"/>
                  <w:rPr>
                    <w:rFonts w:asciiTheme="minorEastAsia" w:eastAsiaTheme="minorEastAsia" w:hAnsiTheme="minorEastAsia"/>
                    <w:sz w:val="24"/>
                  </w:rPr>
                </w:pPr>
                <w:r w:rsidRPr="00E92C6F">
                  <w:rPr>
                    <w:rFonts w:asciiTheme="minorEastAsia" w:eastAsiaTheme="minorEastAsia" w:hAnsiTheme="minorEastAsia"/>
                    <w:b/>
                    <w:sz w:val="24"/>
                  </w:rPr>
                  <w:t>一</w:t>
                </w:r>
                <w:r w:rsidRPr="00E92C6F">
                  <w:rPr>
                    <w:rFonts w:asciiTheme="minorEastAsia" w:eastAsiaTheme="minorEastAsia" w:hAnsiTheme="minorEastAsia" w:hint="eastAsia"/>
                    <w:b/>
                    <w:sz w:val="24"/>
                  </w:rPr>
                  <w:t>、</w:t>
                </w:r>
                <w:r w:rsidRPr="00E92C6F">
                  <w:rPr>
                    <w:rFonts w:asciiTheme="minorEastAsia" w:eastAsiaTheme="minorEastAsia" w:hAnsiTheme="minorEastAsia"/>
                    <w:b/>
                    <w:sz w:val="24"/>
                  </w:rPr>
                  <w:t>公司基本情况介绍</w:t>
                </w:r>
              </w:p>
              <w:p w14:paraId="10E38F96" w14:textId="77777777" w:rsidR="00A076CD" w:rsidRDefault="00A076CD" w:rsidP="00A076CD">
                <w:pPr>
                  <w:spacing w:line="360" w:lineRule="auto"/>
                  <w:ind w:firstLineChars="200" w:firstLine="480"/>
                  <w:rPr>
                    <w:rFonts w:asciiTheme="minorEastAsia" w:eastAsiaTheme="minorEastAsia" w:hAnsiTheme="minorEastAsia"/>
                    <w:sz w:val="24"/>
                  </w:rPr>
                </w:pPr>
                <w:r w:rsidRPr="007531A7">
                  <w:rPr>
                    <w:rFonts w:asciiTheme="minorEastAsia" w:eastAsiaTheme="minorEastAsia" w:hAnsiTheme="minorEastAsia" w:hint="eastAsia"/>
                    <w:sz w:val="24"/>
                  </w:rPr>
                  <w:t>公司主要产品为功率半导体，主要包括 ACDC 电源产品线、DCDC 电源产品线、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Digital PMIC</w:t>
                </w:r>
                <w:r w:rsidRPr="007531A7">
                  <w:rPr>
                    <w:rFonts w:asciiTheme="minorEastAsia" w:eastAsiaTheme="minorEastAsia" w:hAnsiTheme="minorEastAsia" w:hint="eastAsia"/>
                    <w:sz w:val="24"/>
                  </w:rPr>
                  <w:t>电源产品线、驱动产品线、功率器件产品线和功率模块产品线等六大类，全面覆盖智能家电、智能终端的充电器适配器、光伏/储能/充电桩、智能电网、工业电机、AI 计算等众多领域。</w:t>
                </w:r>
                <w:r w:rsidRPr="007531A7">
                  <w:rPr>
                    <w:rFonts w:asciiTheme="minorEastAsia" w:eastAsiaTheme="minorEastAsia" w:hAnsiTheme="minorEastAsia"/>
                    <w:sz w:val="24"/>
                  </w:rPr>
                  <w:cr/>
                </w:r>
                <w:r>
                  <w:rPr>
                    <w:rFonts w:asciiTheme="minorEastAsia" w:eastAsiaTheme="minorEastAsia" w:hAnsiTheme="minorEastAsia"/>
                    <w:sz w:val="24"/>
                  </w:rPr>
                  <w:t xml:space="preserve">    </w:t>
                </w:r>
                <w:r w:rsidRPr="0033100E">
                  <w:rPr>
                    <w:rFonts w:asciiTheme="minorEastAsia" w:eastAsiaTheme="minorEastAsia" w:hAnsiTheme="minorEastAsia" w:hint="eastAsia"/>
                    <w:sz w:val="24"/>
                  </w:rPr>
                  <w:t>2024年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公司</w:t>
                </w:r>
                <w:r w:rsidRPr="0033100E">
                  <w:rPr>
                    <w:rFonts w:asciiTheme="minorEastAsia" w:eastAsiaTheme="minorEastAsia" w:hAnsiTheme="minorEastAsia" w:hint="eastAsia"/>
                    <w:sz w:val="24"/>
                  </w:rPr>
                  <w:t>在销售额和利润端都取得显著增长，总体</w:t>
                </w:r>
                <w:r w:rsidRPr="0033100E">
                  <w:rPr>
                    <w:rFonts w:asciiTheme="minorEastAsia" w:eastAsiaTheme="minorEastAsia" w:hAnsiTheme="minorEastAsia" w:hint="eastAsia"/>
                    <w:sz w:val="24"/>
                  </w:rPr>
                  <w:lastRenderedPageBreak/>
                  <w:t>营收9.65亿，比2023年度增长23.61%，分季度营收分别为2.03、2.40、2.53和2.57亿元，逐季攀升。全年净利润1.1亿元，同比增加87.18%，扣费后净利润7300万元，同比增加117.88%。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主要系公司</w:t>
                </w:r>
                <w:r w:rsidRPr="0033100E">
                  <w:rPr>
                    <w:rFonts w:asciiTheme="minorEastAsia" w:eastAsiaTheme="minorEastAsia" w:hAnsiTheme="minorEastAsia" w:hint="eastAsia"/>
                    <w:sz w:val="24"/>
                  </w:rPr>
                  <w:t>以行业领先的高压AC to DC为入口，推进高低压驱动芯片、数字电源芯片、智能功率器件和模块营收，上述产品线较2023年增长71%，销售额达2.3亿元。</w:t>
                </w:r>
              </w:p>
              <w:p w14:paraId="050821DF" w14:textId="2F1D7275" w:rsidR="00A076CD" w:rsidRPr="00AF1DF2" w:rsidRDefault="00A076CD" w:rsidP="00A076CD">
                <w:pPr>
                  <w:spacing w:line="360" w:lineRule="auto"/>
                  <w:ind w:firstLineChars="200" w:firstLine="480"/>
                  <w:rPr>
                    <w:rFonts w:asciiTheme="minorEastAsia" w:eastAsiaTheme="minorEastAsia" w:hAnsiTheme="minorEastAsia"/>
                    <w:sz w:val="24"/>
                  </w:rPr>
                </w:pPr>
                <w:r w:rsidRPr="0033100E">
                  <w:rPr>
                    <w:rFonts w:asciiTheme="minorEastAsia" w:eastAsiaTheme="minorEastAsia" w:hAnsiTheme="minorEastAsia" w:hint="eastAsia"/>
                    <w:sz w:val="24"/>
                  </w:rPr>
                  <w:t>2025年一季度，公司销售额再创新高，单季度营收超过3亿元，同比增长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4</w:t>
                </w:r>
                <w:r>
                  <w:rPr>
                    <w:rFonts w:asciiTheme="minorEastAsia" w:eastAsiaTheme="minorEastAsia" w:hAnsiTheme="minorEastAsia"/>
                    <w:sz w:val="24"/>
                  </w:rPr>
                  <w:t>8.23</w:t>
                </w:r>
                <w:r w:rsidRPr="0033100E">
                  <w:rPr>
                    <w:rFonts w:asciiTheme="minorEastAsia" w:eastAsiaTheme="minorEastAsia" w:hAnsiTheme="minorEastAsia" w:hint="eastAsia"/>
                    <w:sz w:val="24"/>
                  </w:rPr>
                  <w:t>%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，净利润4</w:t>
                </w:r>
                <w:r>
                  <w:rPr>
                    <w:rFonts w:asciiTheme="minorEastAsia" w:eastAsiaTheme="minorEastAsia" w:hAnsiTheme="minorEastAsia"/>
                    <w:sz w:val="24"/>
                  </w:rPr>
                  <w:t>107万元，同比增长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7</w:t>
                </w:r>
                <w:r>
                  <w:rPr>
                    <w:rFonts w:asciiTheme="minorEastAsia" w:eastAsiaTheme="minorEastAsia" w:hAnsiTheme="minorEastAsia"/>
                    <w:sz w:val="24"/>
                  </w:rPr>
                  <w:t>2.54%，扣非净利润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3</w:t>
                </w:r>
                <w:r>
                  <w:rPr>
                    <w:rFonts w:asciiTheme="minorEastAsia" w:eastAsiaTheme="minorEastAsia" w:hAnsiTheme="minorEastAsia"/>
                    <w:sz w:val="24"/>
                  </w:rPr>
                  <w:t>460万元，同比增长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1</w:t>
                </w:r>
                <w:r>
                  <w:rPr>
                    <w:rFonts w:asciiTheme="minorEastAsia" w:eastAsiaTheme="minorEastAsia" w:hAnsiTheme="minorEastAsia"/>
                    <w:sz w:val="24"/>
                  </w:rPr>
                  <w:t>16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%。</w:t>
                </w:r>
                <w:r w:rsidRPr="000D0D66">
                  <w:rPr>
                    <w:rFonts w:asciiTheme="minorEastAsia" w:eastAsiaTheme="minorEastAsia" w:hAnsiTheme="minorEastAsia" w:hint="eastAsia"/>
                    <w:sz w:val="24"/>
                  </w:rPr>
                  <w:t>主要系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一季度</w:t>
                </w:r>
                <w:r w:rsidRPr="000D0D66">
                  <w:rPr>
                    <w:rFonts w:asciiTheme="minorEastAsia" w:eastAsiaTheme="minorEastAsia" w:hAnsiTheme="minorEastAsia" w:hint="eastAsia"/>
                    <w:sz w:val="24"/>
                  </w:rPr>
                  <w:t>公司坚持“Pow</w:t>
                </w:r>
                <w:r>
                  <w:rPr>
                    <w:rFonts w:asciiTheme="minorEastAsia" w:eastAsiaTheme="minorEastAsia" w:hAnsiTheme="minorEastAsia" w:hint="eastAsia"/>
                    <w:sz w:val="24"/>
                  </w:rPr>
                  <w:t>er</w:t>
                </w:r>
                <w:r w:rsidRPr="000D0D66">
                  <w:rPr>
                    <w:rFonts w:asciiTheme="minorEastAsia" w:eastAsiaTheme="minorEastAsia" w:hAnsiTheme="minorEastAsia" w:hint="eastAsia"/>
                    <w:sz w:val="24"/>
                  </w:rPr>
                  <w:t>Semi Total Solution”战略，高/低压驱动芯片、数字电源芯片、智能功率器件及模块等新产品同比增长120%以上，从而推动营业收入增加。</w:t>
                </w:r>
              </w:p>
            </w:sdtContent>
          </w:sdt>
          <w:p w14:paraId="24081A37" w14:textId="77777777" w:rsidR="00A076CD" w:rsidRPr="008229FD" w:rsidRDefault="00A076CD" w:rsidP="00A076CD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65E27E47" w14:textId="77777777" w:rsidR="00A076CD" w:rsidRPr="004069CD" w:rsidRDefault="00A076CD" w:rsidP="00A076CD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b/>
                <w:sz w:val="24"/>
              </w:rPr>
            </w:pPr>
            <w:r w:rsidRPr="004069CD">
              <w:rPr>
                <w:rFonts w:asciiTheme="minorEastAsia" w:eastAsiaTheme="minorEastAsia" w:hAnsiTheme="minorEastAsia" w:hint="eastAsia"/>
                <w:b/>
                <w:sz w:val="24"/>
              </w:rPr>
              <w:t>主要问题及回复</w:t>
            </w:r>
          </w:p>
          <w:p w14:paraId="3D1362E1" w14:textId="77777777" w:rsidR="00A076CD" w:rsidRPr="004069CD" w:rsidRDefault="00A076CD" w:rsidP="00A076CD">
            <w:pPr>
              <w:pStyle w:val="a6"/>
              <w:spacing w:line="360" w:lineRule="auto"/>
              <w:ind w:left="240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1、公司产品</w:t>
            </w:r>
            <w:r w:rsidRPr="004069CD">
              <w:rPr>
                <w:rFonts w:asciiTheme="minorEastAsia" w:eastAsiaTheme="minorEastAsia" w:hAnsiTheme="minorEastAsia" w:hint="eastAsia"/>
                <w:sz w:val="24"/>
              </w:rPr>
              <w:t>目前大概有多少的料号？</w:t>
            </w:r>
          </w:p>
          <w:p w14:paraId="2BC51999" w14:textId="77777777" w:rsidR="00A076CD" w:rsidRDefault="00A076CD" w:rsidP="00A076C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D0D66">
              <w:rPr>
                <w:rFonts w:asciiTheme="minorEastAsia" w:eastAsiaTheme="minorEastAsia" w:hAnsiTheme="minorEastAsia" w:hint="eastAsia"/>
                <w:sz w:val="24"/>
              </w:rPr>
              <w:t>目前公司已开发超过1,720个型号的产品，在高低压集成半导体技术领域处于行业领先地位，曾在国内率先开发成功并量产了多款 700V~1700V 高低压集成的电源和驱动芯片。</w:t>
            </w:r>
          </w:p>
          <w:p w14:paraId="4373BD7A" w14:textId="77777777" w:rsidR="00A076CD" w:rsidRPr="004069CD" w:rsidRDefault="00A076CD" w:rsidP="00A076C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4069CD">
              <w:rPr>
                <w:rFonts w:asciiTheme="minorEastAsia" w:eastAsiaTheme="minorEastAsia" w:hAnsiTheme="minorEastAsia" w:hint="eastAsia"/>
                <w:sz w:val="24"/>
              </w:rPr>
              <w:t>2、公司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新产品的进展情况</w:t>
            </w:r>
            <w:r w:rsidRPr="004069CD">
              <w:rPr>
                <w:rFonts w:asciiTheme="minorEastAsia" w:eastAsiaTheme="minorEastAsia" w:hAnsiTheme="minorEastAsia" w:hint="eastAsia"/>
                <w:sz w:val="24"/>
              </w:rPr>
              <w:t>？</w:t>
            </w:r>
          </w:p>
          <w:p w14:paraId="4A38C251" w14:textId="65432CAA" w:rsidR="00A076CD" w:rsidRPr="004069CD" w:rsidRDefault="00A076CD" w:rsidP="00A076C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C21C71">
              <w:rPr>
                <w:rFonts w:asciiTheme="minorEastAsia" w:eastAsiaTheme="minorEastAsia" w:hAnsiTheme="minorEastAsia" w:hint="eastAsia"/>
                <w:sz w:val="24"/>
              </w:rPr>
              <w:t xml:space="preserve">2024年公司持续推进新产品线拓展，扩大下游行业应用范围，推出逾百款新品，其中高/低压驱动芯片28款、数字电源芯片5款、智能功率器件及模块11 款、电源芯片70余款。公司在多项新技术领域取得关键突破和丰硕成果，包括内嵌数字控制的集成Buck/Boost/高压隔离半桥芯片、12相数字控制器及70A DrMOS套片、内嵌数字算法的BLDC电机驱动芯片、功能安全ASIL-D车规主驱芯片、车载LED大灯用低纹波调光 BUCK 控制器芯片、150V </w:t>
            </w:r>
            <w:r w:rsidRPr="00C21C7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大电流理想二极管控制器芯片、多协议兼容的环路内置集成快充协议芯片等产品陆续验证送样，部分已进入试产和量产。未来两年上述应用于新能源、机器人和AI计算新兴领域的新产品，将推动公司实现阶梯式显著增长。</w:t>
            </w:r>
            <w:r w:rsidRPr="00C21C71">
              <w:rPr>
                <w:rFonts w:asciiTheme="minorEastAsia" w:eastAsiaTheme="minorEastAsia" w:hAnsiTheme="minorEastAsia"/>
                <w:sz w:val="24"/>
              </w:rPr>
              <w:cr/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4069CD">
              <w:rPr>
                <w:rFonts w:asciiTheme="minorEastAsia" w:eastAsiaTheme="minorEastAsia" w:hAnsiTheme="minorEastAsia"/>
                <w:sz w:val="24"/>
              </w:rPr>
              <w:t>3、</w:t>
            </w:r>
            <w:r w:rsidRPr="004069CD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4069CD">
              <w:rPr>
                <w:rFonts w:asciiTheme="minorEastAsia" w:eastAsiaTheme="minorEastAsia" w:hAnsiTheme="minorEastAsia"/>
                <w:sz w:val="24"/>
              </w:rPr>
              <w:t>02</w:t>
            </w:r>
            <w:r>
              <w:rPr>
                <w:rFonts w:asciiTheme="minorEastAsia" w:eastAsiaTheme="minorEastAsia" w:hAnsiTheme="minorEastAsia"/>
                <w:sz w:val="24"/>
              </w:rPr>
              <w:t>4年度，公司知识产权情况</w:t>
            </w:r>
            <w:r w:rsidRPr="004069CD">
              <w:rPr>
                <w:rFonts w:asciiTheme="minorEastAsia" w:eastAsiaTheme="minorEastAsia" w:hAnsiTheme="minorEastAsia" w:hint="eastAsia"/>
                <w:sz w:val="24"/>
              </w:rPr>
              <w:t>？</w:t>
            </w:r>
          </w:p>
          <w:p w14:paraId="7E8384D3" w14:textId="50580E82" w:rsidR="00A076CD" w:rsidRDefault="00A076CD" w:rsidP="00A076C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7531A7">
              <w:rPr>
                <w:rFonts w:asciiTheme="minorEastAsia" w:eastAsiaTheme="minorEastAsia" w:hAnsiTheme="minorEastAsia" w:hint="eastAsia"/>
                <w:sz w:val="24"/>
              </w:rPr>
              <w:t>公司注重功率集成电路的工艺、器件、电路、封装、测试和应用的全技术链创新，公司累计获得329项知识产权有效授权。其中2024年度新增授权专利29项，新增集成电路布图登记25项，其中新器件工艺封装技术类占比 18%，驱动技术类占比35%，电源技术类占比47%。</w:t>
            </w:r>
          </w:p>
          <w:p w14:paraId="168B85F8" w14:textId="77777777" w:rsidR="00A076CD" w:rsidRPr="004069CD" w:rsidRDefault="00A076CD" w:rsidP="00A076C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4069CD">
              <w:rPr>
                <w:rFonts w:asciiTheme="minorEastAsia" w:eastAsiaTheme="minorEastAsia" w:hAnsiTheme="minorEastAsia" w:hint="eastAsia"/>
                <w:sz w:val="24"/>
              </w:rPr>
              <w:t>5、公司目前研发人员占比？</w:t>
            </w:r>
          </w:p>
          <w:p w14:paraId="019F438E" w14:textId="1497A907" w:rsidR="00A076CD" w:rsidRDefault="00A076CD" w:rsidP="00A076C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7531A7">
              <w:rPr>
                <w:rFonts w:asciiTheme="minorEastAsia" w:eastAsiaTheme="minorEastAsia" w:hAnsiTheme="minorEastAsia" w:hint="eastAsia"/>
                <w:sz w:val="24"/>
              </w:rPr>
              <w:t>截至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024</w:t>
            </w:r>
            <w:r w:rsidRPr="007531A7">
              <w:rPr>
                <w:rFonts w:asciiTheme="minorEastAsia" w:eastAsiaTheme="minorEastAsia" w:hAnsiTheme="minorEastAsia" w:hint="eastAsia"/>
                <w:sz w:val="24"/>
              </w:rPr>
              <w:t>年末，公司研发人员达到277人，占公司员工比例72.89%。</w:t>
            </w:r>
          </w:p>
          <w:p w14:paraId="57DCE85F" w14:textId="77777777" w:rsidR="00527C34" w:rsidRPr="00527C34" w:rsidRDefault="00527C34" w:rsidP="00527C3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27C34">
              <w:rPr>
                <w:rFonts w:asciiTheme="minorEastAsia" w:eastAsiaTheme="minorEastAsia" w:hAnsiTheme="minorEastAsia" w:hint="eastAsia"/>
                <w:sz w:val="24"/>
              </w:rPr>
              <w:t>6、2024年度公司三个主要市场的营收情况？</w:t>
            </w:r>
          </w:p>
          <w:p w14:paraId="4EDF1882" w14:textId="50CB76B4" w:rsidR="00527C34" w:rsidRDefault="00527C34" w:rsidP="00527C3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27C34">
              <w:rPr>
                <w:rFonts w:asciiTheme="minorEastAsia" w:eastAsiaTheme="minorEastAsia" w:hAnsiTheme="minorEastAsia" w:hint="eastAsia"/>
                <w:sz w:val="24"/>
              </w:rPr>
              <w:t>2024年度，分市场来看，家电市场营收6.2亿元，同比增长28.73%，毛利率38.65%；标准电源市场营收1.74亿元，同比增长19.08%，毛利率24.12%；工业市场营收1.65亿元，同比增长近14.32%，毛利率44.36%。</w:t>
            </w:r>
          </w:p>
          <w:p w14:paraId="55EF4480" w14:textId="10B48202" w:rsidR="00A076CD" w:rsidRPr="004069CD" w:rsidRDefault="00527C34" w:rsidP="00A076C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7</w:t>
            </w:r>
            <w:r w:rsidR="00A076CD" w:rsidRPr="004069CD">
              <w:rPr>
                <w:rFonts w:asciiTheme="minorEastAsia" w:eastAsiaTheme="minorEastAsia" w:hAnsiTheme="minorEastAsia"/>
                <w:sz w:val="24"/>
              </w:rPr>
              <w:t>、</w:t>
            </w:r>
            <w:r w:rsidR="00A076CD"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A076CD">
              <w:rPr>
                <w:rFonts w:asciiTheme="minorEastAsia" w:eastAsiaTheme="minorEastAsia" w:hAnsiTheme="minorEastAsia"/>
                <w:sz w:val="24"/>
              </w:rPr>
              <w:t>的市场</w:t>
            </w:r>
            <w:r w:rsidR="00A076CD">
              <w:rPr>
                <w:rFonts w:asciiTheme="minorEastAsia" w:eastAsiaTheme="minorEastAsia" w:hAnsiTheme="minorEastAsia" w:hint="eastAsia"/>
                <w:sz w:val="24"/>
              </w:rPr>
              <w:t>发展</w:t>
            </w:r>
            <w:r w:rsidR="00A076CD">
              <w:rPr>
                <w:rFonts w:asciiTheme="minorEastAsia" w:eastAsiaTheme="minorEastAsia" w:hAnsiTheme="minorEastAsia"/>
                <w:sz w:val="24"/>
              </w:rPr>
              <w:t>战略</w:t>
            </w:r>
            <w:r w:rsidR="00A076CD" w:rsidRPr="004069CD">
              <w:rPr>
                <w:rFonts w:asciiTheme="minorEastAsia" w:eastAsiaTheme="minorEastAsia" w:hAnsiTheme="minorEastAsia"/>
                <w:sz w:val="24"/>
              </w:rPr>
              <w:t>？</w:t>
            </w:r>
          </w:p>
          <w:p w14:paraId="7C291387" w14:textId="2EA799EE" w:rsidR="00A076CD" w:rsidRDefault="00A076CD" w:rsidP="005849E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7531A7">
              <w:rPr>
                <w:rFonts w:asciiTheme="minorEastAsia" w:eastAsiaTheme="minorEastAsia" w:hAnsiTheme="minorEastAsia" w:hint="eastAsia"/>
                <w:sz w:val="24"/>
              </w:rPr>
              <w:t>公司长期坚持和高度看好“半导体能源赛道”，以全面覆盖智能家电、电力能源、智能终端、工业控制和AI计算等五大重点市场应用领域的功率半导体需求为战略市场目标。公司</w:t>
            </w:r>
            <w:r w:rsidRPr="00A076CD">
              <w:rPr>
                <w:rFonts w:asciiTheme="minorEastAsia" w:eastAsiaTheme="minorEastAsia" w:hAnsiTheme="minorEastAsia" w:hint="eastAsia"/>
                <w:sz w:val="24"/>
              </w:rPr>
              <w:t>工业领域自2015年开始布局，以工业电表为起点，经过多年发展，2024年工控功率芯片进一步加大研发投入，已拓展到更多的工业应用领域，包括数据中心、服务器、基站、光伏逆变器、储能等大功率工业场景。未来三年，基于全面升级的Smart-SJ、Smart-SGT、Smart-Trench、SmartGaN</w:t>
            </w:r>
            <w:bookmarkStart w:id="0" w:name="_GoBack"/>
            <w:bookmarkEnd w:id="0"/>
            <w:r w:rsidRPr="00A076CD">
              <w:rPr>
                <w:rFonts w:asciiTheme="minorEastAsia" w:eastAsiaTheme="minorEastAsia" w:hAnsiTheme="minorEastAsia" w:hint="eastAsia"/>
                <w:sz w:val="24"/>
              </w:rPr>
              <w:t>的全新智能功率芯片技术平台，公司将推出更多面向工控市场的先进集成功率半导体产品。</w:t>
            </w:r>
          </w:p>
          <w:p w14:paraId="58687E44" w14:textId="1078F8B2" w:rsidR="00527C34" w:rsidRPr="00A076CD" w:rsidRDefault="00527C34" w:rsidP="00A076C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076CD" w:rsidRPr="0066753E" w14:paraId="058BB520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6E34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93B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</w:tr>
      <w:tr w:rsidR="00A076CD" w:rsidRPr="00722509" w14:paraId="5DF3E5F3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1F0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F90" w14:textId="27159669" w:rsidR="00A076CD" w:rsidRPr="00722509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5</w:t>
            </w:r>
            <w:r w:rsidRPr="0066753E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.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4</w:t>
            </w:r>
          </w:p>
        </w:tc>
      </w:tr>
    </w:tbl>
    <w:p w14:paraId="00841930" w14:textId="77777777" w:rsidR="006F5C9F" w:rsidRPr="00427F19" w:rsidRDefault="006F5C9F" w:rsidP="00996C1E">
      <w:pPr>
        <w:spacing w:line="360" w:lineRule="auto"/>
        <w:rPr>
          <w:rFonts w:asciiTheme="minorEastAsia" w:eastAsiaTheme="minorEastAsia" w:hAnsiTheme="minorEastAsia"/>
          <w:sz w:val="24"/>
          <w:shd w:val="clear" w:color="auto" w:fill="FFFFFF" w:themeFill="background1"/>
        </w:rPr>
      </w:pPr>
    </w:p>
    <w:sectPr w:rsidR="006F5C9F" w:rsidRPr="0042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9A304" w14:textId="77777777" w:rsidR="00653779" w:rsidRDefault="00653779" w:rsidP="00032471">
      <w:r>
        <w:separator/>
      </w:r>
    </w:p>
  </w:endnote>
  <w:endnote w:type="continuationSeparator" w:id="0">
    <w:p w14:paraId="72032A1E" w14:textId="77777777" w:rsidR="00653779" w:rsidRDefault="00653779" w:rsidP="0003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B68E9" w14:textId="77777777" w:rsidR="00653779" w:rsidRDefault="00653779" w:rsidP="00032471">
      <w:r>
        <w:separator/>
      </w:r>
    </w:p>
  </w:footnote>
  <w:footnote w:type="continuationSeparator" w:id="0">
    <w:p w14:paraId="27C9142A" w14:textId="77777777" w:rsidR="00653779" w:rsidRDefault="00653779" w:rsidP="0003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706E"/>
    <w:multiLevelType w:val="hybridMultilevel"/>
    <w:tmpl w:val="378C574C"/>
    <w:lvl w:ilvl="0" w:tplc="075A84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B9242A"/>
    <w:multiLevelType w:val="hybridMultilevel"/>
    <w:tmpl w:val="621073F0"/>
    <w:lvl w:ilvl="0" w:tplc="7D720294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82637D3"/>
    <w:multiLevelType w:val="hybridMultilevel"/>
    <w:tmpl w:val="D616BED0"/>
    <w:lvl w:ilvl="0" w:tplc="FD52C38E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A"/>
    <w:rsid w:val="000055C1"/>
    <w:rsid w:val="000065F0"/>
    <w:rsid w:val="00020B35"/>
    <w:rsid w:val="000210EA"/>
    <w:rsid w:val="00032471"/>
    <w:rsid w:val="00032CD5"/>
    <w:rsid w:val="00034770"/>
    <w:rsid w:val="0004740F"/>
    <w:rsid w:val="00057683"/>
    <w:rsid w:val="00057A3A"/>
    <w:rsid w:val="00071026"/>
    <w:rsid w:val="000733DA"/>
    <w:rsid w:val="000771F0"/>
    <w:rsid w:val="00090234"/>
    <w:rsid w:val="00090DF0"/>
    <w:rsid w:val="000A37FB"/>
    <w:rsid w:val="000B03E7"/>
    <w:rsid w:val="000B0DB9"/>
    <w:rsid w:val="000B6481"/>
    <w:rsid w:val="000C4B25"/>
    <w:rsid w:val="000D1C9A"/>
    <w:rsid w:val="000F04F5"/>
    <w:rsid w:val="00105F89"/>
    <w:rsid w:val="00107673"/>
    <w:rsid w:val="00110C5C"/>
    <w:rsid w:val="00113282"/>
    <w:rsid w:val="0012778E"/>
    <w:rsid w:val="00147FD8"/>
    <w:rsid w:val="0016029F"/>
    <w:rsid w:val="00177CCD"/>
    <w:rsid w:val="00177DD7"/>
    <w:rsid w:val="00180066"/>
    <w:rsid w:val="00181195"/>
    <w:rsid w:val="001942D7"/>
    <w:rsid w:val="00194553"/>
    <w:rsid w:val="00197D0D"/>
    <w:rsid w:val="001A0230"/>
    <w:rsid w:val="001B1DC6"/>
    <w:rsid w:val="001D14D4"/>
    <w:rsid w:val="001D7ECE"/>
    <w:rsid w:val="001E58BB"/>
    <w:rsid w:val="00207A16"/>
    <w:rsid w:val="00215A2C"/>
    <w:rsid w:val="00240A15"/>
    <w:rsid w:val="00241973"/>
    <w:rsid w:val="00243A7D"/>
    <w:rsid w:val="002619E4"/>
    <w:rsid w:val="00273AFA"/>
    <w:rsid w:val="00286D84"/>
    <w:rsid w:val="002C12C3"/>
    <w:rsid w:val="002C2700"/>
    <w:rsid w:val="002C6E8D"/>
    <w:rsid w:val="002E72C3"/>
    <w:rsid w:val="002F0F9B"/>
    <w:rsid w:val="002F28B5"/>
    <w:rsid w:val="002F4516"/>
    <w:rsid w:val="002F6F18"/>
    <w:rsid w:val="00314475"/>
    <w:rsid w:val="00324EE7"/>
    <w:rsid w:val="003320C6"/>
    <w:rsid w:val="003545BA"/>
    <w:rsid w:val="00355E93"/>
    <w:rsid w:val="0038216A"/>
    <w:rsid w:val="003843A0"/>
    <w:rsid w:val="00387BDA"/>
    <w:rsid w:val="0039022F"/>
    <w:rsid w:val="003A015A"/>
    <w:rsid w:val="003B1608"/>
    <w:rsid w:val="003D5F26"/>
    <w:rsid w:val="003D6799"/>
    <w:rsid w:val="003E2EDE"/>
    <w:rsid w:val="003E4F34"/>
    <w:rsid w:val="003F1EFA"/>
    <w:rsid w:val="003F219C"/>
    <w:rsid w:val="0041409F"/>
    <w:rsid w:val="00427F19"/>
    <w:rsid w:val="00430208"/>
    <w:rsid w:val="00433B8A"/>
    <w:rsid w:val="00463226"/>
    <w:rsid w:val="00466E55"/>
    <w:rsid w:val="00472655"/>
    <w:rsid w:val="00473C39"/>
    <w:rsid w:val="00481E7A"/>
    <w:rsid w:val="00490F0C"/>
    <w:rsid w:val="00493D89"/>
    <w:rsid w:val="004A144E"/>
    <w:rsid w:val="004A158F"/>
    <w:rsid w:val="004C5D3E"/>
    <w:rsid w:val="004C68EA"/>
    <w:rsid w:val="004E56C3"/>
    <w:rsid w:val="004E6240"/>
    <w:rsid w:val="004E66A4"/>
    <w:rsid w:val="004E7605"/>
    <w:rsid w:val="004F0CC6"/>
    <w:rsid w:val="005052FB"/>
    <w:rsid w:val="00527C34"/>
    <w:rsid w:val="00527E81"/>
    <w:rsid w:val="00575D55"/>
    <w:rsid w:val="0058421D"/>
    <w:rsid w:val="005849EA"/>
    <w:rsid w:val="005B5644"/>
    <w:rsid w:val="005D5070"/>
    <w:rsid w:val="005E56E4"/>
    <w:rsid w:val="005E7A0E"/>
    <w:rsid w:val="005F4071"/>
    <w:rsid w:val="00605F00"/>
    <w:rsid w:val="00612A0E"/>
    <w:rsid w:val="00636546"/>
    <w:rsid w:val="00640EF6"/>
    <w:rsid w:val="00646929"/>
    <w:rsid w:val="00651CF0"/>
    <w:rsid w:val="00652794"/>
    <w:rsid w:val="00653779"/>
    <w:rsid w:val="0066753E"/>
    <w:rsid w:val="0067584F"/>
    <w:rsid w:val="006766F7"/>
    <w:rsid w:val="006809F3"/>
    <w:rsid w:val="00684927"/>
    <w:rsid w:val="006A3DCA"/>
    <w:rsid w:val="006A6D67"/>
    <w:rsid w:val="006C081B"/>
    <w:rsid w:val="006C460F"/>
    <w:rsid w:val="006D5884"/>
    <w:rsid w:val="006D5AC0"/>
    <w:rsid w:val="006E1512"/>
    <w:rsid w:val="006F4FD1"/>
    <w:rsid w:val="006F5C9F"/>
    <w:rsid w:val="00703C09"/>
    <w:rsid w:val="00720E03"/>
    <w:rsid w:val="00722509"/>
    <w:rsid w:val="00730AFF"/>
    <w:rsid w:val="00773ED8"/>
    <w:rsid w:val="007810F8"/>
    <w:rsid w:val="0078409F"/>
    <w:rsid w:val="007915D0"/>
    <w:rsid w:val="0079224B"/>
    <w:rsid w:val="00793E18"/>
    <w:rsid w:val="007B4512"/>
    <w:rsid w:val="007C03B5"/>
    <w:rsid w:val="007C0C42"/>
    <w:rsid w:val="007C47A7"/>
    <w:rsid w:val="007E05DD"/>
    <w:rsid w:val="007E2790"/>
    <w:rsid w:val="007E2ECE"/>
    <w:rsid w:val="007F5EC5"/>
    <w:rsid w:val="008208F7"/>
    <w:rsid w:val="00831078"/>
    <w:rsid w:val="008338F9"/>
    <w:rsid w:val="008438CC"/>
    <w:rsid w:val="00846E66"/>
    <w:rsid w:val="00855CF9"/>
    <w:rsid w:val="00862FCE"/>
    <w:rsid w:val="00863009"/>
    <w:rsid w:val="00866C08"/>
    <w:rsid w:val="00886083"/>
    <w:rsid w:val="008A7D40"/>
    <w:rsid w:val="008B18FC"/>
    <w:rsid w:val="008B2054"/>
    <w:rsid w:val="008C52F7"/>
    <w:rsid w:val="008C7232"/>
    <w:rsid w:val="008F6FA2"/>
    <w:rsid w:val="0090039D"/>
    <w:rsid w:val="009033BF"/>
    <w:rsid w:val="009103AC"/>
    <w:rsid w:val="00917A5F"/>
    <w:rsid w:val="009220DB"/>
    <w:rsid w:val="0092288C"/>
    <w:rsid w:val="00930597"/>
    <w:rsid w:val="00933E85"/>
    <w:rsid w:val="00936BA7"/>
    <w:rsid w:val="00967EDA"/>
    <w:rsid w:val="00996C1E"/>
    <w:rsid w:val="009A2C01"/>
    <w:rsid w:val="009A5E15"/>
    <w:rsid w:val="009A64E0"/>
    <w:rsid w:val="009B4225"/>
    <w:rsid w:val="009D6549"/>
    <w:rsid w:val="009F2D97"/>
    <w:rsid w:val="009F7B9B"/>
    <w:rsid w:val="00A04CF9"/>
    <w:rsid w:val="00A076CD"/>
    <w:rsid w:val="00A212A5"/>
    <w:rsid w:val="00A2257A"/>
    <w:rsid w:val="00A35941"/>
    <w:rsid w:val="00A60F7E"/>
    <w:rsid w:val="00A652E2"/>
    <w:rsid w:val="00A76D3D"/>
    <w:rsid w:val="00A77CB1"/>
    <w:rsid w:val="00A95A13"/>
    <w:rsid w:val="00AB3D88"/>
    <w:rsid w:val="00AD414B"/>
    <w:rsid w:val="00AF377A"/>
    <w:rsid w:val="00AF626F"/>
    <w:rsid w:val="00B043A8"/>
    <w:rsid w:val="00B14DAD"/>
    <w:rsid w:val="00B17A9C"/>
    <w:rsid w:val="00B27F9E"/>
    <w:rsid w:val="00B55514"/>
    <w:rsid w:val="00B6655B"/>
    <w:rsid w:val="00B722FF"/>
    <w:rsid w:val="00B8282F"/>
    <w:rsid w:val="00B90A0E"/>
    <w:rsid w:val="00B9353E"/>
    <w:rsid w:val="00BA339B"/>
    <w:rsid w:val="00BB0BA7"/>
    <w:rsid w:val="00BE1BEB"/>
    <w:rsid w:val="00BE59F9"/>
    <w:rsid w:val="00BE7582"/>
    <w:rsid w:val="00BE7CF4"/>
    <w:rsid w:val="00BF0D3B"/>
    <w:rsid w:val="00C06FC9"/>
    <w:rsid w:val="00C11074"/>
    <w:rsid w:val="00C113E3"/>
    <w:rsid w:val="00C21DE1"/>
    <w:rsid w:val="00C37FC2"/>
    <w:rsid w:val="00C50078"/>
    <w:rsid w:val="00C554CD"/>
    <w:rsid w:val="00C55CD0"/>
    <w:rsid w:val="00C6681E"/>
    <w:rsid w:val="00C72FB0"/>
    <w:rsid w:val="00C9360F"/>
    <w:rsid w:val="00CA3551"/>
    <w:rsid w:val="00CB57CC"/>
    <w:rsid w:val="00CC2947"/>
    <w:rsid w:val="00CC7A2E"/>
    <w:rsid w:val="00CD79BE"/>
    <w:rsid w:val="00CF37D5"/>
    <w:rsid w:val="00D14B15"/>
    <w:rsid w:val="00D3498A"/>
    <w:rsid w:val="00D47E47"/>
    <w:rsid w:val="00D506E7"/>
    <w:rsid w:val="00D61FED"/>
    <w:rsid w:val="00D6413E"/>
    <w:rsid w:val="00D65E26"/>
    <w:rsid w:val="00D731E9"/>
    <w:rsid w:val="00D745A5"/>
    <w:rsid w:val="00D8086D"/>
    <w:rsid w:val="00D82012"/>
    <w:rsid w:val="00D95C51"/>
    <w:rsid w:val="00D966B2"/>
    <w:rsid w:val="00DA7542"/>
    <w:rsid w:val="00DB7D20"/>
    <w:rsid w:val="00DC0567"/>
    <w:rsid w:val="00DC7099"/>
    <w:rsid w:val="00DD16A3"/>
    <w:rsid w:val="00DD62DF"/>
    <w:rsid w:val="00DE1961"/>
    <w:rsid w:val="00DE1B1D"/>
    <w:rsid w:val="00DE3192"/>
    <w:rsid w:val="00DF42CC"/>
    <w:rsid w:val="00DF5D5C"/>
    <w:rsid w:val="00DF7202"/>
    <w:rsid w:val="00E01C71"/>
    <w:rsid w:val="00E02E9F"/>
    <w:rsid w:val="00E1435D"/>
    <w:rsid w:val="00E360F4"/>
    <w:rsid w:val="00E4021F"/>
    <w:rsid w:val="00E420AD"/>
    <w:rsid w:val="00E432BE"/>
    <w:rsid w:val="00E61629"/>
    <w:rsid w:val="00E71B98"/>
    <w:rsid w:val="00E744AF"/>
    <w:rsid w:val="00E777B3"/>
    <w:rsid w:val="00E87DA4"/>
    <w:rsid w:val="00E931B7"/>
    <w:rsid w:val="00E97813"/>
    <w:rsid w:val="00E97D43"/>
    <w:rsid w:val="00EA1CA2"/>
    <w:rsid w:val="00EA243F"/>
    <w:rsid w:val="00EB6C83"/>
    <w:rsid w:val="00EE00D6"/>
    <w:rsid w:val="00EE6393"/>
    <w:rsid w:val="00EF26C6"/>
    <w:rsid w:val="00EF5DD1"/>
    <w:rsid w:val="00F04BE2"/>
    <w:rsid w:val="00F11663"/>
    <w:rsid w:val="00F22097"/>
    <w:rsid w:val="00F26E89"/>
    <w:rsid w:val="00F32E31"/>
    <w:rsid w:val="00F34E01"/>
    <w:rsid w:val="00F52591"/>
    <w:rsid w:val="00F53AE3"/>
    <w:rsid w:val="00F61489"/>
    <w:rsid w:val="00F62869"/>
    <w:rsid w:val="00F80664"/>
    <w:rsid w:val="00F86C84"/>
    <w:rsid w:val="00F910FC"/>
    <w:rsid w:val="00FA057D"/>
    <w:rsid w:val="00FB2378"/>
    <w:rsid w:val="00FB2D09"/>
    <w:rsid w:val="00FC2D13"/>
    <w:rsid w:val="00FC50F1"/>
    <w:rsid w:val="00FC65A3"/>
    <w:rsid w:val="00FD0AC0"/>
    <w:rsid w:val="00FE5189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E2B85"/>
  <w15:docId w15:val="{9833C1DF-CF3E-4CB7-B661-B0E35D77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4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471"/>
    <w:rPr>
      <w:sz w:val="18"/>
      <w:szCs w:val="18"/>
    </w:rPr>
  </w:style>
  <w:style w:type="table" w:styleId="a5">
    <w:name w:val="Table Grid"/>
    <w:basedOn w:val="a1"/>
    <w:rsid w:val="00032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5070"/>
    <w:pPr>
      <w:ind w:firstLineChars="200" w:firstLine="420"/>
    </w:pPr>
  </w:style>
  <w:style w:type="paragraph" w:customStyle="1" w:styleId="005">
    <w:name w:val="005正文"/>
    <w:basedOn w:val="a"/>
    <w:link w:val="005CharChar"/>
    <w:qFormat/>
    <w:rsid w:val="00DE3192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sid w:val="00DE3192"/>
    <w:rPr>
      <w:rFonts w:ascii="Times New Roman" w:eastAsia="宋体" w:hAnsi="Times New Roman" w:cs="Times New Roman"/>
      <w:sz w:val="24"/>
    </w:rPr>
  </w:style>
  <w:style w:type="character" w:styleId="a7">
    <w:name w:val="Placeholder Text"/>
    <w:basedOn w:val="a0"/>
    <w:uiPriority w:val="99"/>
    <w:semiHidden/>
    <w:rsid w:val="00BB0BA7"/>
    <w:rPr>
      <w:color w:val="808080"/>
    </w:rPr>
  </w:style>
  <w:style w:type="paragraph" w:styleId="a8">
    <w:name w:val="Normal (Web)"/>
    <w:basedOn w:val="a"/>
    <w:uiPriority w:val="99"/>
    <w:unhideWhenUsed/>
    <w:rsid w:val="006F5C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03477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CE4FFDDB8F4878A13A53687303E5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36A54A-ACD6-4928-8EBD-BBBCE40C4EA1}"/>
      </w:docPartPr>
      <w:docPartBody>
        <w:p w:rsidR="00070213" w:rsidRDefault="008579CE" w:rsidP="008579CE">
          <w:pPr>
            <w:pStyle w:val="28CE4FFDDB8F4878A13A53687303E587"/>
          </w:pPr>
          <w:r w:rsidRPr="00615885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6E"/>
    <w:rsid w:val="00007DFF"/>
    <w:rsid w:val="00070213"/>
    <w:rsid w:val="00134AB8"/>
    <w:rsid w:val="001A7B7F"/>
    <w:rsid w:val="002D3538"/>
    <w:rsid w:val="00400D73"/>
    <w:rsid w:val="00606777"/>
    <w:rsid w:val="00627CD4"/>
    <w:rsid w:val="0065107C"/>
    <w:rsid w:val="0072386A"/>
    <w:rsid w:val="008579CE"/>
    <w:rsid w:val="00957562"/>
    <w:rsid w:val="00B27D1E"/>
    <w:rsid w:val="00C67C91"/>
    <w:rsid w:val="00D0536E"/>
    <w:rsid w:val="00E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79CE"/>
    <w:rPr>
      <w:color w:val="808080"/>
    </w:rPr>
  </w:style>
  <w:style w:type="paragraph" w:customStyle="1" w:styleId="601CDC82DE8646D1833C44EE4A5A04DF">
    <w:name w:val="601CDC82DE8646D1833C44EE4A5A04DF"/>
    <w:rsid w:val="00D0536E"/>
    <w:pPr>
      <w:widowControl w:val="0"/>
      <w:jc w:val="both"/>
    </w:pPr>
  </w:style>
  <w:style w:type="paragraph" w:customStyle="1" w:styleId="76B564F9F3EE4BB8954AE0789DF1F12F">
    <w:name w:val="76B564F9F3EE4BB8954AE0789DF1F12F"/>
    <w:rsid w:val="00134AB8"/>
    <w:pPr>
      <w:widowControl w:val="0"/>
      <w:jc w:val="both"/>
    </w:pPr>
  </w:style>
  <w:style w:type="paragraph" w:customStyle="1" w:styleId="349FC3E499C346DD9A101228DDA1A5A1">
    <w:name w:val="349FC3E499C346DD9A101228DDA1A5A1"/>
    <w:rsid w:val="002D3538"/>
    <w:pPr>
      <w:widowControl w:val="0"/>
      <w:jc w:val="both"/>
    </w:pPr>
  </w:style>
  <w:style w:type="paragraph" w:customStyle="1" w:styleId="28CE4FFDDB8F4878A13A53687303E587">
    <w:name w:val="28CE4FFDDB8F4878A13A53687303E587"/>
    <w:rsid w:val="008579C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107D-3833-4486-966A-36C163F6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杨文静</cp:lastModifiedBy>
  <cp:revision>118</cp:revision>
  <dcterms:created xsi:type="dcterms:W3CDTF">2023-02-03T11:40:00Z</dcterms:created>
  <dcterms:modified xsi:type="dcterms:W3CDTF">2025-05-08T07:42:00Z</dcterms:modified>
</cp:coreProperties>
</file>