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0586">
      <w:pPr>
        <w:rPr>
          <w:rFonts w:ascii="宋体" w:hAnsi="宋体" w:eastAsia="宋体"/>
          <w:sz w:val="28"/>
          <w:szCs w:val="28"/>
        </w:rPr>
      </w:pPr>
      <w:bookmarkStart w:id="0" w:name="_GoBack"/>
      <w:bookmarkEnd w:id="0"/>
      <w:r>
        <w:rPr>
          <w:rFonts w:hint="eastAsia" w:ascii="宋体" w:hAnsi="宋体" w:eastAsia="宋体"/>
          <w:sz w:val="28"/>
          <w:szCs w:val="28"/>
        </w:rPr>
        <w:t>证券代码：688334</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证券简称：西高院</w:t>
      </w:r>
    </w:p>
    <w:p w14:paraId="0496276A">
      <w:pPr>
        <w:jc w:val="center"/>
        <w:rPr>
          <w:rFonts w:ascii="黑体" w:hAnsi="黑体" w:eastAsia="黑体"/>
          <w:b/>
          <w:bCs/>
          <w:sz w:val="36"/>
          <w:szCs w:val="36"/>
        </w:rPr>
      </w:pPr>
      <w:r>
        <w:rPr>
          <w:rFonts w:hint="eastAsia" w:ascii="黑体" w:hAnsi="黑体" w:eastAsia="黑体"/>
          <w:b/>
          <w:bCs/>
          <w:sz w:val="36"/>
          <w:szCs w:val="36"/>
        </w:rPr>
        <w:t>西安高压电器研究院股份有限公司</w:t>
      </w:r>
    </w:p>
    <w:p w14:paraId="23833E0D">
      <w:pPr>
        <w:jc w:val="center"/>
        <w:rPr>
          <w:rFonts w:ascii="黑体" w:hAnsi="黑体" w:eastAsia="黑体"/>
          <w:b/>
          <w:bCs/>
          <w:sz w:val="36"/>
          <w:szCs w:val="36"/>
        </w:rPr>
      </w:pPr>
      <w:r>
        <w:rPr>
          <w:rFonts w:hint="eastAsia" w:ascii="黑体" w:hAnsi="黑体" w:eastAsia="黑体"/>
          <w:b/>
          <w:bCs/>
          <w:sz w:val="36"/>
          <w:szCs w:val="36"/>
        </w:rPr>
        <w:t>投资者关系活动记录表</w:t>
      </w:r>
    </w:p>
    <w:p w14:paraId="4A6E0161">
      <w:pPr>
        <w:ind w:firstLine="560" w:firstLineChars="200"/>
        <w:jc w:val="right"/>
        <w:rPr>
          <w:rFonts w:hint="default" w:ascii="宋体" w:hAnsi="宋体" w:eastAsia="宋体"/>
          <w:sz w:val="28"/>
          <w:szCs w:val="28"/>
          <w:lang w:val="en-US" w:eastAsia="zh-CN"/>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lang w:val="en-US" w:eastAsia="zh-CN"/>
        </w:rPr>
        <w:t>5</w:t>
      </w:r>
      <w:r>
        <w:rPr>
          <w:rFonts w:ascii="宋体" w:hAnsi="宋体" w:eastAsia="宋体"/>
          <w:sz w:val="28"/>
          <w:szCs w:val="28"/>
        </w:rPr>
        <w:t>-0</w:t>
      </w:r>
      <w:r>
        <w:rPr>
          <w:rFonts w:hint="eastAsia" w:ascii="宋体" w:hAnsi="宋体" w:eastAsia="宋体"/>
          <w:sz w:val="28"/>
          <w:szCs w:val="28"/>
          <w:lang w:val="en-US" w:eastAsia="zh-CN"/>
        </w:rPr>
        <w:t>03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740"/>
      </w:tblGrid>
      <w:tr w14:paraId="3E90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80" w:type="dxa"/>
            <w:vAlign w:val="center"/>
          </w:tcPr>
          <w:p w14:paraId="5B3A12E0">
            <w:pPr>
              <w:jc w:val="center"/>
              <w:rPr>
                <w:rFonts w:ascii="宋体" w:hAnsi="宋体" w:eastAsia="宋体"/>
                <w:b/>
                <w:bCs/>
                <w:sz w:val="24"/>
                <w:szCs w:val="24"/>
              </w:rPr>
            </w:pPr>
            <w:r>
              <w:rPr>
                <w:rFonts w:hint="eastAsia" w:ascii="宋体" w:hAnsi="宋体" w:eastAsia="宋体"/>
                <w:b/>
                <w:bCs/>
                <w:sz w:val="24"/>
                <w:szCs w:val="24"/>
              </w:rPr>
              <w:t>投资者关系</w:t>
            </w:r>
          </w:p>
          <w:p w14:paraId="15885639">
            <w:pPr>
              <w:jc w:val="center"/>
              <w:rPr>
                <w:rFonts w:ascii="宋体" w:hAnsi="宋体" w:eastAsia="宋体"/>
                <w:b/>
                <w:bCs/>
                <w:sz w:val="24"/>
                <w:szCs w:val="24"/>
              </w:rPr>
            </w:pPr>
            <w:r>
              <w:rPr>
                <w:rFonts w:hint="eastAsia" w:ascii="宋体" w:hAnsi="宋体" w:eastAsia="宋体"/>
                <w:b/>
                <w:bCs/>
                <w:sz w:val="24"/>
                <w:szCs w:val="24"/>
              </w:rPr>
              <w:t>活动类别</w:t>
            </w:r>
          </w:p>
        </w:tc>
        <w:tc>
          <w:tcPr>
            <w:tcW w:w="6740" w:type="dxa"/>
            <w:vAlign w:val="center"/>
          </w:tcPr>
          <w:p w14:paraId="08D2F849">
            <w:pPr>
              <w:rPr>
                <w:rFonts w:ascii="宋体" w:hAnsi="宋体" w:eastAsia="宋体"/>
                <w:sz w:val="24"/>
                <w:szCs w:val="24"/>
              </w:rPr>
            </w:pPr>
            <w:r>
              <w:rPr>
                <w:rFonts w:hint="eastAsia" w:ascii="宋体" w:hAnsi="宋体" w:eastAsia="宋体"/>
                <w:sz w:val="24"/>
                <w:szCs w:val="24"/>
              </w:rPr>
              <w:t>□特定对象调研</w:t>
            </w:r>
            <w:r>
              <w:rPr>
                <w:rFonts w:ascii="宋体" w:hAnsi="宋体" w:eastAsia="宋体"/>
                <w:sz w:val="24"/>
                <w:szCs w:val="24"/>
              </w:rPr>
              <w:t xml:space="preserve">                □分析师会议</w:t>
            </w:r>
          </w:p>
          <w:p w14:paraId="35D5DEC2">
            <w:pPr>
              <w:rPr>
                <w:rFonts w:ascii="宋体" w:hAnsi="宋体" w:eastAsia="宋体"/>
                <w:sz w:val="24"/>
                <w:szCs w:val="24"/>
              </w:rPr>
            </w:pPr>
            <w:r>
              <w:rPr>
                <w:rFonts w:hint="eastAsia" w:ascii="宋体" w:hAnsi="宋体" w:eastAsia="宋体"/>
                <w:sz w:val="24"/>
                <w:szCs w:val="24"/>
              </w:rPr>
              <w:t>□媒体采访</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业绩说明会</w:t>
            </w:r>
          </w:p>
          <w:p w14:paraId="6EC47EA5">
            <w:pPr>
              <w:rPr>
                <w:rFonts w:hint="eastAsia" w:ascii="宋体" w:hAnsi="宋体" w:eastAsia="宋体"/>
                <w:sz w:val="24"/>
                <w:szCs w:val="24"/>
                <w:lang w:val="en-US" w:eastAsia="zh-CN"/>
              </w:rPr>
            </w:pPr>
            <w:r>
              <w:rPr>
                <w:rFonts w:hint="eastAsia" w:ascii="宋体" w:hAnsi="宋体" w:eastAsia="宋体"/>
                <w:sz w:val="24"/>
                <w:szCs w:val="24"/>
              </w:rPr>
              <w:t>□新闻发布会</w:t>
            </w:r>
            <w:r>
              <w:rPr>
                <w:rFonts w:ascii="宋体" w:hAnsi="宋体" w:eastAsia="宋体"/>
                <w:sz w:val="24"/>
                <w:szCs w:val="24"/>
              </w:rPr>
              <w:t xml:space="preserve">                  □路演活动</w:t>
            </w:r>
          </w:p>
          <w:p w14:paraId="305A5D0D">
            <w:pPr>
              <w:rPr>
                <w:rFonts w:ascii="宋体" w:hAnsi="宋体" w:eastAsia="宋体"/>
                <w:sz w:val="24"/>
                <w:szCs w:val="24"/>
              </w:rPr>
            </w:pPr>
            <w:r>
              <w:rPr>
                <w:rFonts w:hint="eastAsia" w:ascii="宋体" w:hAnsi="宋体" w:eastAsia="宋体"/>
                <w:sz w:val="24"/>
                <w:szCs w:val="24"/>
              </w:rPr>
              <w:t>□现场参观</w:t>
            </w:r>
            <w:r>
              <w:rPr>
                <w:rFonts w:ascii="宋体" w:hAnsi="宋体" w:eastAsia="宋体"/>
                <w:sz w:val="24"/>
                <w:szCs w:val="24"/>
              </w:rPr>
              <w:t xml:space="preserve">                    □电话会议</w:t>
            </w:r>
          </w:p>
          <w:p w14:paraId="67CD6D8F">
            <w:pPr>
              <w:rPr>
                <w:rFonts w:ascii="宋体" w:hAnsi="宋体" w:eastAsia="宋体"/>
                <w:sz w:val="24"/>
                <w:szCs w:val="24"/>
              </w:rPr>
            </w:pPr>
            <w:r>
              <w:rPr>
                <w:rFonts w:hint="eastAsia" w:ascii="宋体" w:hAnsi="宋体" w:eastAsia="宋体"/>
                <w:sz w:val="24"/>
                <w:szCs w:val="24"/>
              </w:rPr>
              <w:t>□其他</w:t>
            </w:r>
          </w:p>
        </w:tc>
      </w:tr>
      <w:tr w14:paraId="0716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03E46AE3">
            <w:pPr>
              <w:jc w:val="center"/>
              <w:rPr>
                <w:rFonts w:ascii="宋体" w:hAnsi="宋体" w:eastAsia="宋体"/>
                <w:b/>
                <w:bCs/>
                <w:sz w:val="24"/>
                <w:szCs w:val="24"/>
              </w:rPr>
            </w:pPr>
            <w:r>
              <w:rPr>
                <w:rFonts w:hint="eastAsia" w:ascii="宋体" w:hAnsi="宋体" w:eastAsia="宋体"/>
                <w:b/>
                <w:bCs/>
                <w:sz w:val="24"/>
                <w:szCs w:val="24"/>
              </w:rPr>
              <w:t>参与单位名称</w:t>
            </w:r>
          </w:p>
        </w:tc>
        <w:tc>
          <w:tcPr>
            <w:tcW w:w="6740" w:type="dxa"/>
            <w:vAlign w:val="center"/>
          </w:tcPr>
          <w:p w14:paraId="5FCD7351">
            <w:pPr>
              <w:rPr>
                <w:rFonts w:ascii="宋体" w:hAnsi="宋体" w:eastAsia="宋体"/>
                <w:sz w:val="24"/>
                <w:szCs w:val="24"/>
              </w:rPr>
            </w:pPr>
            <w:r>
              <w:rPr>
                <w:rFonts w:hint="eastAsia" w:ascii="宋体" w:hAnsi="宋体" w:eastAsia="宋体"/>
                <w:sz w:val="24"/>
                <w:szCs w:val="24"/>
              </w:rPr>
              <w:t>全体通过上证路演中心网络互动平台参与公司</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年度暨202</w:t>
            </w:r>
            <w:r>
              <w:rPr>
                <w:rFonts w:hint="eastAsia" w:ascii="宋体" w:hAnsi="宋体" w:eastAsia="宋体"/>
                <w:sz w:val="24"/>
                <w:szCs w:val="24"/>
                <w:lang w:val="en-US" w:eastAsia="zh-CN"/>
              </w:rPr>
              <w:t>5</w:t>
            </w:r>
            <w:r>
              <w:rPr>
                <w:rFonts w:ascii="宋体" w:hAnsi="宋体" w:eastAsia="宋体"/>
                <w:sz w:val="24"/>
                <w:szCs w:val="24"/>
              </w:rPr>
              <w:t>年</w:t>
            </w:r>
            <w:r>
              <w:rPr>
                <w:rFonts w:hint="eastAsia" w:ascii="宋体" w:hAnsi="宋体" w:eastAsia="宋体"/>
                <w:sz w:val="24"/>
                <w:szCs w:val="24"/>
              </w:rPr>
              <w:t>第</w:t>
            </w:r>
            <w:r>
              <w:rPr>
                <w:rFonts w:hint="eastAsia" w:ascii="宋体" w:hAnsi="宋体" w:eastAsia="宋体"/>
                <w:sz w:val="24"/>
                <w:szCs w:val="24"/>
                <w:lang w:val="en-US" w:eastAsia="zh-CN"/>
              </w:rPr>
              <w:t>一</w:t>
            </w:r>
            <w:r>
              <w:rPr>
                <w:rFonts w:hint="eastAsia" w:ascii="宋体" w:hAnsi="宋体" w:eastAsia="宋体"/>
                <w:sz w:val="24"/>
                <w:szCs w:val="24"/>
              </w:rPr>
              <w:t>季</w:t>
            </w:r>
            <w:r>
              <w:rPr>
                <w:rFonts w:ascii="宋体" w:hAnsi="宋体" w:eastAsia="宋体"/>
                <w:sz w:val="24"/>
                <w:szCs w:val="24"/>
              </w:rPr>
              <w:t>度业绩说明会的投资者</w:t>
            </w:r>
          </w:p>
        </w:tc>
      </w:tr>
      <w:tr w14:paraId="1B1D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327E69E2">
            <w:pPr>
              <w:jc w:val="center"/>
              <w:rPr>
                <w:rFonts w:ascii="宋体" w:hAnsi="宋体" w:eastAsia="宋体"/>
                <w:b/>
                <w:bCs/>
                <w:sz w:val="24"/>
                <w:szCs w:val="24"/>
              </w:rPr>
            </w:pPr>
            <w:r>
              <w:rPr>
                <w:rFonts w:hint="eastAsia" w:ascii="宋体" w:hAnsi="宋体" w:eastAsia="宋体"/>
                <w:b/>
                <w:bCs/>
                <w:sz w:val="24"/>
                <w:szCs w:val="24"/>
              </w:rPr>
              <w:t>会议时间</w:t>
            </w:r>
          </w:p>
        </w:tc>
        <w:tc>
          <w:tcPr>
            <w:tcW w:w="6740" w:type="dxa"/>
            <w:vAlign w:val="center"/>
          </w:tcPr>
          <w:p w14:paraId="1DB7CF5F">
            <w:pP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5</w:t>
            </w:r>
            <w:r>
              <w:rPr>
                <w:rFonts w:ascii="宋体" w:hAnsi="宋体" w:eastAsia="宋体"/>
                <w:sz w:val="24"/>
                <w:szCs w:val="24"/>
              </w:rPr>
              <w:t>年</w:t>
            </w:r>
            <w:r>
              <w:rPr>
                <w:rFonts w:hint="eastAsia" w:ascii="宋体" w:hAnsi="宋体" w:eastAsia="宋体"/>
                <w:sz w:val="24"/>
                <w:szCs w:val="24"/>
                <w:lang w:val="en-US" w:eastAsia="zh-CN"/>
              </w:rPr>
              <w:t>5</w:t>
            </w:r>
            <w:r>
              <w:rPr>
                <w:rFonts w:ascii="宋体" w:hAnsi="宋体" w:eastAsia="宋体"/>
                <w:sz w:val="24"/>
                <w:szCs w:val="24"/>
              </w:rPr>
              <w:t>月</w:t>
            </w:r>
            <w:r>
              <w:rPr>
                <w:rFonts w:hint="eastAsia" w:ascii="宋体" w:hAnsi="宋体" w:eastAsia="宋体"/>
                <w:sz w:val="24"/>
                <w:szCs w:val="24"/>
                <w:lang w:val="en-US" w:eastAsia="zh-CN"/>
              </w:rPr>
              <w:t>12</w:t>
            </w:r>
            <w:r>
              <w:rPr>
                <w:rFonts w:ascii="宋体" w:hAnsi="宋体" w:eastAsia="宋体"/>
                <w:sz w:val="24"/>
                <w:szCs w:val="24"/>
              </w:rPr>
              <w:t>日</w:t>
            </w:r>
            <w:r>
              <w:rPr>
                <w:rFonts w:hint="eastAsia" w:ascii="宋体" w:hAnsi="宋体" w:eastAsia="宋体"/>
                <w:sz w:val="24"/>
                <w:szCs w:val="24"/>
              </w:rPr>
              <w:t xml:space="preserve"> </w:t>
            </w:r>
            <w:r>
              <w:rPr>
                <w:rFonts w:hint="eastAsia" w:ascii="宋体" w:hAnsi="宋体" w:eastAsia="宋体"/>
                <w:sz w:val="24"/>
                <w:szCs w:val="24"/>
                <w:lang w:val="en-US" w:eastAsia="zh-CN"/>
              </w:rPr>
              <w:t>10</w:t>
            </w:r>
            <w:r>
              <w:rPr>
                <w:rFonts w:ascii="宋体" w:hAnsi="宋体" w:eastAsia="宋体"/>
                <w:sz w:val="24"/>
                <w:szCs w:val="24"/>
              </w:rPr>
              <w:t>:00-1</w:t>
            </w:r>
            <w:r>
              <w:rPr>
                <w:rFonts w:hint="eastAsia" w:ascii="宋体" w:hAnsi="宋体" w:eastAsia="宋体"/>
                <w:sz w:val="24"/>
                <w:szCs w:val="24"/>
                <w:lang w:val="en-US" w:eastAsia="zh-CN"/>
              </w:rPr>
              <w:t>1</w:t>
            </w:r>
            <w:r>
              <w:rPr>
                <w:rFonts w:ascii="宋体" w:hAnsi="宋体" w:eastAsia="宋体"/>
                <w:sz w:val="24"/>
                <w:szCs w:val="24"/>
              </w:rPr>
              <w:t>:</w:t>
            </w:r>
            <w:r>
              <w:rPr>
                <w:rFonts w:hint="eastAsia" w:ascii="宋体" w:hAnsi="宋体" w:eastAsia="宋体"/>
                <w:sz w:val="24"/>
                <w:szCs w:val="24"/>
                <w:lang w:val="en-US" w:eastAsia="zh-CN"/>
              </w:rPr>
              <w:t>0</w:t>
            </w:r>
            <w:r>
              <w:rPr>
                <w:rFonts w:ascii="宋体" w:hAnsi="宋体" w:eastAsia="宋体"/>
                <w:sz w:val="24"/>
                <w:szCs w:val="24"/>
              </w:rPr>
              <w:t>0</w:t>
            </w:r>
          </w:p>
        </w:tc>
      </w:tr>
      <w:tr w14:paraId="449D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34028ED7">
            <w:pPr>
              <w:jc w:val="center"/>
              <w:rPr>
                <w:rFonts w:ascii="宋体" w:hAnsi="宋体" w:eastAsia="宋体"/>
                <w:b/>
                <w:bCs/>
                <w:sz w:val="24"/>
                <w:szCs w:val="24"/>
              </w:rPr>
            </w:pPr>
            <w:r>
              <w:rPr>
                <w:rFonts w:hint="eastAsia" w:ascii="宋体" w:hAnsi="宋体" w:eastAsia="宋体"/>
                <w:b/>
                <w:bCs/>
                <w:sz w:val="24"/>
                <w:szCs w:val="24"/>
              </w:rPr>
              <w:t>会议地点</w:t>
            </w:r>
          </w:p>
        </w:tc>
        <w:tc>
          <w:tcPr>
            <w:tcW w:w="6740" w:type="dxa"/>
            <w:vAlign w:val="center"/>
          </w:tcPr>
          <w:p w14:paraId="08AF5A60">
            <w:pPr>
              <w:rPr>
                <w:rFonts w:ascii="宋体" w:hAnsi="宋体" w:eastAsia="宋体"/>
                <w:sz w:val="24"/>
                <w:szCs w:val="24"/>
              </w:rPr>
            </w:pPr>
            <w:r>
              <w:rPr>
                <w:rFonts w:hint="eastAsia" w:ascii="宋体" w:hAnsi="宋体" w:eastAsia="宋体"/>
                <w:sz w:val="24"/>
                <w:szCs w:val="24"/>
              </w:rPr>
              <w:t>上证路演中心（网址：</w:t>
            </w:r>
            <w:r>
              <w:rPr>
                <w:rFonts w:ascii="宋体" w:hAnsi="宋体" w:eastAsia="宋体"/>
                <w:sz w:val="24"/>
                <w:szCs w:val="24"/>
              </w:rPr>
              <w:t>http://roadshow.sseinfo.com/）</w:t>
            </w:r>
          </w:p>
        </w:tc>
      </w:tr>
      <w:tr w14:paraId="6F32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0FA60F89">
            <w:pPr>
              <w:jc w:val="center"/>
              <w:rPr>
                <w:rFonts w:ascii="宋体" w:hAnsi="宋体" w:eastAsia="宋体"/>
                <w:b/>
                <w:bCs/>
                <w:sz w:val="24"/>
                <w:szCs w:val="24"/>
              </w:rPr>
            </w:pPr>
            <w:r>
              <w:rPr>
                <w:rFonts w:hint="eastAsia" w:ascii="宋体" w:hAnsi="宋体" w:eastAsia="宋体"/>
                <w:b/>
                <w:bCs/>
                <w:sz w:val="24"/>
                <w:szCs w:val="24"/>
              </w:rPr>
              <w:t>公司接待人员</w:t>
            </w:r>
          </w:p>
        </w:tc>
        <w:tc>
          <w:tcPr>
            <w:tcW w:w="6740" w:type="dxa"/>
            <w:vAlign w:val="center"/>
          </w:tcPr>
          <w:p w14:paraId="2B5FC932">
            <w:pPr>
              <w:rPr>
                <w:rFonts w:ascii="宋体" w:hAnsi="宋体" w:eastAsia="宋体"/>
                <w:sz w:val="24"/>
                <w:szCs w:val="24"/>
              </w:rPr>
            </w:pPr>
            <w:r>
              <w:rPr>
                <w:rFonts w:hint="eastAsia" w:ascii="宋体" w:hAnsi="宋体" w:eastAsia="宋体"/>
                <w:sz w:val="24"/>
                <w:szCs w:val="24"/>
              </w:rPr>
              <w:t xml:space="preserve">党委书记、董事长 </w:t>
            </w:r>
            <w:r>
              <w:rPr>
                <w:rFonts w:hint="eastAsia" w:ascii="宋体" w:hAnsi="宋体" w:eastAsia="宋体"/>
                <w:sz w:val="24"/>
                <w:szCs w:val="24"/>
                <w:lang w:val="en-US" w:eastAsia="zh-CN"/>
              </w:rPr>
              <w:t>张晋波</w:t>
            </w:r>
            <w:r>
              <w:rPr>
                <w:rFonts w:hint="eastAsia" w:ascii="宋体" w:hAnsi="宋体" w:eastAsia="宋体"/>
                <w:sz w:val="24"/>
                <w:szCs w:val="24"/>
              </w:rPr>
              <w:t>先生</w:t>
            </w:r>
          </w:p>
          <w:p w14:paraId="43D7DC80">
            <w:pPr>
              <w:rPr>
                <w:rFonts w:ascii="宋体" w:hAnsi="宋体" w:eastAsia="宋体"/>
                <w:sz w:val="24"/>
                <w:szCs w:val="24"/>
              </w:rPr>
            </w:pPr>
            <w:r>
              <w:rPr>
                <w:rFonts w:hint="eastAsia" w:ascii="宋体" w:hAnsi="宋体" w:eastAsia="宋体"/>
                <w:sz w:val="24"/>
                <w:szCs w:val="24"/>
              </w:rPr>
              <w:t>董事会秘书、总会计师、总法律顾问 王辉先生</w:t>
            </w:r>
          </w:p>
          <w:p w14:paraId="677CC333">
            <w:pPr>
              <w:rPr>
                <w:rFonts w:ascii="宋体" w:hAnsi="宋体" w:eastAsia="宋体"/>
                <w:sz w:val="24"/>
                <w:szCs w:val="24"/>
              </w:rPr>
            </w:pPr>
            <w:r>
              <w:rPr>
                <w:rFonts w:hint="eastAsia" w:ascii="宋体" w:hAnsi="宋体" w:eastAsia="宋体"/>
                <w:sz w:val="24"/>
                <w:szCs w:val="24"/>
              </w:rPr>
              <w:t>独立董事 李玲女士</w:t>
            </w:r>
          </w:p>
        </w:tc>
      </w:tr>
      <w:tr w14:paraId="763B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0" w:type="dxa"/>
            <w:vAlign w:val="center"/>
          </w:tcPr>
          <w:p w14:paraId="404C7B7B">
            <w:pPr>
              <w:jc w:val="center"/>
              <w:rPr>
                <w:rFonts w:ascii="宋体" w:hAnsi="宋体" w:eastAsia="宋体"/>
                <w:b/>
                <w:bCs/>
                <w:sz w:val="24"/>
                <w:szCs w:val="24"/>
              </w:rPr>
            </w:pPr>
            <w:r>
              <w:rPr>
                <w:rFonts w:hint="eastAsia" w:ascii="宋体" w:hAnsi="宋体" w:eastAsia="宋体"/>
                <w:b/>
                <w:bCs/>
                <w:sz w:val="24"/>
                <w:szCs w:val="24"/>
              </w:rPr>
              <w:t>投资者关系活动主要内容介绍</w:t>
            </w:r>
          </w:p>
        </w:tc>
        <w:tc>
          <w:tcPr>
            <w:tcW w:w="6740" w:type="dxa"/>
            <w:vAlign w:val="center"/>
          </w:tcPr>
          <w:p w14:paraId="524CB1BB">
            <w:pPr>
              <w:ind w:firstLine="480" w:firstLineChars="200"/>
              <w:rPr>
                <w:rFonts w:ascii="宋体" w:hAnsi="宋体" w:eastAsia="宋体"/>
                <w:sz w:val="24"/>
                <w:szCs w:val="24"/>
              </w:rPr>
            </w:pPr>
            <w:r>
              <w:rPr>
                <w:rFonts w:hint="eastAsia" w:ascii="宋体" w:hAnsi="宋体" w:eastAsia="宋体"/>
                <w:sz w:val="24"/>
                <w:szCs w:val="24"/>
              </w:rPr>
              <w:t>公司通过上海证券交易所上证路演中心平台（http://roadshow.sseinfo.com）以视频直播和网络互动方式召开</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年度暨</w:t>
            </w: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年第</w:t>
            </w:r>
            <w:r>
              <w:rPr>
                <w:rFonts w:hint="eastAsia" w:ascii="宋体" w:hAnsi="宋体" w:eastAsia="宋体"/>
                <w:sz w:val="24"/>
                <w:szCs w:val="24"/>
                <w:lang w:val="en-US" w:eastAsia="zh-CN"/>
              </w:rPr>
              <w:t>一</w:t>
            </w:r>
            <w:r>
              <w:rPr>
                <w:rFonts w:hint="eastAsia" w:ascii="宋体" w:hAnsi="宋体" w:eastAsia="宋体"/>
                <w:sz w:val="24"/>
                <w:szCs w:val="24"/>
              </w:rPr>
              <w:t>季度业绩说明会。</w:t>
            </w:r>
          </w:p>
          <w:p w14:paraId="7E7E8ECA">
            <w:pPr>
              <w:ind w:firstLine="482" w:firstLineChars="200"/>
              <w:rPr>
                <w:rFonts w:ascii="宋体" w:hAnsi="宋体" w:eastAsia="宋体"/>
                <w:sz w:val="24"/>
                <w:szCs w:val="24"/>
              </w:rPr>
            </w:pPr>
            <w:r>
              <w:rPr>
                <w:rFonts w:hint="eastAsia" w:ascii="宋体" w:hAnsi="宋体" w:eastAsia="宋体"/>
                <w:b/>
                <w:bCs/>
                <w:sz w:val="24"/>
                <w:szCs w:val="24"/>
              </w:rPr>
              <w:t>第一部分</w:t>
            </w:r>
            <w:r>
              <w:rPr>
                <w:rFonts w:hint="eastAsia" w:ascii="宋体" w:hAnsi="宋体" w:eastAsia="宋体"/>
                <w:sz w:val="24"/>
                <w:szCs w:val="24"/>
              </w:rPr>
              <w:t>：公司202</w:t>
            </w:r>
            <w:r>
              <w:rPr>
                <w:rFonts w:hint="eastAsia" w:ascii="宋体" w:hAnsi="宋体" w:eastAsia="宋体"/>
                <w:sz w:val="24"/>
                <w:szCs w:val="24"/>
                <w:lang w:val="en-US" w:eastAsia="zh-CN"/>
              </w:rPr>
              <w:t>4</w:t>
            </w:r>
            <w:r>
              <w:rPr>
                <w:rFonts w:hint="eastAsia" w:ascii="宋体" w:hAnsi="宋体" w:eastAsia="宋体"/>
                <w:sz w:val="24"/>
                <w:szCs w:val="24"/>
              </w:rPr>
              <w:t>年度以及202</w:t>
            </w:r>
            <w:r>
              <w:rPr>
                <w:rFonts w:hint="eastAsia" w:ascii="宋体" w:hAnsi="宋体" w:eastAsia="宋体"/>
                <w:sz w:val="24"/>
                <w:szCs w:val="24"/>
                <w:lang w:val="en-US" w:eastAsia="zh-CN"/>
              </w:rPr>
              <w:t>5</w:t>
            </w:r>
            <w:r>
              <w:rPr>
                <w:rFonts w:hint="eastAsia" w:ascii="宋体" w:hAnsi="宋体" w:eastAsia="宋体"/>
                <w:sz w:val="24"/>
                <w:szCs w:val="24"/>
              </w:rPr>
              <w:t>年第</w:t>
            </w:r>
            <w:r>
              <w:rPr>
                <w:rFonts w:hint="eastAsia" w:ascii="宋体" w:hAnsi="宋体" w:eastAsia="宋体"/>
                <w:sz w:val="24"/>
                <w:szCs w:val="24"/>
                <w:lang w:val="en-US" w:eastAsia="zh-CN"/>
              </w:rPr>
              <w:t>一</w:t>
            </w:r>
            <w:r>
              <w:rPr>
                <w:rFonts w:hint="eastAsia" w:ascii="宋体" w:hAnsi="宋体" w:eastAsia="宋体"/>
                <w:sz w:val="24"/>
                <w:szCs w:val="24"/>
              </w:rPr>
              <w:t>季度经营情况说明，介绍公司概况、核心技术、产能布局等；</w:t>
            </w:r>
          </w:p>
          <w:p w14:paraId="593D50DA">
            <w:pPr>
              <w:ind w:firstLine="482" w:firstLineChars="200"/>
              <w:rPr>
                <w:rFonts w:ascii="宋体" w:hAnsi="宋体" w:eastAsia="宋体"/>
                <w:sz w:val="24"/>
                <w:szCs w:val="24"/>
              </w:rPr>
            </w:pPr>
            <w:r>
              <w:rPr>
                <w:rFonts w:hint="eastAsia" w:ascii="宋体" w:hAnsi="宋体" w:eastAsia="宋体"/>
                <w:b/>
                <w:bCs/>
                <w:sz w:val="24"/>
                <w:szCs w:val="24"/>
              </w:rPr>
              <w:t>第二部分</w:t>
            </w:r>
            <w:r>
              <w:rPr>
                <w:rFonts w:hint="eastAsia" w:ascii="宋体" w:hAnsi="宋体" w:eastAsia="宋体"/>
                <w:sz w:val="24"/>
                <w:szCs w:val="24"/>
              </w:rPr>
              <w:t>：问答环节</w:t>
            </w:r>
          </w:p>
          <w:p w14:paraId="083D241A">
            <w:pPr>
              <w:ind w:firstLine="480" w:firstLineChars="200"/>
              <w:rPr>
                <w:rFonts w:hint="eastAsia" w:ascii="宋体" w:hAnsi="宋体" w:eastAsia="宋体"/>
                <w:sz w:val="24"/>
                <w:szCs w:val="24"/>
              </w:rPr>
            </w:pPr>
            <w:r>
              <w:rPr>
                <w:rFonts w:hint="eastAsia" w:ascii="宋体" w:hAnsi="宋体" w:eastAsia="宋体"/>
                <w:sz w:val="24"/>
                <w:szCs w:val="24"/>
              </w:rPr>
              <w:t>问题1：高管您好。请问贵公司本期财务报告中，盈利表现如何？谢谢。</w:t>
            </w:r>
          </w:p>
          <w:p w14:paraId="0974E9F1">
            <w:pPr>
              <w:ind w:firstLine="480" w:firstLineChars="200"/>
              <w:rPr>
                <w:rFonts w:hint="eastAsia" w:ascii="宋体" w:hAnsi="宋体" w:eastAsia="宋体"/>
                <w:sz w:val="24"/>
                <w:szCs w:val="24"/>
              </w:rPr>
            </w:pPr>
            <w:r>
              <w:rPr>
                <w:rFonts w:hint="eastAsia" w:ascii="宋体" w:hAnsi="宋体" w:eastAsia="宋体"/>
                <w:sz w:val="24"/>
                <w:szCs w:val="24"/>
              </w:rPr>
              <w:t>答：尊敬的投资者，您好。2024年，公司加大市场开拓力度，业务承接量有较大突破，实现营业收入79,836.01万元，同比增长5.73%；归属于上市公司股东的净利润22,867.45万元，同比增长20.78%；归属于上市公司股东的扣除非经常性损益的净利润19,096.14万元，同比增长41.74%。感谢关注。</w:t>
            </w:r>
          </w:p>
          <w:p w14:paraId="549374B4">
            <w:pPr>
              <w:ind w:firstLine="480" w:firstLineChars="200"/>
              <w:rPr>
                <w:rFonts w:hint="eastAsia" w:ascii="宋体" w:hAnsi="宋体" w:eastAsia="宋体"/>
                <w:sz w:val="24"/>
                <w:szCs w:val="24"/>
              </w:rPr>
            </w:pPr>
            <w:r>
              <w:rPr>
                <w:rFonts w:hint="eastAsia" w:ascii="宋体" w:hAnsi="宋体" w:eastAsia="宋体"/>
                <w:sz w:val="24"/>
                <w:szCs w:val="24"/>
              </w:rPr>
              <w:t>问题2：公司24年末预收检测服务费2.82亿元，25年Q1增加到3.15亿元，这些订单多久能够交付？</w:t>
            </w:r>
          </w:p>
          <w:p w14:paraId="4139A972">
            <w:pPr>
              <w:ind w:firstLine="480" w:firstLineChars="200"/>
              <w:rPr>
                <w:rFonts w:ascii="宋体" w:hAnsi="宋体" w:eastAsia="宋体"/>
                <w:sz w:val="24"/>
                <w:szCs w:val="24"/>
              </w:rPr>
            </w:pPr>
            <w:r>
              <w:rPr>
                <w:rFonts w:hint="eastAsia" w:ascii="宋体" w:hAnsi="宋体" w:eastAsia="宋体"/>
                <w:sz w:val="24"/>
                <w:szCs w:val="24"/>
              </w:rPr>
              <w:t>答：尊敬的投资者，您好。公司订单交付时间主要视订单内容、技术复杂度及客户需求等因素而定。其中，小额检测项目从下订单到确认收入的时间一般为1周左右，大额订单交付周期一般为3-6个月。感谢关注。</w:t>
            </w:r>
          </w:p>
          <w:p w14:paraId="1140F3C7">
            <w:pPr>
              <w:ind w:firstLine="480" w:firstLineChars="200"/>
              <w:rPr>
                <w:rFonts w:hint="eastAsia" w:ascii="宋体" w:hAnsi="宋体" w:eastAsia="宋体"/>
                <w:sz w:val="24"/>
                <w:szCs w:val="24"/>
              </w:rPr>
            </w:pPr>
            <w:r>
              <w:rPr>
                <w:rFonts w:hint="eastAsia" w:ascii="宋体" w:hAnsi="宋体" w:eastAsia="宋体"/>
                <w:sz w:val="24"/>
                <w:szCs w:val="24"/>
              </w:rPr>
              <w:t>问题3：2024年西高院检测业务毛利率高达54.74%，而电科院只有35.72%，请问区别主要在哪里？</w:t>
            </w:r>
          </w:p>
          <w:p w14:paraId="5499F0FE">
            <w:pPr>
              <w:ind w:firstLine="480" w:firstLineChars="200"/>
              <w:rPr>
                <w:rFonts w:hint="eastAsia" w:ascii="宋体" w:hAnsi="宋体" w:eastAsia="宋体"/>
                <w:sz w:val="24"/>
                <w:szCs w:val="24"/>
              </w:rPr>
            </w:pPr>
            <w:r>
              <w:rPr>
                <w:rFonts w:hint="eastAsia" w:ascii="宋体" w:hAnsi="宋体" w:eastAsia="宋体"/>
                <w:sz w:val="24"/>
                <w:szCs w:val="24"/>
              </w:rPr>
              <w:t>答：尊敬的投资者，您好。西高院相较于同行业企业拥有更高毛利率的原因，主要在于产品结构的差异性。公司在高压及特高压市场中占据较大份额，其检测技术复杂度高、难度大，能够提供专业且附加值高的服务，相应其收费标准也较高，从而实现了较高的毛利率水平。感谢关注。</w:t>
            </w:r>
          </w:p>
          <w:p w14:paraId="75574782">
            <w:pPr>
              <w:ind w:firstLine="480" w:firstLineChars="200"/>
              <w:rPr>
                <w:rFonts w:hint="eastAsia" w:ascii="宋体" w:hAnsi="宋体" w:eastAsia="宋体"/>
                <w:sz w:val="24"/>
                <w:szCs w:val="24"/>
              </w:rPr>
            </w:pPr>
            <w:r>
              <w:rPr>
                <w:rFonts w:hint="eastAsia" w:ascii="宋体" w:hAnsi="宋体" w:eastAsia="宋体"/>
                <w:sz w:val="24"/>
                <w:szCs w:val="24"/>
              </w:rPr>
              <w:t>问题4：高管您好，请问贵公司未来盈利增长的主要驱动因素有哪些？谢谢。</w:t>
            </w:r>
          </w:p>
          <w:p w14:paraId="326C3F3B">
            <w:pPr>
              <w:ind w:firstLine="480" w:firstLineChars="200"/>
              <w:rPr>
                <w:rFonts w:hint="eastAsia" w:ascii="宋体" w:hAnsi="宋体" w:eastAsia="宋体"/>
                <w:sz w:val="24"/>
                <w:szCs w:val="24"/>
              </w:rPr>
            </w:pPr>
            <w:r>
              <w:rPr>
                <w:rFonts w:hint="eastAsia" w:ascii="宋体" w:hAnsi="宋体" w:eastAsia="宋体"/>
                <w:sz w:val="24"/>
                <w:szCs w:val="24"/>
              </w:rPr>
              <w:t>答：尊敬的投资者，您好。西高院将紧扣国家"双碳"战略与新型能源体系建设机遇，围绕电网投资升级与清洁能源发展布局，在持续巩固高压电器与试验检测的传统优势的基础上，加强延伸布局新能源认证等新兴赛道，通过"五地联动"战略协同开拓海内外市场。面向2030年，公司将建成具有国际影响力的电气装备智慧服务平台，实现高中低压全领域产品覆盖，深度融合智能化数字化手段构建服务生态。感谢关注。</w:t>
            </w:r>
          </w:p>
          <w:p w14:paraId="60A9DAF3">
            <w:pPr>
              <w:ind w:firstLine="480" w:firstLineChars="200"/>
              <w:rPr>
                <w:rFonts w:hint="eastAsia" w:ascii="宋体" w:hAnsi="宋体" w:eastAsia="宋体"/>
                <w:sz w:val="24"/>
                <w:szCs w:val="24"/>
              </w:rPr>
            </w:pPr>
            <w:r>
              <w:rPr>
                <w:rFonts w:hint="eastAsia" w:ascii="宋体" w:hAnsi="宋体" w:eastAsia="宋体"/>
                <w:sz w:val="24"/>
                <w:szCs w:val="24"/>
              </w:rPr>
              <w:t>问题5：近几年西高院的财务费用为什么一直是负的？</w:t>
            </w:r>
          </w:p>
          <w:p w14:paraId="11BBFB60">
            <w:pPr>
              <w:ind w:firstLine="480" w:firstLineChars="200"/>
              <w:rPr>
                <w:rFonts w:hint="eastAsia" w:ascii="宋体" w:hAnsi="宋体" w:eastAsia="宋体"/>
                <w:sz w:val="24"/>
                <w:szCs w:val="24"/>
              </w:rPr>
            </w:pPr>
            <w:r>
              <w:rPr>
                <w:rFonts w:hint="eastAsia" w:ascii="宋体" w:hAnsi="宋体" w:eastAsia="宋体"/>
                <w:sz w:val="24"/>
                <w:szCs w:val="24"/>
              </w:rPr>
              <w:t>答：尊敬的投资者，您好。主要系由于公司有息负债规模较小，相应产生的利息费用较少，低于同期定期存款、大额存单等产生的利息收入。感谢关注。</w:t>
            </w:r>
          </w:p>
          <w:p w14:paraId="362AD8B0">
            <w:pPr>
              <w:ind w:firstLine="480" w:firstLineChars="200"/>
              <w:rPr>
                <w:rFonts w:hint="eastAsia" w:ascii="宋体" w:hAnsi="宋体" w:eastAsia="宋体"/>
                <w:sz w:val="24"/>
                <w:szCs w:val="24"/>
              </w:rPr>
            </w:pPr>
            <w:r>
              <w:rPr>
                <w:rFonts w:hint="eastAsia" w:ascii="宋体" w:hAnsi="宋体" w:eastAsia="宋体"/>
                <w:sz w:val="24"/>
                <w:szCs w:val="24"/>
              </w:rPr>
              <w:t>问题6：设备折旧对公司净利润的影响有多大？预计什么时候会有集中的大额折旧？</w:t>
            </w:r>
          </w:p>
          <w:p w14:paraId="680E2C66">
            <w:pPr>
              <w:ind w:firstLine="480" w:firstLineChars="200"/>
              <w:rPr>
                <w:rFonts w:hint="eastAsia" w:ascii="宋体" w:hAnsi="宋体" w:eastAsia="宋体"/>
                <w:sz w:val="24"/>
                <w:szCs w:val="24"/>
              </w:rPr>
            </w:pPr>
            <w:r>
              <w:rPr>
                <w:rFonts w:hint="eastAsia" w:ascii="宋体" w:hAnsi="宋体" w:eastAsia="宋体"/>
                <w:sz w:val="24"/>
                <w:szCs w:val="24"/>
              </w:rPr>
              <w:t>答：尊敬的投资者，您好。公司按照会计准则要求，对机器设备采用年限平均法进行折旧，折旧年限为3-30年。2024年，公司计提机器设备折旧5,882.34万元，期末机器设备账面价值余额为44,631.18万元。感谢关注。</w:t>
            </w:r>
          </w:p>
          <w:p w14:paraId="7371FC90">
            <w:pPr>
              <w:ind w:firstLine="480" w:firstLineChars="200"/>
              <w:rPr>
                <w:rFonts w:hint="eastAsia" w:ascii="宋体" w:hAnsi="宋体" w:eastAsia="宋体"/>
                <w:sz w:val="24"/>
                <w:szCs w:val="24"/>
              </w:rPr>
            </w:pPr>
            <w:r>
              <w:rPr>
                <w:rFonts w:hint="eastAsia" w:ascii="宋体" w:hAnsi="宋体" w:eastAsia="宋体"/>
                <w:sz w:val="24"/>
                <w:szCs w:val="24"/>
              </w:rPr>
              <w:t>问题7：河高所24年的业绩情况？是否达到了收购时的业绩承诺？</w:t>
            </w:r>
          </w:p>
          <w:p w14:paraId="61427063">
            <w:pPr>
              <w:ind w:firstLine="480" w:firstLineChars="200"/>
              <w:rPr>
                <w:rFonts w:hint="eastAsia" w:ascii="宋体" w:hAnsi="宋体" w:eastAsia="宋体"/>
                <w:sz w:val="24"/>
                <w:szCs w:val="24"/>
              </w:rPr>
            </w:pPr>
            <w:r>
              <w:rPr>
                <w:rFonts w:hint="eastAsia" w:ascii="宋体" w:hAnsi="宋体" w:eastAsia="宋体"/>
                <w:sz w:val="24"/>
                <w:szCs w:val="24"/>
              </w:rPr>
              <w:t>答：尊敬的投资者，您好。2024年河高所实现营业收入14,877.21万元，实现净利润5,823.17万元，已完成交易对手方承诺净利润业绩目标。感谢关注。</w:t>
            </w:r>
          </w:p>
          <w:p w14:paraId="273B4CF1">
            <w:pPr>
              <w:ind w:firstLine="480" w:firstLineChars="200"/>
              <w:rPr>
                <w:rFonts w:hint="eastAsia" w:ascii="宋体" w:hAnsi="宋体" w:eastAsia="宋体"/>
                <w:sz w:val="24"/>
                <w:szCs w:val="24"/>
              </w:rPr>
            </w:pPr>
            <w:r>
              <w:rPr>
                <w:rFonts w:hint="eastAsia" w:ascii="宋体" w:hAnsi="宋体" w:eastAsia="宋体"/>
                <w:sz w:val="24"/>
                <w:szCs w:val="24"/>
              </w:rPr>
              <w:t>问题8：去年西高院一年三次分红，分红率超50%，今年能维持这个分红力度吗？</w:t>
            </w:r>
          </w:p>
          <w:p w14:paraId="6788460A">
            <w:pPr>
              <w:ind w:firstLine="480" w:firstLineChars="200"/>
              <w:rPr>
                <w:rFonts w:hint="eastAsia" w:ascii="宋体" w:hAnsi="宋体" w:eastAsia="宋体"/>
                <w:sz w:val="24"/>
                <w:szCs w:val="24"/>
              </w:rPr>
            </w:pPr>
            <w:r>
              <w:rPr>
                <w:rFonts w:hint="eastAsia" w:ascii="宋体" w:hAnsi="宋体" w:eastAsia="宋体"/>
                <w:sz w:val="24"/>
                <w:szCs w:val="24"/>
              </w:rPr>
              <w:t>答：尊敬的投资者，您好。公司坚持与全体股东共享发展成果，自上市以来来积极实施持续、稳健的分红政策，增强投资者获得感。为稳定投资者分红预期，公司已拟定2025年中期分红规划，在公司当期盈利、累计未分配利润为正、现金流可以满足正常经营且满足现金分红条件、不影响公司正常经营和持续发展的情况下，将结合 2025 年半年度及第三季度未分配利润与当期业绩，拟增加不少于一次中期分红。该规划尚需提交公司2024年年度股东大会审议。感谢关注。</w:t>
            </w:r>
          </w:p>
          <w:p w14:paraId="52FCE892">
            <w:pPr>
              <w:ind w:firstLine="480" w:firstLineChars="200"/>
              <w:rPr>
                <w:rFonts w:hint="eastAsia" w:ascii="宋体" w:hAnsi="宋体" w:eastAsia="宋体"/>
                <w:sz w:val="24"/>
                <w:szCs w:val="24"/>
              </w:rPr>
            </w:pPr>
            <w:r>
              <w:rPr>
                <w:rFonts w:hint="eastAsia" w:ascii="宋体" w:hAnsi="宋体" w:eastAsia="宋体"/>
                <w:sz w:val="24"/>
                <w:szCs w:val="24"/>
              </w:rPr>
              <w:t>问题9：请问贵司在核电方面有什么业务吗？或者有什么可控核聚变相关检测技术吗？</w:t>
            </w:r>
          </w:p>
          <w:p w14:paraId="695AF5D5">
            <w:pPr>
              <w:ind w:firstLine="480" w:firstLineChars="200"/>
              <w:rPr>
                <w:rFonts w:hint="eastAsia" w:ascii="宋体" w:hAnsi="宋体" w:eastAsia="宋体"/>
                <w:sz w:val="24"/>
                <w:szCs w:val="24"/>
              </w:rPr>
            </w:pPr>
            <w:r>
              <w:rPr>
                <w:rFonts w:hint="eastAsia" w:ascii="宋体" w:hAnsi="宋体" w:eastAsia="宋体"/>
                <w:sz w:val="24"/>
                <w:szCs w:val="24"/>
              </w:rPr>
              <w:t>答：尊敬的投资者，您好。公司大力开展核电领域的研究开发，公司主导的核电领域科技成果顺利通过中机联行业鉴定，实现了核电领域的高压限流熔断器产品的技术突破。目前公司在核聚变领域暂无相关业务信息，请以公司在指定信息披露媒体披露的公告为准，感谢您对公司的关注！</w:t>
            </w:r>
          </w:p>
          <w:p w14:paraId="655832EE">
            <w:pPr>
              <w:ind w:firstLine="480" w:firstLineChars="200"/>
              <w:rPr>
                <w:rFonts w:hint="eastAsia" w:ascii="宋体" w:hAnsi="宋体" w:eastAsia="宋体"/>
                <w:sz w:val="24"/>
                <w:szCs w:val="24"/>
              </w:rPr>
            </w:pPr>
            <w:r>
              <w:rPr>
                <w:rFonts w:hint="eastAsia" w:ascii="宋体" w:hAnsi="宋体" w:eastAsia="宋体"/>
                <w:sz w:val="24"/>
                <w:szCs w:val="24"/>
              </w:rPr>
              <w:t>问题10：高管您好，能否请您介绍一下本期行业整体和行业内其他主要企业的业绩表现？谢谢。</w:t>
            </w:r>
          </w:p>
          <w:p w14:paraId="05F12B34">
            <w:pPr>
              <w:ind w:firstLine="480" w:firstLineChars="200"/>
              <w:rPr>
                <w:rFonts w:hint="eastAsia" w:ascii="宋体" w:hAnsi="宋体" w:eastAsia="宋体"/>
                <w:sz w:val="24"/>
                <w:szCs w:val="24"/>
              </w:rPr>
            </w:pPr>
            <w:r>
              <w:rPr>
                <w:rFonts w:hint="eastAsia" w:ascii="宋体" w:hAnsi="宋体" w:eastAsia="宋体"/>
                <w:sz w:val="24"/>
                <w:szCs w:val="24"/>
              </w:rPr>
              <w:t>答：尊敬的投资者，您好。电气设备检测行业与电力行业景气状况、下游电气设备制造业以及终端电网公司的发展密切关联，与电气设备的生产销售规模和相关设备的技术更新升级呈正向相关关系，随着下游行业对电气设备检测业务的市场需求不断增加，公司所在行业整体发展向好。国内市场方面，公司主要对标企业包括苏州电器科学研究院股份有限公司、上海电气输配电试验中心有限公司等，相关企业的业绩信息请查阅公开信息了解。感谢关注。</w:t>
            </w:r>
          </w:p>
          <w:p w14:paraId="717BCC74">
            <w:pPr>
              <w:ind w:firstLine="480" w:firstLineChars="200"/>
              <w:rPr>
                <w:rFonts w:hint="eastAsia" w:ascii="宋体" w:hAnsi="宋体" w:eastAsia="宋体"/>
                <w:sz w:val="24"/>
                <w:szCs w:val="24"/>
              </w:rPr>
            </w:pPr>
            <w:r>
              <w:rPr>
                <w:rFonts w:hint="eastAsia" w:ascii="宋体" w:hAnsi="宋体" w:eastAsia="宋体"/>
                <w:sz w:val="24"/>
                <w:szCs w:val="24"/>
              </w:rPr>
              <w:t>问题11：设立厦门子公司的目的？主要会开展哪些业务？</w:t>
            </w:r>
          </w:p>
          <w:p w14:paraId="7E741B5F">
            <w:pPr>
              <w:ind w:firstLine="480" w:firstLineChars="200"/>
              <w:rPr>
                <w:rFonts w:hint="eastAsia" w:ascii="宋体" w:hAnsi="宋体" w:eastAsia="宋体"/>
                <w:sz w:val="24"/>
                <w:szCs w:val="24"/>
              </w:rPr>
            </w:pPr>
            <w:r>
              <w:rPr>
                <w:rFonts w:hint="eastAsia" w:ascii="宋体" w:hAnsi="宋体" w:eastAsia="宋体"/>
                <w:sz w:val="24"/>
                <w:szCs w:val="24"/>
              </w:rPr>
              <w:t>答：尊敬的投资者，您好。2025年3月，西高院新设立控股子公司西高院（厦门）电气研究院有限公司，定位为兼具检测服务能力的新型研发机构。西高院作为国内输变电装备检测领域龙头企业，拥有先进的试验检测技术以及研发技术，此次设立厦门公司能够有助于完善相关产业链条，支撑新能源和输配电产业发展，在当地开展面向输配电及新能源领域的技术服务和科技成果转化业务，利用厦门产业聚集优势，及对科研、检测服务的高需求，先期开展新能源领域电池电性能、环境、安全性试验，输配电设备领域电容器投切、一二次融合等特殊性试验，用电侧直流开关试验，以及输配电设备相关研发业务，补足西高院在东南沿海地区布局的空白。感谢您的关注。</w:t>
            </w:r>
          </w:p>
          <w:p w14:paraId="5D35D277">
            <w:pPr>
              <w:ind w:firstLine="480" w:firstLineChars="200"/>
              <w:rPr>
                <w:rFonts w:hint="eastAsia" w:ascii="宋体" w:hAnsi="宋体" w:eastAsia="宋体"/>
                <w:sz w:val="24"/>
                <w:szCs w:val="24"/>
              </w:rPr>
            </w:pPr>
            <w:r>
              <w:rPr>
                <w:rFonts w:hint="eastAsia" w:ascii="宋体" w:hAnsi="宋体" w:eastAsia="宋体"/>
                <w:sz w:val="24"/>
                <w:szCs w:val="24"/>
              </w:rPr>
              <w:t>问题12：高管您好，请问您如何看待行业未来的发展前景？谢谢。</w:t>
            </w:r>
          </w:p>
          <w:p w14:paraId="737B279A">
            <w:pPr>
              <w:ind w:firstLine="480" w:firstLineChars="200"/>
              <w:rPr>
                <w:rFonts w:hint="eastAsia" w:ascii="宋体" w:hAnsi="宋体" w:eastAsia="宋体"/>
                <w:sz w:val="24"/>
                <w:szCs w:val="24"/>
              </w:rPr>
            </w:pPr>
            <w:r>
              <w:rPr>
                <w:rFonts w:hint="eastAsia" w:ascii="宋体" w:hAnsi="宋体" w:eastAsia="宋体"/>
                <w:sz w:val="24"/>
                <w:szCs w:val="24"/>
              </w:rPr>
              <w:t>答：尊敬的投资者，您好。随着新型电力系统建设的深入实施，公司对行业未来市场需求保持积极乐观态度。公司将持续关注行业需求变化和发展趋势，积极把握市场机遇，加大技术研发和市场开拓力度，推动公司内在价值不断提升。感谢关注。</w:t>
            </w:r>
          </w:p>
          <w:p w14:paraId="7C164F64">
            <w:pPr>
              <w:ind w:firstLine="480" w:firstLineChars="200"/>
              <w:rPr>
                <w:rFonts w:hint="eastAsia" w:ascii="宋体" w:hAnsi="宋体" w:eastAsia="宋体"/>
                <w:sz w:val="24"/>
                <w:szCs w:val="24"/>
              </w:rPr>
            </w:pPr>
            <w:r>
              <w:rPr>
                <w:rFonts w:hint="eastAsia" w:ascii="宋体" w:hAnsi="宋体" w:eastAsia="宋体"/>
                <w:sz w:val="24"/>
                <w:szCs w:val="24"/>
              </w:rPr>
              <w:t>问题13：公司新能源检测业务的发展情况？并且，请问董事长如何看待这一市场的未来发展空间？</w:t>
            </w:r>
          </w:p>
          <w:p w14:paraId="14633BD4">
            <w:pPr>
              <w:ind w:firstLine="480" w:firstLineChars="200"/>
              <w:rPr>
                <w:rFonts w:hint="eastAsia" w:ascii="宋体" w:hAnsi="宋体" w:eastAsia="宋体"/>
                <w:sz w:val="24"/>
                <w:szCs w:val="24"/>
              </w:rPr>
            </w:pPr>
            <w:r>
              <w:rPr>
                <w:rFonts w:hint="eastAsia" w:ascii="宋体" w:hAnsi="宋体" w:eastAsia="宋体"/>
                <w:sz w:val="24"/>
                <w:szCs w:val="24"/>
              </w:rPr>
              <w:t>答：尊敬的投资者，您好。2024年，西高院成立了新能源实验中心和储能检测室，快速建成7.5MW大容量光储变流器电性能测试平台、储能电站电池抽检试验平台、RT-LAB仿真测试平台并获取 CNAS/CMA资质，在新能源领域的检测能力达到国内领先。当前，新能源业务市场前景广阔、容量巨大，然而，电网运营布局的优化、安全性的保障以及并网问题的解决，仍是行业亟待攻克的难题。西高院将以此为契机，凭借自身在新能源检测领域的深厚积累与专业优势，为新能源产业的健康发展提供有力支撑，助力行业突破瓶颈、实现跨越发展。感谢您的关注。</w:t>
            </w:r>
          </w:p>
          <w:p w14:paraId="301184C4">
            <w:pPr>
              <w:ind w:firstLine="480" w:firstLineChars="200"/>
              <w:rPr>
                <w:rFonts w:hint="eastAsia" w:ascii="宋体" w:hAnsi="宋体" w:eastAsia="宋体"/>
                <w:sz w:val="24"/>
                <w:szCs w:val="24"/>
              </w:rPr>
            </w:pPr>
            <w:r>
              <w:rPr>
                <w:rFonts w:hint="eastAsia" w:ascii="宋体" w:hAnsi="宋体" w:eastAsia="宋体"/>
                <w:sz w:val="24"/>
                <w:szCs w:val="24"/>
              </w:rPr>
              <w:t>问题14：现在特高压柔直方案逐渐增多，西高院是否具备该领域的检测技术？今年有无相关的业务订单？</w:t>
            </w:r>
          </w:p>
          <w:p w14:paraId="5BC8F8C1">
            <w:pPr>
              <w:ind w:firstLine="480" w:firstLineChars="200"/>
              <w:rPr>
                <w:rFonts w:hint="eastAsia" w:ascii="宋体" w:hAnsi="宋体" w:eastAsia="宋体"/>
                <w:sz w:val="24"/>
                <w:szCs w:val="24"/>
              </w:rPr>
            </w:pPr>
            <w:r>
              <w:rPr>
                <w:rFonts w:hint="eastAsia" w:ascii="宋体" w:hAnsi="宋体" w:eastAsia="宋体"/>
                <w:sz w:val="24"/>
                <w:szCs w:val="24"/>
              </w:rPr>
              <w:t>答：尊敬的投资者，您好。公司具备特高压电压源换流器阀等柔性直流输电工程用设备的检测能力。公司已完成多个特高压柔性直流输电工程用电压源换流器阀型式试验，相关换流器阀已成功应用于±800kV混合多端特高压直流工程（昆柳龙直流工程）、白鹤滩-江苏±800kV特高压直流输电工程等重大项目。感谢关注。</w:t>
            </w:r>
          </w:p>
          <w:p w14:paraId="3B0CE7BE">
            <w:pPr>
              <w:ind w:firstLine="480" w:firstLineChars="200"/>
              <w:rPr>
                <w:rFonts w:hint="eastAsia" w:ascii="宋体" w:hAnsi="宋体" w:eastAsia="宋体"/>
                <w:sz w:val="24"/>
                <w:szCs w:val="24"/>
                <w:lang w:val="en-US" w:eastAsia="zh-CN"/>
              </w:rPr>
            </w:pPr>
            <w:r>
              <w:rPr>
                <w:rFonts w:hint="eastAsia" w:ascii="宋体" w:hAnsi="宋体" w:eastAsia="宋体"/>
                <w:sz w:val="24"/>
                <w:szCs w:val="24"/>
              </w:rPr>
              <w:t>问题15：去年西高院拿了沙特电力公司SEC和迪拜水电局DEWA认可资质，这两个地区都有大量的电网建设需求，会给公司今年业绩带来多大的增长</w:t>
            </w:r>
            <w:r>
              <w:rPr>
                <w:rFonts w:hint="eastAsia" w:ascii="宋体" w:hAnsi="宋体" w:eastAsia="宋体"/>
                <w:sz w:val="24"/>
                <w:szCs w:val="24"/>
                <w:lang w:eastAsia="zh-CN"/>
              </w:rPr>
              <w:t>？</w:t>
            </w:r>
          </w:p>
          <w:p w14:paraId="2882B25F">
            <w:pPr>
              <w:ind w:firstLine="480" w:firstLineChars="200"/>
              <w:rPr>
                <w:rFonts w:hint="eastAsia" w:ascii="宋体" w:hAnsi="宋体" w:eastAsia="宋体"/>
                <w:sz w:val="24"/>
                <w:szCs w:val="24"/>
              </w:rPr>
            </w:pPr>
            <w:r>
              <w:rPr>
                <w:rFonts w:hint="eastAsia" w:ascii="宋体" w:hAnsi="宋体" w:eastAsia="宋体"/>
                <w:sz w:val="24"/>
                <w:szCs w:val="24"/>
              </w:rPr>
              <w:t xml:space="preserve">答：尊敬的投资者，您好。2024年公司成为中国唯一获沙特电力公司SEC和迪拜水电局DEWA认可的实验室，试验报告可直接应用于沙特及阿联酋迪拜项目，极大拓宽了市场准入，提升了品牌影响力。未来，西高院将依托公司在国际电气设备技术领域的话语权，全面助力国内输变电装备产品出口海外市场。感谢关注。 </w:t>
            </w:r>
          </w:p>
          <w:p w14:paraId="160F5DD0">
            <w:pPr>
              <w:ind w:firstLine="480" w:firstLineChars="200"/>
              <w:rPr>
                <w:rFonts w:hint="default" w:ascii="宋体" w:hAnsi="宋体" w:eastAsia="宋体"/>
                <w:sz w:val="24"/>
                <w:szCs w:val="24"/>
                <w:lang w:val="en-US"/>
              </w:rPr>
            </w:pPr>
            <w:r>
              <w:rPr>
                <w:rFonts w:hint="eastAsia" w:ascii="宋体" w:hAnsi="宋体" w:eastAsia="宋体"/>
                <w:sz w:val="24"/>
                <w:szCs w:val="24"/>
              </w:rPr>
              <w:t>问题1</w:t>
            </w:r>
            <w:r>
              <w:rPr>
                <w:rFonts w:hint="eastAsia" w:ascii="宋体" w:hAnsi="宋体" w:eastAsia="宋体"/>
                <w:sz w:val="24"/>
                <w:szCs w:val="24"/>
                <w:lang w:val="en-US" w:eastAsia="zh-CN"/>
              </w:rPr>
              <w:t>6</w:t>
            </w:r>
            <w:r>
              <w:rPr>
                <w:rFonts w:hint="eastAsia" w:ascii="宋体" w:hAnsi="宋体" w:eastAsia="宋体"/>
                <w:sz w:val="24"/>
                <w:szCs w:val="24"/>
              </w:rPr>
              <w:t>：管理层的绩效考核，和公司业绩是否挂钩？</w:t>
            </w:r>
          </w:p>
          <w:p w14:paraId="021FBB70">
            <w:pPr>
              <w:ind w:firstLine="480" w:firstLineChars="200"/>
              <w:rPr>
                <w:rFonts w:hint="eastAsia" w:ascii="宋体" w:hAnsi="宋体" w:eastAsia="宋体"/>
                <w:sz w:val="24"/>
                <w:szCs w:val="24"/>
              </w:rPr>
            </w:pPr>
            <w:r>
              <w:rPr>
                <w:rFonts w:hint="eastAsia" w:ascii="宋体" w:hAnsi="宋体" w:eastAsia="宋体"/>
                <w:sz w:val="24"/>
                <w:szCs w:val="24"/>
              </w:rPr>
              <w:t>答：尊敬的投资者，您好。公司 2024 年实施经理层任期制与契约化管理，根据经理层成员职责分工，对照岗位说明书等，按照“一人一岗”原则差异化制定经理层成员经营业绩责任书，业绩考核指标设置注重战略引导、业绩导向，构建经济效益类、风控合规类、科技创新类、重点任务类等指标的考核体系；科学合理制定考核方法、计分方式、奖惩措施等事项，明确退出条件。感谢关注。</w:t>
            </w:r>
          </w:p>
        </w:tc>
      </w:tr>
      <w:tr w14:paraId="6B30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678B0404">
            <w:pPr>
              <w:jc w:val="center"/>
              <w:rPr>
                <w:rFonts w:ascii="宋体" w:hAnsi="宋体" w:eastAsia="宋体"/>
                <w:b/>
                <w:bCs/>
                <w:sz w:val="24"/>
                <w:szCs w:val="24"/>
              </w:rPr>
            </w:pPr>
            <w:r>
              <w:rPr>
                <w:rFonts w:hint="eastAsia" w:ascii="宋体" w:hAnsi="宋体" w:eastAsia="宋体"/>
                <w:b/>
                <w:bCs/>
                <w:sz w:val="24"/>
                <w:szCs w:val="24"/>
              </w:rPr>
              <w:t>附件清单</w:t>
            </w:r>
          </w:p>
          <w:p w14:paraId="040AA759">
            <w:pPr>
              <w:jc w:val="center"/>
              <w:rPr>
                <w:rFonts w:ascii="宋体" w:hAnsi="宋体" w:eastAsia="宋体"/>
                <w:b/>
                <w:bCs/>
                <w:sz w:val="24"/>
                <w:szCs w:val="24"/>
              </w:rPr>
            </w:pPr>
            <w:r>
              <w:rPr>
                <w:rFonts w:hint="eastAsia" w:ascii="宋体" w:hAnsi="宋体" w:eastAsia="宋体"/>
                <w:b/>
                <w:bCs/>
                <w:sz w:val="24"/>
                <w:szCs w:val="24"/>
              </w:rPr>
              <w:t>（如有）</w:t>
            </w:r>
          </w:p>
        </w:tc>
        <w:tc>
          <w:tcPr>
            <w:tcW w:w="6740" w:type="dxa"/>
            <w:vAlign w:val="center"/>
          </w:tcPr>
          <w:p w14:paraId="631144BB">
            <w:pPr>
              <w:rPr>
                <w:rFonts w:ascii="宋体" w:hAnsi="宋体" w:eastAsia="宋体"/>
                <w:sz w:val="24"/>
                <w:szCs w:val="24"/>
              </w:rPr>
            </w:pPr>
            <w:r>
              <w:rPr>
                <w:rFonts w:hint="eastAsia" w:ascii="宋体" w:hAnsi="宋体" w:eastAsia="宋体"/>
                <w:sz w:val="24"/>
                <w:szCs w:val="24"/>
              </w:rPr>
              <w:t>无</w:t>
            </w:r>
          </w:p>
        </w:tc>
      </w:tr>
      <w:tr w14:paraId="339A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6508A29D">
            <w:pPr>
              <w:jc w:val="center"/>
              <w:rPr>
                <w:rFonts w:ascii="宋体" w:hAnsi="宋体" w:eastAsia="宋体"/>
                <w:b/>
                <w:bCs/>
                <w:sz w:val="24"/>
                <w:szCs w:val="24"/>
              </w:rPr>
            </w:pPr>
            <w:r>
              <w:rPr>
                <w:rFonts w:hint="eastAsia" w:ascii="宋体" w:hAnsi="宋体" w:eastAsia="宋体"/>
                <w:b/>
                <w:bCs/>
                <w:sz w:val="24"/>
                <w:szCs w:val="24"/>
              </w:rPr>
              <w:t>日期</w:t>
            </w:r>
          </w:p>
        </w:tc>
        <w:tc>
          <w:tcPr>
            <w:tcW w:w="6740" w:type="dxa"/>
            <w:vAlign w:val="center"/>
          </w:tcPr>
          <w:p w14:paraId="1BCEA60E">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12</w:t>
            </w:r>
            <w:r>
              <w:rPr>
                <w:rFonts w:hint="eastAsia" w:ascii="宋体" w:hAnsi="宋体" w:eastAsia="宋体"/>
                <w:sz w:val="24"/>
                <w:szCs w:val="24"/>
              </w:rPr>
              <w:t>日</w:t>
            </w:r>
          </w:p>
        </w:tc>
      </w:tr>
      <w:tr w14:paraId="17A4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0" w:type="dxa"/>
            <w:vAlign w:val="center"/>
          </w:tcPr>
          <w:p w14:paraId="12979644">
            <w:pPr>
              <w:jc w:val="center"/>
              <w:rPr>
                <w:rFonts w:ascii="宋体" w:hAnsi="宋体" w:eastAsia="宋体"/>
                <w:b/>
                <w:bCs/>
                <w:sz w:val="24"/>
                <w:szCs w:val="24"/>
              </w:rPr>
            </w:pPr>
            <w:r>
              <w:rPr>
                <w:rFonts w:hint="eastAsia" w:ascii="宋体" w:hAnsi="宋体" w:eastAsia="宋体"/>
                <w:b/>
                <w:bCs/>
                <w:sz w:val="24"/>
                <w:szCs w:val="24"/>
              </w:rPr>
              <w:t>备注</w:t>
            </w:r>
          </w:p>
        </w:tc>
        <w:tc>
          <w:tcPr>
            <w:tcW w:w="6740" w:type="dxa"/>
            <w:vAlign w:val="center"/>
          </w:tcPr>
          <w:p w14:paraId="104902F4">
            <w:pPr>
              <w:ind w:firstLine="480" w:firstLineChars="200"/>
              <w:rPr>
                <w:rFonts w:ascii="宋体" w:hAnsi="宋体" w:eastAsia="宋体"/>
                <w:sz w:val="24"/>
                <w:szCs w:val="24"/>
              </w:rPr>
            </w:pPr>
            <w:r>
              <w:rPr>
                <w:rFonts w:hint="eastAsia" w:ascii="宋体" w:hAnsi="宋体" w:eastAsia="宋体"/>
                <w:sz w:val="24"/>
                <w:szCs w:val="24"/>
              </w:rPr>
              <w:t>公司与投资者进行了充分的交流与沟通，并严格按照公司《信息披露管理制度》等规定，保证信息披露的真实、准确、完善、及时、公平，没有出现未公开重大信息披露等情况。</w:t>
            </w:r>
          </w:p>
        </w:tc>
      </w:tr>
    </w:tbl>
    <w:p w14:paraId="10E4DFC7">
      <w:pPr>
        <w:rPr>
          <w:rFonts w:ascii="宋体" w:hAnsi="宋体" w:eastAsia="宋体"/>
          <w:sz w:val="28"/>
          <w:szCs w:val="28"/>
        </w:rPr>
      </w:pP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0YWQzYWU0NDhkOWMzMTdkZDIyMWY3Mjk0ZWY2YjEifQ=="/>
  </w:docVars>
  <w:rsids>
    <w:rsidRoot w:val="00C270E3"/>
    <w:rsid w:val="000046C0"/>
    <w:rsid w:val="00040A4D"/>
    <w:rsid w:val="00040D33"/>
    <w:rsid w:val="0005356D"/>
    <w:rsid w:val="00056BF8"/>
    <w:rsid w:val="00114EC2"/>
    <w:rsid w:val="00166EFE"/>
    <w:rsid w:val="00177D31"/>
    <w:rsid w:val="001865C3"/>
    <w:rsid w:val="001D1473"/>
    <w:rsid w:val="00221C5F"/>
    <w:rsid w:val="002461AF"/>
    <w:rsid w:val="00283962"/>
    <w:rsid w:val="00285A86"/>
    <w:rsid w:val="002C6800"/>
    <w:rsid w:val="002D433F"/>
    <w:rsid w:val="003A4E0F"/>
    <w:rsid w:val="003A6336"/>
    <w:rsid w:val="003E2E81"/>
    <w:rsid w:val="0040719C"/>
    <w:rsid w:val="00416E60"/>
    <w:rsid w:val="004538E3"/>
    <w:rsid w:val="00472383"/>
    <w:rsid w:val="0048160F"/>
    <w:rsid w:val="004A5EAD"/>
    <w:rsid w:val="004E36FE"/>
    <w:rsid w:val="004F7731"/>
    <w:rsid w:val="0058556F"/>
    <w:rsid w:val="0059368B"/>
    <w:rsid w:val="005B3284"/>
    <w:rsid w:val="005B615A"/>
    <w:rsid w:val="005D62BE"/>
    <w:rsid w:val="00610C66"/>
    <w:rsid w:val="00610EB4"/>
    <w:rsid w:val="00643CD4"/>
    <w:rsid w:val="0065798B"/>
    <w:rsid w:val="0066380B"/>
    <w:rsid w:val="0067114C"/>
    <w:rsid w:val="00692FBB"/>
    <w:rsid w:val="006C7D12"/>
    <w:rsid w:val="006E6D82"/>
    <w:rsid w:val="00716F64"/>
    <w:rsid w:val="00732656"/>
    <w:rsid w:val="0073427C"/>
    <w:rsid w:val="00753105"/>
    <w:rsid w:val="007652EE"/>
    <w:rsid w:val="007A3408"/>
    <w:rsid w:val="007A74E8"/>
    <w:rsid w:val="007B0537"/>
    <w:rsid w:val="007B0FBC"/>
    <w:rsid w:val="007B236F"/>
    <w:rsid w:val="007C110E"/>
    <w:rsid w:val="007E730F"/>
    <w:rsid w:val="00800E21"/>
    <w:rsid w:val="008320C7"/>
    <w:rsid w:val="00835B13"/>
    <w:rsid w:val="008400C0"/>
    <w:rsid w:val="0088426E"/>
    <w:rsid w:val="008C6317"/>
    <w:rsid w:val="008D4151"/>
    <w:rsid w:val="008F2465"/>
    <w:rsid w:val="008F763B"/>
    <w:rsid w:val="009304C5"/>
    <w:rsid w:val="00932ED3"/>
    <w:rsid w:val="00940B96"/>
    <w:rsid w:val="0096674D"/>
    <w:rsid w:val="009E7502"/>
    <w:rsid w:val="00A6158B"/>
    <w:rsid w:val="00B06BDA"/>
    <w:rsid w:val="00B209CF"/>
    <w:rsid w:val="00B2783C"/>
    <w:rsid w:val="00BB60ED"/>
    <w:rsid w:val="00BC1298"/>
    <w:rsid w:val="00BC1380"/>
    <w:rsid w:val="00BE5149"/>
    <w:rsid w:val="00C270E3"/>
    <w:rsid w:val="00C31A71"/>
    <w:rsid w:val="00C37BBA"/>
    <w:rsid w:val="00C45A18"/>
    <w:rsid w:val="00C90ECD"/>
    <w:rsid w:val="00CC41C9"/>
    <w:rsid w:val="00CE3C96"/>
    <w:rsid w:val="00D30BFA"/>
    <w:rsid w:val="00D401B1"/>
    <w:rsid w:val="00D62015"/>
    <w:rsid w:val="00DC7531"/>
    <w:rsid w:val="00E02AC9"/>
    <w:rsid w:val="00E647F3"/>
    <w:rsid w:val="00E71C2B"/>
    <w:rsid w:val="00E83AEA"/>
    <w:rsid w:val="00E91488"/>
    <w:rsid w:val="00EC39B4"/>
    <w:rsid w:val="00F023D3"/>
    <w:rsid w:val="00F110D5"/>
    <w:rsid w:val="00F231C3"/>
    <w:rsid w:val="00F66890"/>
    <w:rsid w:val="00F819AB"/>
    <w:rsid w:val="00F875A3"/>
    <w:rsid w:val="00FC186B"/>
    <w:rsid w:val="00FC5F92"/>
    <w:rsid w:val="00FD65CA"/>
    <w:rsid w:val="00FE542C"/>
    <w:rsid w:val="09074EEF"/>
    <w:rsid w:val="098F1A9F"/>
    <w:rsid w:val="0DA47D15"/>
    <w:rsid w:val="0E71409B"/>
    <w:rsid w:val="16765AAA"/>
    <w:rsid w:val="17725910"/>
    <w:rsid w:val="24156E1F"/>
    <w:rsid w:val="374B4FC3"/>
    <w:rsid w:val="3EFF9D25"/>
    <w:rsid w:val="4264182A"/>
    <w:rsid w:val="429A1953"/>
    <w:rsid w:val="441A1CBF"/>
    <w:rsid w:val="44C85ABB"/>
    <w:rsid w:val="55DE8D5E"/>
    <w:rsid w:val="57081358"/>
    <w:rsid w:val="5D4F5738"/>
    <w:rsid w:val="65F8742B"/>
    <w:rsid w:val="756D4F59"/>
    <w:rsid w:val="7D0F230A"/>
    <w:rsid w:val="7FE73418"/>
    <w:rsid w:val="7FFAAA3B"/>
    <w:rsid w:val="7FFF1BB6"/>
    <w:rsid w:val="EB6B1842"/>
    <w:rsid w:val="F79E04D2"/>
    <w:rsid w:val="FF8F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annotation subject"/>
    <w:basedOn w:val="2"/>
    <w:next w:val="2"/>
    <w:link w:val="16"/>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4"/>
    <w:qFormat/>
    <w:uiPriority w:val="99"/>
    <w:rPr>
      <w:sz w:val="18"/>
      <w:szCs w:val="18"/>
    </w:rPr>
  </w:style>
  <w:style w:type="character" w:customStyle="1" w:styleId="12">
    <w:name w:val="页脚 字符"/>
    <w:basedOn w:val="9"/>
    <w:link w:val="3"/>
    <w:qFormat/>
    <w:uiPriority w:val="99"/>
    <w:rPr>
      <w:sz w:val="18"/>
      <w:szCs w:val="18"/>
    </w:rPr>
  </w:style>
  <w:style w:type="table" w:customStyle="1" w:styleId="13">
    <w:name w:val="网格型13"/>
    <w:basedOn w:val="7"/>
    <w:qFormat/>
    <w:uiPriority w:val="39"/>
    <w:pPr>
      <w:widowControl w:val="0"/>
      <w:adjustRightInd w:val="0"/>
      <w:snapToGrid w:val="0"/>
      <w:contextualSpacing/>
      <w:jc w:val="center"/>
    </w:pPr>
    <w:rPr>
      <w:rFonts w:eastAsia="仿宋"/>
    </w:rPr>
    <w:tblPr>
      <w:jc w:val="center"/>
      <w:tblBorders>
        <w:top w:val="double" w:color="auto" w:sz="2" w:space="0"/>
        <w:bottom w:val="double" w:color="auto" w:sz="2" w:space="0"/>
        <w:insideH w:val="single" w:color="auto" w:sz="2" w:space="0"/>
        <w:insideV w:val="single" w:color="auto" w:sz="2" w:space="0"/>
      </w:tblBorders>
    </w:tblPr>
    <w:trPr>
      <w:jc w:val="center"/>
    </w:trPr>
    <w:tcPr>
      <w:vAlign w:val="center"/>
    </w:tc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3349</Words>
  <Characters>3622</Characters>
  <Lines>20</Lines>
  <Paragraphs>5</Paragraphs>
  <TotalTime>6</TotalTime>
  <ScaleCrop>false</ScaleCrop>
  <LinksUpToDate>false</LinksUpToDate>
  <CharactersWithSpaces>3736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2023-09-16T02:39:00Z</dcterms:created>
  <dc:creator>Li Fan</dc:creator>
  <cp:lastModifiedBy>涵burger</cp:lastModifiedBy>
  <dcterms:modified xsi:type="dcterms:W3CDTF">2025-05-12T08:08:52Z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AE1F8B58CFB649BCA6D4FC83F5B9E19C_13</vt:lpwstr>
  </property>
</Properties>
</file>