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1539">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证券代码：688435                                   证券简称：英方软件</w:t>
      </w:r>
    </w:p>
    <w:p w14:paraId="301A4774">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上海英方软件股份有限公司</w:t>
      </w:r>
    </w:p>
    <w:p w14:paraId="1763587E">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4FB3E1EE">
      <w:pPr>
        <w:spacing w:line="400" w:lineRule="exact"/>
        <w:rPr>
          <w:rFonts w:hint="default" w:ascii="宋体" w:hAnsi="宋体" w:eastAsiaTheme="minorEastAsia"/>
          <w:bCs/>
          <w:iCs/>
          <w:color w:val="000000"/>
          <w:sz w:val="24"/>
          <w:lang w:val="en-US" w:eastAsia="zh-CN"/>
        </w:rPr>
      </w:pPr>
      <w:r>
        <w:rPr>
          <w:rFonts w:hint="eastAsia" w:ascii="宋体" w:hAnsi="宋体"/>
          <w:bCs/>
          <w:iCs/>
          <w:color w:val="000000"/>
          <w:sz w:val="24"/>
        </w:rPr>
        <w:t xml:space="preserve">                                                      编号：202</w:t>
      </w:r>
      <w:r>
        <w:rPr>
          <w:rFonts w:hint="eastAsia" w:ascii="宋体" w:hAnsi="宋体"/>
          <w:bCs/>
          <w:iCs/>
          <w:color w:val="000000"/>
          <w:sz w:val="24"/>
          <w:lang w:val="en-US" w:eastAsia="zh-CN"/>
        </w:rPr>
        <w:t>5-005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41E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3B38CBE">
            <w:pPr>
              <w:spacing w:line="480" w:lineRule="atLeast"/>
              <w:jc w:val="center"/>
              <w:rPr>
                <w:rFonts w:ascii="宋体" w:hAnsi="宋体"/>
                <w:bCs/>
                <w:iCs/>
                <w:color w:val="000000"/>
                <w:sz w:val="24"/>
              </w:rPr>
            </w:pPr>
            <w:r>
              <w:rPr>
                <w:rFonts w:hint="eastAsia" w:ascii="宋体" w:hAnsi="宋体"/>
                <w:bCs/>
                <w:iCs/>
                <w:color w:val="000000"/>
                <w:sz w:val="24"/>
              </w:rPr>
              <w:t>投资者关系活动类别</w:t>
            </w:r>
          </w:p>
        </w:tc>
        <w:tc>
          <w:tcPr>
            <w:tcW w:w="6614" w:type="dxa"/>
          </w:tcPr>
          <w:p w14:paraId="05D768B2">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特定对象调研        </w:t>
            </w:r>
            <w:r>
              <w:rPr>
                <w:rFonts w:hint="eastAsia" w:ascii="宋体" w:hAnsi="宋体" w:eastAsia="宋体"/>
                <w:bCs/>
                <w:iCs/>
                <w:sz w:val="24"/>
                <w:szCs w:val="24"/>
              </w:rPr>
              <w:t>□</w:t>
            </w:r>
            <w:r>
              <w:rPr>
                <w:rFonts w:hint="eastAsia" w:ascii="宋体" w:hAnsi="宋体" w:eastAsia="宋体"/>
                <w:sz w:val="24"/>
                <w:szCs w:val="24"/>
              </w:rPr>
              <w:t>分析师会议</w:t>
            </w:r>
          </w:p>
          <w:p w14:paraId="1CFD84FA">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媒体采访            </w:t>
            </w:r>
            <w:r>
              <w:rPr>
                <w:rFonts w:hint="eastAsia" w:ascii="宋体" w:hAnsi="宋体" w:eastAsia="宋体"/>
                <w:bCs/>
                <w:iCs/>
                <w:sz w:val="24"/>
                <w:szCs w:val="24"/>
              </w:rPr>
              <w:sym w:font="Wingdings 2" w:char="0052"/>
            </w:r>
            <w:r>
              <w:rPr>
                <w:rFonts w:hint="eastAsia" w:ascii="宋体" w:hAnsi="宋体" w:eastAsia="宋体"/>
                <w:sz w:val="24"/>
                <w:szCs w:val="24"/>
              </w:rPr>
              <w:t>业绩说明会</w:t>
            </w:r>
          </w:p>
          <w:p w14:paraId="6FB31B73">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新闻发布会          </w:t>
            </w:r>
            <w:r>
              <w:rPr>
                <w:rFonts w:hint="eastAsia" w:ascii="宋体" w:hAnsi="宋体" w:eastAsia="宋体"/>
                <w:bCs/>
                <w:iCs/>
                <w:sz w:val="24"/>
                <w:szCs w:val="24"/>
              </w:rPr>
              <w:t>□</w:t>
            </w:r>
            <w:r>
              <w:rPr>
                <w:rFonts w:hint="eastAsia" w:ascii="宋体" w:hAnsi="宋体" w:eastAsia="宋体"/>
                <w:sz w:val="24"/>
                <w:szCs w:val="24"/>
              </w:rPr>
              <w:t>路演活动</w:t>
            </w:r>
          </w:p>
          <w:p w14:paraId="1C4BAA30">
            <w:pPr>
              <w:tabs>
                <w:tab w:val="left" w:pos="2690"/>
                <w:tab w:val="center" w:pos="3199"/>
              </w:tabs>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现场参观            </w:t>
            </w:r>
            <w:r>
              <w:rPr>
                <w:rFonts w:hint="eastAsia" w:ascii="宋体" w:hAnsi="宋体" w:eastAsia="宋体"/>
                <w:bCs/>
                <w:iCs/>
                <w:sz w:val="24"/>
                <w:szCs w:val="24"/>
              </w:rPr>
              <w:t>□</w:t>
            </w:r>
            <w:r>
              <w:rPr>
                <w:rFonts w:hint="eastAsia" w:ascii="宋体" w:hAnsi="宋体" w:eastAsia="宋体"/>
                <w:sz w:val="24"/>
                <w:szCs w:val="24"/>
              </w:rPr>
              <w:t>电话会议</w:t>
            </w:r>
          </w:p>
          <w:p w14:paraId="326E8A06">
            <w:pPr>
              <w:tabs>
                <w:tab w:val="center" w:pos="3199"/>
              </w:tabs>
              <w:spacing w:line="480" w:lineRule="atLeast"/>
              <w:ind w:firstLine="480" w:firstLineChars="200"/>
              <w:rPr>
                <w:rFonts w:ascii="宋体" w:hAnsi="宋体"/>
                <w:bCs/>
                <w:iCs/>
                <w:color w:val="000000"/>
                <w:sz w:val="24"/>
              </w:rPr>
            </w:pPr>
            <w:r>
              <w:rPr>
                <w:rFonts w:hint="eastAsia" w:ascii="宋体" w:hAnsi="宋体" w:eastAsia="宋体"/>
                <w:bCs/>
                <w:iCs/>
                <w:sz w:val="24"/>
                <w:szCs w:val="24"/>
              </w:rPr>
              <w:t>□</w:t>
            </w:r>
            <w:r>
              <w:rPr>
                <w:rFonts w:hint="eastAsia" w:ascii="宋体" w:hAnsi="宋体" w:eastAsia="宋体"/>
                <w:sz w:val="24"/>
                <w:szCs w:val="24"/>
              </w:rPr>
              <w:t>其他 （</w:t>
            </w:r>
            <w:r>
              <w:rPr>
                <w:rFonts w:hint="eastAsia" w:ascii="宋体" w:hAnsi="宋体" w:eastAsia="宋体"/>
                <w:sz w:val="24"/>
                <w:szCs w:val="24"/>
                <w:u w:val="single"/>
              </w:rPr>
              <w:t>请文字说明其他活动内容）</w:t>
            </w:r>
          </w:p>
        </w:tc>
      </w:tr>
      <w:tr w14:paraId="7BE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8" w:type="dxa"/>
            <w:vAlign w:val="center"/>
          </w:tcPr>
          <w:p w14:paraId="2E9310E8">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6614" w:type="dxa"/>
            <w:vAlign w:val="center"/>
          </w:tcPr>
          <w:p w14:paraId="7707E6BE">
            <w:pPr>
              <w:spacing w:line="360" w:lineRule="auto"/>
              <w:rPr>
                <w:rFonts w:hint="default" w:ascii="宋体" w:hAnsi="宋体" w:eastAsiaTheme="minorEastAsia"/>
                <w:sz w:val="24"/>
                <w:szCs w:val="21"/>
                <w:lang w:val="en-US" w:eastAsia="zh-CN"/>
              </w:rPr>
            </w:pPr>
            <w:r>
              <w:rPr>
                <w:rFonts w:hint="default" w:ascii="宋体" w:hAnsi="宋体" w:eastAsiaTheme="minorEastAsia"/>
                <w:sz w:val="24"/>
                <w:szCs w:val="21"/>
                <w:lang w:val="en-US" w:eastAsia="zh-CN"/>
              </w:rPr>
              <w:t>参与公司网上202</w:t>
            </w:r>
            <w:r>
              <w:rPr>
                <w:rFonts w:hint="eastAsia" w:ascii="宋体" w:hAnsi="宋体"/>
                <w:sz w:val="24"/>
                <w:szCs w:val="21"/>
                <w:lang w:val="en-US" w:eastAsia="zh-CN"/>
              </w:rPr>
              <w:t>4</w:t>
            </w:r>
            <w:r>
              <w:rPr>
                <w:rFonts w:hint="default" w:ascii="宋体" w:hAnsi="宋体" w:eastAsiaTheme="minorEastAsia"/>
                <w:sz w:val="24"/>
                <w:szCs w:val="21"/>
                <w:lang w:val="en-US" w:eastAsia="zh-CN"/>
              </w:rPr>
              <w:t>年度</w:t>
            </w:r>
            <w:r>
              <w:rPr>
                <w:rFonts w:hint="eastAsia" w:ascii="宋体" w:hAnsi="宋体"/>
                <w:sz w:val="24"/>
                <w:szCs w:val="21"/>
                <w:lang w:val="en-US" w:eastAsia="zh-CN"/>
              </w:rPr>
              <w:t>暨2025年第一季度</w:t>
            </w:r>
            <w:r>
              <w:rPr>
                <w:rFonts w:hint="default" w:ascii="宋体" w:hAnsi="宋体" w:eastAsiaTheme="minorEastAsia"/>
                <w:sz w:val="24"/>
                <w:szCs w:val="21"/>
                <w:lang w:val="en-US" w:eastAsia="zh-CN"/>
              </w:rPr>
              <w:t>业绩说明会的投资者</w:t>
            </w:r>
          </w:p>
        </w:tc>
      </w:tr>
      <w:tr w14:paraId="4983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08" w:type="dxa"/>
            <w:vAlign w:val="center"/>
          </w:tcPr>
          <w:p w14:paraId="7E9E053C">
            <w:pPr>
              <w:spacing w:line="480" w:lineRule="atLeast"/>
              <w:jc w:val="center"/>
              <w:rPr>
                <w:rFonts w:ascii="宋体" w:hAnsi="宋体"/>
                <w:bCs/>
                <w:iCs/>
                <w:color w:val="000000"/>
                <w:sz w:val="24"/>
              </w:rPr>
            </w:pPr>
            <w:r>
              <w:rPr>
                <w:rFonts w:hint="eastAsia" w:ascii="宋体" w:hAnsi="宋体"/>
                <w:bCs/>
                <w:iCs/>
                <w:color w:val="000000"/>
                <w:sz w:val="24"/>
              </w:rPr>
              <w:t>时间</w:t>
            </w:r>
          </w:p>
        </w:tc>
        <w:tc>
          <w:tcPr>
            <w:tcW w:w="6614" w:type="dxa"/>
          </w:tcPr>
          <w:p w14:paraId="78C9ED2E">
            <w:pPr>
              <w:spacing w:line="480" w:lineRule="atLeast"/>
              <w:rPr>
                <w:rFonts w:hint="default" w:ascii="宋体" w:hAnsi="宋体"/>
                <w:bCs/>
                <w:iCs/>
                <w:color w:val="000000"/>
                <w:sz w:val="24"/>
                <w:lang w:val="en-US"/>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5月12日（13:00-14:00）</w:t>
            </w:r>
          </w:p>
        </w:tc>
      </w:tr>
      <w:tr w14:paraId="1587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08" w:type="dxa"/>
            <w:vAlign w:val="center"/>
          </w:tcPr>
          <w:p w14:paraId="483FACD8">
            <w:pPr>
              <w:spacing w:line="360" w:lineRule="auto"/>
              <w:jc w:val="center"/>
              <w:rPr>
                <w:rFonts w:ascii="宋体" w:hAnsi="宋体"/>
                <w:bCs/>
                <w:iCs/>
                <w:color w:val="000000"/>
                <w:sz w:val="24"/>
              </w:rPr>
            </w:pPr>
            <w:r>
              <w:rPr>
                <w:rFonts w:hint="eastAsia" w:ascii="宋体" w:hAnsi="宋体"/>
                <w:bCs/>
                <w:iCs/>
                <w:color w:val="000000"/>
                <w:sz w:val="24"/>
              </w:rPr>
              <w:t>地点</w:t>
            </w:r>
          </w:p>
        </w:tc>
        <w:tc>
          <w:tcPr>
            <w:tcW w:w="6614" w:type="dxa"/>
            <w:vAlign w:val="center"/>
          </w:tcPr>
          <w:p w14:paraId="3BFEB20E">
            <w:pPr>
              <w:spacing w:line="360" w:lineRule="auto"/>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上海证券交易所上证路演中心</w:t>
            </w:r>
          </w:p>
        </w:tc>
      </w:tr>
      <w:tr w14:paraId="6489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B847AE9">
            <w:pPr>
              <w:spacing w:line="276" w:lineRule="auto"/>
              <w:jc w:val="center"/>
              <w:rPr>
                <w:rFonts w:ascii="宋体" w:hAnsi="宋体"/>
                <w:bCs/>
                <w:iCs/>
                <w:color w:val="000000"/>
                <w:sz w:val="24"/>
              </w:rPr>
            </w:pPr>
            <w:r>
              <w:rPr>
                <w:rFonts w:hint="eastAsia" w:ascii="宋体" w:hAnsi="宋体"/>
                <w:bCs/>
                <w:iCs/>
                <w:color w:val="000000"/>
                <w:sz w:val="24"/>
              </w:rPr>
              <w:t>上市公司接待</w:t>
            </w:r>
          </w:p>
          <w:p w14:paraId="5CF42C2B">
            <w:pPr>
              <w:spacing w:line="276" w:lineRule="auto"/>
              <w:jc w:val="center"/>
              <w:rPr>
                <w:rFonts w:ascii="宋体" w:hAnsi="宋体"/>
                <w:bCs/>
                <w:iCs/>
                <w:color w:val="000000"/>
                <w:sz w:val="24"/>
              </w:rPr>
            </w:pPr>
            <w:r>
              <w:rPr>
                <w:rFonts w:hint="eastAsia" w:ascii="宋体" w:hAnsi="宋体"/>
                <w:bCs/>
                <w:iCs/>
                <w:color w:val="000000"/>
                <w:sz w:val="24"/>
              </w:rPr>
              <w:t>人员姓名</w:t>
            </w:r>
          </w:p>
        </w:tc>
        <w:tc>
          <w:tcPr>
            <w:tcW w:w="6614" w:type="dxa"/>
            <w:vAlign w:val="center"/>
          </w:tcPr>
          <w:p w14:paraId="3FD1B726">
            <w:pPr>
              <w:spacing w:line="276" w:lineRule="auto"/>
              <w:jc w:val="left"/>
              <w:rPr>
                <w:rFonts w:ascii="宋体" w:hAnsi="宋体"/>
                <w:bCs/>
                <w:iCs/>
                <w:color w:val="000000"/>
                <w:sz w:val="24"/>
              </w:rPr>
            </w:pPr>
            <w:r>
              <w:rPr>
                <w:rFonts w:hint="eastAsia" w:ascii="宋体" w:hAnsi="宋体"/>
                <w:bCs/>
                <w:iCs/>
                <w:color w:val="000000"/>
                <w:sz w:val="24"/>
              </w:rPr>
              <w:t>董事</w:t>
            </w:r>
            <w:r>
              <w:rPr>
                <w:rFonts w:hint="eastAsia" w:ascii="宋体" w:hAnsi="宋体"/>
                <w:bCs/>
                <w:iCs/>
                <w:color w:val="000000"/>
                <w:sz w:val="24"/>
                <w:lang w:val="en-US" w:eastAsia="zh-CN"/>
              </w:rPr>
              <w:t>长、总经理、代行财务总监 胡军擎</w:t>
            </w:r>
            <w:r>
              <w:rPr>
                <w:rFonts w:hint="eastAsia" w:ascii="宋体" w:hAnsi="宋体"/>
                <w:bCs/>
                <w:iCs/>
                <w:color w:val="000000"/>
                <w:sz w:val="24"/>
              </w:rPr>
              <w:t xml:space="preserve"> </w:t>
            </w:r>
          </w:p>
          <w:p w14:paraId="3C64C928">
            <w:pPr>
              <w:spacing w:line="276" w:lineRule="auto"/>
              <w:jc w:val="left"/>
              <w:rPr>
                <w:rFonts w:hint="eastAsia" w:ascii="宋体" w:hAnsi="宋体"/>
                <w:bCs/>
                <w:iCs/>
                <w:color w:val="000000"/>
                <w:sz w:val="24"/>
              </w:rPr>
            </w:pPr>
            <w:r>
              <w:rPr>
                <w:rFonts w:hint="eastAsia" w:ascii="宋体" w:hAnsi="宋体"/>
                <w:bCs/>
                <w:iCs/>
                <w:color w:val="000000"/>
                <w:sz w:val="24"/>
              </w:rPr>
              <w:t>董事会秘书 沈蔡娟</w:t>
            </w:r>
          </w:p>
          <w:p w14:paraId="7A00183C">
            <w:pPr>
              <w:spacing w:line="276" w:lineRule="auto"/>
              <w:jc w:val="left"/>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独立董事</w:t>
            </w:r>
            <w:r>
              <w:rPr>
                <w:rFonts w:hint="eastAsia" w:ascii="宋体" w:hAnsi="宋体"/>
                <w:sz w:val="24"/>
                <w:szCs w:val="21"/>
                <w:lang w:val="en-US" w:eastAsia="zh-CN"/>
              </w:rPr>
              <w:t xml:space="preserve"> 罗春华</w:t>
            </w:r>
          </w:p>
        </w:tc>
      </w:tr>
      <w:tr w14:paraId="3BD4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FB841CF">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45FB91E7">
            <w:pPr>
              <w:spacing w:line="360" w:lineRule="auto"/>
              <w:rPr>
                <w:rFonts w:ascii="宋体" w:hAnsi="宋体"/>
                <w:bCs/>
                <w:iCs/>
                <w:color w:val="000000"/>
                <w:sz w:val="24"/>
              </w:rPr>
            </w:pPr>
          </w:p>
        </w:tc>
        <w:tc>
          <w:tcPr>
            <w:tcW w:w="6614" w:type="dxa"/>
          </w:tcPr>
          <w:p w14:paraId="2535E571">
            <w:pPr>
              <w:pStyle w:val="25"/>
              <w:spacing w:before="156"/>
              <w:ind w:firstLine="480"/>
              <w:rPr>
                <w:rFonts w:ascii="宋体" w:hAnsi="宋体"/>
                <w:b/>
                <w:bCs/>
                <w:sz w:val="24"/>
                <w:szCs w:val="21"/>
              </w:rPr>
            </w:pPr>
            <w:r>
              <w:rPr>
                <w:rFonts w:hint="eastAsia" w:ascii="宋体" w:hAnsi="宋体"/>
                <w:b/>
                <w:bCs/>
                <w:sz w:val="24"/>
                <w:szCs w:val="21"/>
                <w:lang w:eastAsia="zh-CN"/>
              </w:rPr>
              <w:t>（</w:t>
            </w:r>
            <w:r>
              <w:rPr>
                <w:rFonts w:hint="eastAsia" w:ascii="宋体" w:hAnsi="宋体"/>
                <w:b/>
                <w:bCs/>
                <w:sz w:val="24"/>
                <w:szCs w:val="21"/>
                <w:lang w:val="en-US" w:eastAsia="zh-CN"/>
              </w:rPr>
              <w:t>1</w:t>
            </w:r>
            <w:r>
              <w:rPr>
                <w:rFonts w:hint="eastAsia" w:ascii="宋体" w:hAnsi="宋体"/>
                <w:b/>
                <w:bCs/>
                <w:sz w:val="24"/>
                <w:szCs w:val="21"/>
                <w:lang w:eastAsia="zh-CN"/>
              </w:rPr>
              <w:t>）</w:t>
            </w:r>
            <w:r>
              <w:rPr>
                <w:rFonts w:hint="eastAsia" w:ascii="宋体" w:hAnsi="宋体"/>
                <w:b/>
                <w:bCs/>
                <w:sz w:val="24"/>
                <w:szCs w:val="21"/>
              </w:rPr>
              <w:t>公司介绍</w:t>
            </w:r>
          </w:p>
          <w:p w14:paraId="2CE9E83F">
            <w:pPr>
              <w:pStyle w:val="25"/>
              <w:spacing w:before="156"/>
              <w:ind w:firstLine="480"/>
              <w:rPr>
                <w:rFonts w:hint="eastAsia" w:ascii="宋体" w:hAnsi="宋体" w:cs="宋体"/>
                <w:sz w:val="24"/>
                <w:lang w:bidi="en-US"/>
              </w:rPr>
            </w:pPr>
            <w:r>
              <w:rPr>
                <w:rFonts w:hint="eastAsia" w:ascii="宋体" w:hAnsi="宋体" w:cs="宋体"/>
                <w:sz w:val="24"/>
                <w:lang w:bidi="en-US"/>
              </w:rPr>
              <w:t>上海英方软件股份有限公司（以下简称“英方软件”）是一家专注于数据复制的软件企业，主营业务系为客户提供数据复制相关的软件、软硬件一体机及软件相关服务，是国内乃至国际市场上少数能同时掌握动态文件字节级、数据库语义级和卷层块级数据复制技术的高新技术企业。公司构造了“容灾+备份+云数据管理+大数据”等多层次、多策略、全域应用的四大产品系列，相关产品覆盖了容灾、备份、云灾备、数据库同步、数据迁移、文档共享与AI管理等经典应用场景，同时也推广到了智能灾备管理、数据副本管理、数据流管理、大数据收集分发、大数据平台实时同步、数据脱敏等更多应用领域。在助力各行业的数据安全和业务连续性的同时，帮助各类用户打破数据孤岛，实现数据互联互通，将数据价值最大化，为数字经济的发展保驾护航。</w:t>
            </w:r>
          </w:p>
          <w:p w14:paraId="2E9DFFAE">
            <w:pPr>
              <w:pStyle w:val="25"/>
              <w:spacing w:before="156"/>
              <w:ind w:firstLine="480"/>
              <w:rPr>
                <w:rFonts w:hint="eastAsia" w:ascii="宋体" w:hAnsi="宋体" w:cs="宋体"/>
                <w:sz w:val="24"/>
                <w:lang w:bidi="en-US"/>
              </w:rPr>
            </w:pPr>
            <w:r>
              <w:rPr>
                <w:rFonts w:hint="eastAsia" w:ascii="宋体" w:hAnsi="宋体" w:cs="宋体"/>
                <w:sz w:val="24"/>
                <w:lang w:bidi="en-US"/>
              </w:rPr>
              <w:t>英方软件始创于2011年，总部位于上海，是国内数据复制及容灾备份领域唯一的一家上市企业，拥有庞大的研发团队和经验丰富的领军人物，设立了北京、上海、杭州三大研发中心，建成了北京到上海上千公里的数据复制实时平台。目前研发总人数为348人，占公司总人数59.28%。截至2024年年底，公司累计获得发明专利58项，软件著作权146项。同时与国产芯片、服务器、操作系统、数据库、终端、网络与安全设备厂商等8类共105家软硬件厂商的产品型号完成兼容与适配。</w:t>
            </w:r>
          </w:p>
          <w:p w14:paraId="726BA75F">
            <w:pPr>
              <w:pStyle w:val="25"/>
              <w:spacing w:before="156"/>
              <w:ind w:firstLine="480"/>
              <w:rPr>
                <w:rFonts w:hint="eastAsia" w:ascii="宋体" w:hAnsi="宋体" w:cs="宋体"/>
                <w:sz w:val="24"/>
                <w:lang w:bidi="en-US"/>
              </w:rPr>
            </w:pPr>
            <w:r>
              <w:rPr>
                <w:rFonts w:hint="eastAsia" w:ascii="宋体" w:hAnsi="宋体" w:cs="宋体"/>
                <w:sz w:val="24"/>
                <w:lang w:bidi="en-US"/>
              </w:rPr>
              <w:t>2024年公司持续夯实各大产品线的功能和稳定性，同时结合客户新的应用场景和需求，不断衍生出新的软件产品及功能，如容灾管理平台（i2DRM）、数据一致性对比工具、大数据平台实时同步（i2COOPY for HDFS）、新一代信创备份产品i2Backup V9、文档协作与智能管理平台i2ShareAI和基于华为鲲鹏原生开发的英方一体机灾备管理系统软件等。英方软件表示，将不停地在“Data+”的应用实践积累的基础上，根据不同行业客户对产品新需求的要求，研发共性强、可复制的新产品。展望未来，公司将持续加大在前沿技术、行业生态和全球化发展方面的投入，进一步提升产品竞争力与服务能力，为数字中国和全球数据安全建设贡献力量。</w:t>
            </w:r>
          </w:p>
          <w:p w14:paraId="3ED8FA3C">
            <w:pPr>
              <w:pStyle w:val="25"/>
              <w:spacing w:before="156"/>
              <w:ind w:firstLine="480"/>
              <w:rPr>
                <w:rFonts w:ascii="宋体" w:hAnsi="宋体"/>
                <w:sz w:val="24"/>
                <w:szCs w:val="21"/>
              </w:rPr>
            </w:pPr>
            <w:r>
              <w:rPr>
                <w:rFonts w:hint="eastAsia" w:ascii="宋体" w:hAnsi="宋体"/>
                <w:b/>
                <w:bCs/>
                <w:sz w:val="24"/>
                <w:szCs w:val="21"/>
              </w:rPr>
              <w:t>（2）互动交流环节</w:t>
            </w:r>
          </w:p>
          <w:p w14:paraId="0B793352">
            <w:pPr>
              <w:pStyle w:val="25"/>
              <w:spacing w:before="156"/>
              <w:ind w:firstLine="480"/>
              <w:rPr>
                <w:rFonts w:hint="eastAsia" w:ascii="宋体" w:hAnsi="宋体" w:cs="Times New Roman"/>
                <w:b/>
                <w:bCs/>
                <w:sz w:val="24"/>
                <w:szCs w:val="21"/>
                <w:lang w:val="en-US" w:eastAsia="zh-CN"/>
              </w:rPr>
            </w:pPr>
            <w:r>
              <w:rPr>
                <w:rFonts w:hint="eastAsia" w:ascii="宋体" w:hAnsi="宋体" w:cs="Times New Roman"/>
                <w:b/>
                <w:bCs/>
                <w:sz w:val="24"/>
                <w:szCs w:val="21"/>
                <w:lang w:val="en-US" w:eastAsia="zh-CN"/>
              </w:rPr>
              <w:t>1.公司在信创（信息技术应用创新）领域的适配进展如何？</w:t>
            </w:r>
          </w:p>
          <w:p w14:paraId="767660D0">
            <w:pPr>
              <w:pStyle w:val="25"/>
              <w:spacing w:before="156" w:line="360" w:lineRule="auto"/>
              <w:ind w:firstLine="480"/>
              <w:rPr>
                <w:rFonts w:hint="eastAsia"/>
                <w:color w:val="000000"/>
                <w:lang w:val="en-US" w:eastAsia="zh-CN"/>
              </w:rPr>
            </w:pPr>
            <w:r>
              <w:rPr>
                <w:rFonts w:hint="eastAsia"/>
                <w:color w:val="000000"/>
                <w:lang w:val="en-US" w:eastAsia="zh-CN"/>
              </w:rPr>
              <w:t>公司推出了新一代信创备份产品I2BackupV9。I2Backup不仅解决了客户新环境新应用下的海量系统和海量数据的多域多中心的备份，还在数据备份速率、数据重删和压缩，以及数据归档管理等方面，实现弯道追赶，并在国产化适配、磁带库归档等方面突破行业诸多挑战。大数据产品组合I2Active、I2Stream&amp;nbsp;广泛应用于数据库容灾备份、数据库信创替代、业务查询分担等场景。行情数据分发系统i2Distributor通过信创适配升级，率先在证券领域帮助客户实现行情软件的信创化改造升级。公司将不断地丰富产品功能、优化产品性能、拓宽产品应用领域，在信创国产化领域实现更大的突破。</w:t>
            </w:r>
          </w:p>
          <w:p w14:paraId="56980192">
            <w:pPr>
              <w:pStyle w:val="25"/>
              <w:spacing w:before="156"/>
              <w:ind w:firstLine="480"/>
              <w:rPr>
                <w:rFonts w:hint="eastAsia" w:ascii="宋体" w:hAnsi="宋体"/>
                <w:b/>
                <w:bCs/>
                <w:sz w:val="24"/>
                <w:szCs w:val="21"/>
                <w:lang w:val="en-US" w:eastAsia="zh-CN"/>
              </w:rPr>
            </w:pPr>
            <w:r>
              <w:rPr>
                <w:rFonts w:hint="eastAsia" w:ascii="宋体" w:hAnsi="宋体"/>
                <w:b/>
                <w:bCs/>
                <w:szCs w:val="21"/>
                <w:lang w:val="en-US" w:eastAsia="zh-CN"/>
              </w:rPr>
              <w:t>2.</w:t>
            </w:r>
            <w:r>
              <w:rPr>
                <w:rFonts w:hint="eastAsia" w:ascii="宋体" w:hAnsi="宋体"/>
                <w:b/>
                <w:bCs/>
                <w:sz w:val="24"/>
                <w:szCs w:val="21"/>
                <w:lang w:val="en-US" w:eastAsia="zh-CN"/>
              </w:rPr>
              <w:t>请问2024年公司在研发上的投入占总营收的比例是多少？未来三年重点布局的技术方向是什么？</w:t>
            </w:r>
          </w:p>
          <w:p w14:paraId="645332C5">
            <w:pPr>
              <w:pStyle w:val="25"/>
              <w:spacing w:before="156" w:line="360" w:lineRule="auto"/>
              <w:ind w:firstLine="480"/>
              <w:rPr>
                <w:rFonts w:hint="eastAsia"/>
                <w:color w:val="000000"/>
                <w:lang w:val="en-US" w:eastAsia="zh-CN"/>
              </w:rPr>
            </w:pPr>
            <w:r>
              <w:rPr>
                <w:rFonts w:hint="eastAsia"/>
                <w:color w:val="000000"/>
                <w:lang w:val="en-US" w:eastAsia="zh-CN"/>
              </w:rPr>
              <w:t>2024年公司累计投入研发费用10,654.20万元，较上年同期增加17.17%，占营业收入比重为55.93%。未来公司将持续加大对公司“容灾+备份+大数据+云数据管理”四大产品线或研发项目的投入或研发力度，进一步提升研发水平，壮大研发团队，为产品升级及新产品开发提供充分保障。</w:t>
            </w:r>
          </w:p>
          <w:p w14:paraId="6F1254C4">
            <w:pPr>
              <w:pStyle w:val="25"/>
              <w:spacing w:before="156"/>
              <w:ind w:firstLine="480"/>
              <w:rPr>
                <w:rFonts w:hint="eastAsia" w:ascii="宋体" w:hAnsi="宋体"/>
                <w:b/>
                <w:bCs/>
                <w:sz w:val="24"/>
                <w:szCs w:val="21"/>
                <w:lang w:val="en-US" w:eastAsia="zh-CN"/>
              </w:rPr>
            </w:pPr>
            <w:r>
              <w:rPr>
                <w:rFonts w:hint="default" w:ascii="宋体" w:hAnsi="宋体"/>
                <w:b/>
                <w:bCs/>
                <w:szCs w:val="21"/>
                <w:lang w:val="en-US" w:eastAsia="zh-CN"/>
              </w:rPr>
              <w:t>3</w:t>
            </w:r>
            <w:r>
              <w:rPr>
                <w:rFonts w:hint="eastAsia" w:ascii="宋体" w:hAnsi="宋体"/>
                <w:b/>
                <w:bCs/>
                <w:szCs w:val="21"/>
                <w:lang w:val="en-US" w:eastAsia="zh-CN"/>
              </w:rPr>
              <w:t>.</w:t>
            </w:r>
            <w:r>
              <w:rPr>
                <w:rFonts w:hint="eastAsia" w:ascii="宋体" w:hAnsi="宋体"/>
                <w:b/>
                <w:bCs/>
                <w:sz w:val="24"/>
                <w:szCs w:val="21"/>
                <w:lang w:val="en-US" w:eastAsia="zh-CN"/>
              </w:rPr>
              <w:t>管理层好，请问今年行业景气度是否有恢复？目前来看增速较快的下游细分行业有哪些？谢谢！</w:t>
            </w:r>
          </w:p>
          <w:p w14:paraId="34175A28">
            <w:pPr>
              <w:pStyle w:val="25"/>
              <w:spacing w:before="156" w:line="360" w:lineRule="auto"/>
              <w:ind w:firstLine="480"/>
              <w:rPr>
                <w:rFonts w:hint="eastAsia"/>
                <w:color w:val="000000"/>
                <w:lang w:val="en-US" w:eastAsia="zh-CN"/>
              </w:rPr>
            </w:pPr>
            <w:r>
              <w:rPr>
                <w:rFonts w:hint="eastAsia"/>
                <w:color w:val="000000"/>
                <w:lang w:val="en-US" w:eastAsia="zh-CN"/>
              </w:rPr>
              <w:t>公司所处的数据行业正处于快速发展期，数据基础软件处于国内外产品新旧交替快速发展阶段。随着数字经济和人工智能的发展，数据复制及灾备保护行业的市场规模持续扩大，国产替代机遇的涌现以及跨界合作与整合的加强，存量市场大替换与增量市场快增长将齐头并进。公司产品在各行各业内均逐步开始实现了规模销售，公司目前不仅服务了众多银行/保险/基金/证券动金融机构，在其他行业公司也逐步发力，进行行业化深耕和布局，并已在运营商，电网，烟草、档案、生物医药、半导体芯片、石油石化、新能源汽车等领域落地标杆案例，基础软件的行业化产业化应用成果显著。</w:t>
            </w:r>
          </w:p>
          <w:p w14:paraId="7DA0AE6F">
            <w:pPr>
              <w:pStyle w:val="25"/>
              <w:spacing w:before="156"/>
              <w:ind w:firstLine="480"/>
              <w:rPr>
                <w:rFonts w:hint="eastAsia" w:ascii="宋体" w:hAnsi="宋体"/>
                <w:b/>
                <w:bCs/>
                <w:sz w:val="24"/>
                <w:szCs w:val="21"/>
                <w:lang w:val="en-US" w:eastAsia="zh-CN"/>
              </w:rPr>
            </w:pPr>
            <w:r>
              <w:rPr>
                <w:rFonts w:hint="default" w:ascii="宋体" w:hAnsi="宋体"/>
                <w:b/>
                <w:bCs/>
                <w:szCs w:val="21"/>
                <w:lang w:val="en-US" w:eastAsia="zh-CN"/>
              </w:rPr>
              <w:t>4</w:t>
            </w:r>
            <w:r>
              <w:rPr>
                <w:rFonts w:hint="eastAsia" w:ascii="宋体" w:hAnsi="宋体"/>
                <w:b/>
                <w:bCs/>
                <w:szCs w:val="21"/>
                <w:lang w:val="en-US" w:eastAsia="zh-CN"/>
              </w:rPr>
              <w:t>.</w:t>
            </w:r>
            <w:r>
              <w:rPr>
                <w:rFonts w:hint="eastAsia" w:ascii="宋体" w:hAnsi="宋体"/>
                <w:b/>
                <w:bCs/>
                <w:sz w:val="24"/>
                <w:szCs w:val="21"/>
                <w:lang w:val="en-US" w:eastAsia="zh-CN"/>
              </w:rPr>
              <w:t>管理层好，今年公司是否有希望扭亏为盈？谢谢！</w:t>
            </w:r>
          </w:p>
          <w:p w14:paraId="0987AB27">
            <w:pPr>
              <w:pStyle w:val="25"/>
              <w:spacing w:before="156" w:line="360" w:lineRule="auto"/>
              <w:ind w:firstLine="480"/>
              <w:rPr>
                <w:rFonts w:hint="eastAsia"/>
                <w:color w:val="000000"/>
                <w:lang w:val="en-US" w:eastAsia="zh-CN"/>
              </w:rPr>
            </w:pPr>
            <w:r>
              <w:rPr>
                <w:rFonts w:hint="eastAsia"/>
                <w:color w:val="000000"/>
                <w:lang w:val="en-US" w:eastAsia="zh-CN"/>
              </w:rPr>
              <w:t>2024年由于宏观经济环境的影响，公司部分客户预算收紧、相关审批周期延长，导致营业收入较上年同期有所下滑。同时公司持续投入，坚持走自主研发、技术创新的道路，通过核心技术和服务持续升级，持续推进产品的更新，优化用户体验，以达到稳定用户、提高用户忠诚度，最终不断扩大市场占有率的目标；通过不断拓展系列数据相关技术延伸市场、包括容灾、备份、大数据复制及云数据管理的丰富产品结构，实现多渠道发展，持续提高公司的长期盈利能力的同时关注短期目标，争取实现扭亏为盈，并实现股东回报。</w:t>
            </w:r>
          </w:p>
          <w:p w14:paraId="7A3E1E1B">
            <w:pPr>
              <w:pStyle w:val="25"/>
              <w:spacing w:before="156"/>
              <w:ind w:firstLine="480"/>
              <w:rPr>
                <w:rFonts w:hint="eastAsia" w:ascii="宋体" w:hAnsi="宋体"/>
                <w:b/>
                <w:bCs/>
                <w:sz w:val="24"/>
                <w:szCs w:val="21"/>
                <w:lang w:val="en-US" w:eastAsia="zh-CN"/>
              </w:rPr>
            </w:pPr>
            <w:r>
              <w:rPr>
                <w:rFonts w:hint="default" w:ascii="宋体" w:hAnsi="宋体"/>
                <w:b/>
                <w:bCs/>
                <w:szCs w:val="21"/>
                <w:lang w:val="en-US" w:eastAsia="zh-CN"/>
              </w:rPr>
              <w:t>5</w:t>
            </w:r>
            <w:r>
              <w:rPr>
                <w:rFonts w:hint="eastAsia" w:ascii="宋体" w:hAnsi="宋体"/>
                <w:b/>
                <w:bCs/>
                <w:szCs w:val="21"/>
                <w:lang w:val="en-US" w:eastAsia="zh-CN"/>
              </w:rPr>
              <w:t>.管理层好，近期华为鸿蒙pc即将发布，对公司有和影响？谢谢！</w:t>
            </w:r>
          </w:p>
          <w:p w14:paraId="212BD4C2">
            <w:pPr>
              <w:pStyle w:val="25"/>
              <w:spacing w:before="156" w:line="360" w:lineRule="auto"/>
              <w:ind w:firstLine="480"/>
              <w:rPr>
                <w:rFonts w:hint="eastAsia"/>
                <w:color w:val="000000"/>
                <w:lang w:val="en-US" w:eastAsia="zh-CN"/>
              </w:rPr>
            </w:pPr>
            <w:r>
              <w:rPr>
                <w:rFonts w:hint="eastAsia"/>
                <w:color w:val="000000"/>
                <w:lang w:val="en-US" w:eastAsia="zh-CN"/>
              </w:rPr>
              <w:t>公司与华为公司是战略合作伙伴关系，公司是华为及华为云软件产品供应商，成立专门团队与华为各个团队进行对接，华为在全国乃至全球的销售网络都可以直接销售公司产品，目前在容灾，备份、数据库复制、云灾备等方面开展合作，公司产品能够完全兼容和支持华为的各个操作系统平台、华为的数据库平台以及华为的虚拟化平台等基础架构。近期华为鸿蒙pc即将发布，公司正在积极评估和对接华为的鸿蒙系统平台的支持。</w:t>
            </w:r>
          </w:p>
          <w:p w14:paraId="386B5CCD">
            <w:pPr>
              <w:pStyle w:val="25"/>
              <w:spacing w:before="156"/>
              <w:ind w:firstLine="480"/>
              <w:rPr>
                <w:rFonts w:hint="eastAsia" w:ascii="宋体" w:hAnsi="宋体"/>
                <w:b/>
                <w:bCs/>
                <w:sz w:val="24"/>
                <w:szCs w:val="21"/>
                <w:lang w:val="en-US" w:eastAsia="zh-CN"/>
              </w:rPr>
            </w:pPr>
            <w:r>
              <w:rPr>
                <w:rFonts w:hint="default" w:ascii="宋体" w:hAnsi="宋体"/>
                <w:b/>
                <w:bCs/>
                <w:szCs w:val="21"/>
                <w:lang w:val="en-US" w:eastAsia="zh-CN"/>
              </w:rPr>
              <w:t>6</w:t>
            </w:r>
            <w:r>
              <w:rPr>
                <w:rFonts w:hint="eastAsia" w:ascii="宋体" w:hAnsi="宋体"/>
                <w:b/>
                <w:bCs/>
                <w:szCs w:val="21"/>
                <w:lang w:val="en-US" w:eastAsia="zh-CN"/>
              </w:rPr>
              <w:t>.</w:t>
            </w:r>
            <w:r>
              <w:rPr>
                <w:rFonts w:hint="eastAsia" w:ascii="宋体" w:hAnsi="宋体"/>
                <w:b/>
                <w:bCs/>
                <w:sz w:val="24"/>
                <w:szCs w:val="21"/>
                <w:lang w:val="en-US" w:eastAsia="zh-CN"/>
              </w:rPr>
              <w:t>管理层好，今年公司对于三费开支及人员招聘数量的规划是怎样的？请简单介绍一下，谢谢！</w:t>
            </w:r>
          </w:p>
          <w:p w14:paraId="007BC40F">
            <w:pPr>
              <w:pStyle w:val="25"/>
              <w:spacing w:before="156" w:line="360" w:lineRule="auto"/>
              <w:ind w:firstLine="480"/>
              <w:rPr>
                <w:rFonts w:hint="eastAsia"/>
                <w:color w:val="000000"/>
                <w:lang w:val="en-US" w:eastAsia="zh-CN"/>
              </w:rPr>
            </w:pPr>
            <w:r>
              <w:rPr>
                <w:rFonts w:hint="eastAsia"/>
                <w:color w:val="000000"/>
                <w:lang w:val="en-US" w:eastAsia="zh-CN"/>
              </w:rPr>
              <w:t>公司将根据市场需求，加强对数据复制行业未来发展趋势的研判，以引进高端人才和培养基础年轻骨干人才为基础，持续推进公司研发和技术力量体系建设，提升公司技术水平。</w:t>
            </w:r>
          </w:p>
          <w:p w14:paraId="16EA9011">
            <w:pPr>
              <w:pStyle w:val="25"/>
              <w:spacing w:before="156" w:line="360" w:lineRule="auto"/>
              <w:ind w:firstLine="480"/>
              <w:rPr>
                <w:rFonts w:hint="eastAsia"/>
                <w:color w:val="000000"/>
                <w:lang w:val="en-US" w:eastAsia="zh-CN"/>
              </w:rPr>
            </w:pPr>
            <w:r>
              <w:rPr>
                <w:rFonts w:hint="eastAsia"/>
                <w:color w:val="000000"/>
                <w:lang w:val="en-US" w:eastAsia="zh-CN"/>
              </w:rPr>
              <w:t>同时，公司将在市场营销、品牌推广方面继续加大投入力度，持续加大海外营销投入，在维护和巩固现有行业客户的同时，积极开拓新客户和新领域，并适应市场变化，及时按需进行组织架构的调整。</w:t>
            </w:r>
          </w:p>
          <w:p w14:paraId="5D4A5C89">
            <w:pPr>
              <w:pStyle w:val="25"/>
              <w:spacing w:before="156"/>
              <w:ind w:firstLine="480"/>
              <w:rPr>
                <w:rFonts w:hint="eastAsia" w:ascii="宋体" w:hAnsi="宋体"/>
                <w:b/>
                <w:bCs/>
                <w:szCs w:val="21"/>
                <w:lang w:val="en-US" w:eastAsia="zh-CN"/>
              </w:rPr>
            </w:pPr>
            <w:r>
              <w:rPr>
                <w:rFonts w:hint="eastAsia" w:ascii="宋体" w:hAnsi="宋体"/>
                <w:b/>
                <w:bCs/>
                <w:szCs w:val="21"/>
                <w:lang w:val="en-US" w:eastAsia="zh-CN"/>
              </w:rPr>
              <w:t>7.请问Q1同比与去年持平，下半年展望如何？公司如何实现增长呢？</w:t>
            </w:r>
          </w:p>
          <w:p w14:paraId="1393994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color w:val="000000"/>
                <w:lang w:val="en-US" w:eastAsia="zh-CN"/>
              </w:rPr>
            </w:pPr>
            <w:r>
              <w:rPr>
                <w:rFonts w:hint="eastAsia" w:ascii="Times New Roman" w:hAnsi="Times New Roman" w:eastAsia="宋体" w:cs="Times New Roman"/>
                <w:color w:val="000000"/>
                <w:kern w:val="2"/>
                <w:sz w:val="24"/>
                <w:szCs w:val="22"/>
                <w:lang w:val="en-US" w:eastAsia="zh-CN" w:bidi="ar-SA"/>
              </w:rPr>
              <w:t>公司将持续加大研发技术力量和对现有产品进行升级，加强竞争优势，同时大市场营销投入，扩建营销网络及服务体系，提升公司品牌影响力，不断扩大市场占有率；通过不断拓展系列数据相关技术延伸市场、包括容灾、备份、大数据复制及云数据管理的丰富产品结构，实现多渠道发展，持续提高公司的长期盈利能力的同时关注短期目标，实现股东回报</w:t>
            </w:r>
            <w:r>
              <w:rPr>
                <w:rFonts w:hint="default"/>
                <w:color w:val="000000"/>
                <w:lang w:val="en-US" w:eastAsia="zh-CN"/>
              </w:rPr>
              <w:t>。</w:t>
            </w:r>
          </w:p>
        </w:tc>
      </w:tr>
      <w:tr w14:paraId="726C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FB51469">
            <w:pPr>
              <w:spacing w:line="360" w:lineRule="auto"/>
              <w:rPr>
                <w:rFonts w:ascii="宋体" w:hAnsi="宋体"/>
                <w:bCs/>
                <w:iCs/>
                <w:color w:val="000000"/>
                <w:sz w:val="24"/>
              </w:rPr>
            </w:pPr>
            <w:r>
              <w:rPr>
                <w:rFonts w:ascii="宋体" w:hAnsi="宋体"/>
                <w:bCs/>
                <w:iCs/>
                <w:color w:val="000000"/>
                <w:sz w:val="24"/>
              </w:rPr>
              <w:t xml:space="preserve">附件清单（如有） </w:t>
            </w:r>
          </w:p>
        </w:tc>
        <w:tc>
          <w:tcPr>
            <w:tcW w:w="6614" w:type="dxa"/>
            <w:vAlign w:val="center"/>
          </w:tcPr>
          <w:p w14:paraId="3C72AE43">
            <w:pPr>
              <w:spacing w:line="360" w:lineRule="auto"/>
              <w:rPr>
                <w:rFonts w:ascii="宋体" w:hAnsi="宋体"/>
                <w:bCs/>
                <w:iCs/>
                <w:color w:val="000000"/>
                <w:sz w:val="24"/>
              </w:rPr>
            </w:pPr>
            <w:r>
              <w:rPr>
                <w:rFonts w:hint="eastAsia" w:ascii="宋体" w:hAnsi="宋体"/>
                <w:bCs/>
                <w:iCs/>
                <w:color w:val="000000"/>
                <w:sz w:val="24"/>
              </w:rPr>
              <w:t>无</w:t>
            </w:r>
          </w:p>
        </w:tc>
      </w:tr>
      <w:tr w14:paraId="1AA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F8799EF">
            <w:pPr>
              <w:spacing w:line="360" w:lineRule="auto"/>
              <w:jc w:val="center"/>
              <w:rPr>
                <w:rFonts w:ascii="宋体" w:hAnsi="宋体"/>
                <w:bCs/>
                <w:iCs/>
                <w:color w:val="000000"/>
                <w:sz w:val="24"/>
              </w:rPr>
            </w:pPr>
            <w:r>
              <w:rPr>
                <w:rFonts w:hint="eastAsia" w:ascii="宋体" w:hAnsi="宋体"/>
                <w:bCs/>
                <w:iCs/>
                <w:color w:val="000000"/>
                <w:sz w:val="24"/>
              </w:rPr>
              <w:t>日期</w:t>
            </w:r>
          </w:p>
        </w:tc>
        <w:tc>
          <w:tcPr>
            <w:tcW w:w="6614" w:type="dxa"/>
            <w:vAlign w:val="center"/>
          </w:tcPr>
          <w:p w14:paraId="0642838F">
            <w:pPr>
              <w:spacing w:line="360" w:lineRule="auto"/>
              <w:rPr>
                <w:rFonts w:ascii="宋体" w:hAnsi="宋体"/>
                <w:bCs/>
                <w:iCs/>
                <w:color w:val="000000"/>
                <w:sz w:val="24"/>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5</w:t>
            </w:r>
            <w:r>
              <w:rPr>
                <w:rFonts w:hint="eastAsia" w:ascii="宋体" w:hAnsi="宋体"/>
                <w:bCs/>
                <w:iCs/>
                <w:color w:val="000000"/>
                <w:sz w:val="24"/>
              </w:rPr>
              <w:t>月</w:t>
            </w:r>
          </w:p>
        </w:tc>
      </w:tr>
    </w:tbl>
    <w:p w14:paraId="50C3BF69">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3A33"/>
    <w:rsid w:val="001057DB"/>
    <w:rsid w:val="00112B54"/>
    <w:rsid w:val="00124C9C"/>
    <w:rsid w:val="00131F47"/>
    <w:rsid w:val="00153D01"/>
    <w:rsid w:val="0016141B"/>
    <w:rsid w:val="0016246C"/>
    <w:rsid w:val="0016659B"/>
    <w:rsid w:val="001871D6"/>
    <w:rsid w:val="001940DF"/>
    <w:rsid w:val="001C1FFD"/>
    <w:rsid w:val="001C6D89"/>
    <w:rsid w:val="001D1897"/>
    <w:rsid w:val="001F2FDC"/>
    <w:rsid w:val="001F6A53"/>
    <w:rsid w:val="00230EE5"/>
    <w:rsid w:val="0023557C"/>
    <w:rsid w:val="0024568A"/>
    <w:rsid w:val="0025174B"/>
    <w:rsid w:val="002660F3"/>
    <w:rsid w:val="00270394"/>
    <w:rsid w:val="002A1899"/>
    <w:rsid w:val="002A4B9A"/>
    <w:rsid w:val="002C08C9"/>
    <w:rsid w:val="003039FA"/>
    <w:rsid w:val="00320313"/>
    <w:rsid w:val="0037673B"/>
    <w:rsid w:val="00383F8C"/>
    <w:rsid w:val="00397ABA"/>
    <w:rsid w:val="003A2691"/>
    <w:rsid w:val="003B1531"/>
    <w:rsid w:val="003B4E38"/>
    <w:rsid w:val="003D7149"/>
    <w:rsid w:val="003E3A99"/>
    <w:rsid w:val="00400BEE"/>
    <w:rsid w:val="00443C87"/>
    <w:rsid w:val="00444C44"/>
    <w:rsid w:val="00452CDD"/>
    <w:rsid w:val="00453980"/>
    <w:rsid w:val="00456F4C"/>
    <w:rsid w:val="00473824"/>
    <w:rsid w:val="00494439"/>
    <w:rsid w:val="004A48F7"/>
    <w:rsid w:val="004C0C6E"/>
    <w:rsid w:val="004D3744"/>
    <w:rsid w:val="004E18E4"/>
    <w:rsid w:val="00506587"/>
    <w:rsid w:val="00513FDB"/>
    <w:rsid w:val="00521F29"/>
    <w:rsid w:val="005457B4"/>
    <w:rsid w:val="00547A95"/>
    <w:rsid w:val="005562E9"/>
    <w:rsid w:val="00565CBB"/>
    <w:rsid w:val="0056752E"/>
    <w:rsid w:val="00587CDD"/>
    <w:rsid w:val="005A0F28"/>
    <w:rsid w:val="005C3B58"/>
    <w:rsid w:val="005D14B5"/>
    <w:rsid w:val="005D3623"/>
    <w:rsid w:val="005E7811"/>
    <w:rsid w:val="005F1972"/>
    <w:rsid w:val="00615EC7"/>
    <w:rsid w:val="006274D0"/>
    <w:rsid w:val="00634127"/>
    <w:rsid w:val="0064264E"/>
    <w:rsid w:val="00655619"/>
    <w:rsid w:val="00693040"/>
    <w:rsid w:val="00694A61"/>
    <w:rsid w:val="006A3D9A"/>
    <w:rsid w:val="006F2BE0"/>
    <w:rsid w:val="00752478"/>
    <w:rsid w:val="0078554E"/>
    <w:rsid w:val="0079056C"/>
    <w:rsid w:val="007906EC"/>
    <w:rsid w:val="007922E7"/>
    <w:rsid w:val="00793F45"/>
    <w:rsid w:val="007C279C"/>
    <w:rsid w:val="007C3675"/>
    <w:rsid w:val="007C770C"/>
    <w:rsid w:val="007E3A9B"/>
    <w:rsid w:val="00803617"/>
    <w:rsid w:val="00804C00"/>
    <w:rsid w:val="0081771C"/>
    <w:rsid w:val="00825818"/>
    <w:rsid w:val="00861607"/>
    <w:rsid w:val="00884602"/>
    <w:rsid w:val="0089311C"/>
    <w:rsid w:val="008A04D2"/>
    <w:rsid w:val="00907AA5"/>
    <w:rsid w:val="00914677"/>
    <w:rsid w:val="0092359A"/>
    <w:rsid w:val="009647B7"/>
    <w:rsid w:val="00982B5B"/>
    <w:rsid w:val="009A24D2"/>
    <w:rsid w:val="009D66DC"/>
    <w:rsid w:val="009E612F"/>
    <w:rsid w:val="009F4B8F"/>
    <w:rsid w:val="00A2072F"/>
    <w:rsid w:val="00A23E71"/>
    <w:rsid w:val="00A4497E"/>
    <w:rsid w:val="00A65C79"/>
    <w:rsid w:val="00AD31A0"/>
    <w:rsid w:val="00B03471"/>
    <w:rsid w:val="00B05289"/>
    <w:rsid w:val="00B428D4"/>
    <w:rsid w:val="00B4496D"/>
    <w:rsid w:val="00B457BA"/>
    <w:rsid w:val="00B50874"/>
    <w:rsid w:val="00B869F3"/>
    <w:rsid w:val="00B945FD"/>
    <w:rsid w:val="00B95355"/>
    <w:rsid w:val="00BA5388"/>
    <w:rsid w:val="00BA56F4"/>
    <w:rsid w:val="00BA680C"/>
    <w:rsid w:val="00BB4088"/>
    <w:rsid w:val="00BB6B7D"/>
    <w:rsid w:val="00BC23C1"/>
    <w:rsid w:val="00BC50A6"/>
    <w:rsid w:val="00BE0DA7"/>
    <w:rsid w:val="00BF3B19"/>
    <w:rsid w:val="00BF7123"/>
    <w:rsid w:val="00C1132F"/>
    <w:rsid w:val="00C115FB"/>
    <w:rsid w:val="00C60B00"/>
    <w:rsid w:val="00C87D0F"/>
    <w:rsid w:val="00C94D1E"/>
    <w:rsid w:val="00C95D38"/>
    <w:rsid w:val="00CB5B0F"/>
    <w:rsid w:val="00CB628D"/>
    <w:rsid w:val="00CC5F19"/>
    <w:rsid w:val="00CD4F4D"/>
    <w:rsid w:val="00CE7CDB"/>
    <w:rsid w:val="00D109BC"/>
    <w:rsid w:val="00D11273"/>
    <w:rsid w:val="00D13893"/>
    <w:rsid w:val="00D14267"/>
    <w:rsid w:val="00D17B26"/>
    <w:rsid w:val="00D24D2C"/>
    <w:rsid w:val="00D2667B"/>
    <w:rsid w:val="00D304E2"/>
    <w:rsid w:val="00D30929"/>
    <w:rsid w:val="00D43E8B"/>
    <w:rsid w:val="00D51945"/>
    <w:rsid w:val="00D75783"/>
    <w:rsid w:val="00D902F5"/>
    <w:rsid w:val="00DB385E"/>
    <w:rsid w:val="00DC39B0"/>
    <w:rsid w:val="00DF0083"/>
    <w:rsid w:val="00E00B7F"/>
    <w:rsid w:val="00E02931"/>
    <w:rsid w:val="00E0671B"/>
    <w:rsid w:val="00E22EA9"/>
    <w:rsid w:val="00E35D51"/>
    <w:rsid w:val="00E41004"/>
    <w:rsid w:val="00E41A04"/>
    <w:rsid w:val="00E51509"/>
    <w:rsid w:val="00E55598"/>
    <w:rsid w:val="00EA2D7D"/>
    <w:rsid w:val="00EB1594"/>
    <w:rsid w:val="00EC6259"/>
    <w:rsid w:val="00ED0943"/>
    <w:rsid w:val="00ED17BA"/>
    <w:rsid w:val="00ED6D17"/>
    <w:rsid w:val="00F01E74"/>
    <w:rsid w:val="00F31D0F"/>
    <w:rsid w:val="00F34116"/>
    <w:rsid w:val="00F34D15"/>
    <w:rsid w:val="00F94B3D"/>
    <w:rsid w:val="00FA61D1"/>
    <w:rsid w:val="00FC69E5"/>
    <w:rsid w:val="00FF279D"/>
    <w:rsid w:val="026E141F"/>
    <w:rsid w:val="027B6D79"/>
    <w:rsid w:val="04C87066"/>
    <w:rsid w:val="05DE1F43"/>
    <w:rsid w:val="073164B5"/>
    <w:rsid w:val="0A4056A9"/>
    <w:rsid w:val="0AB02BCD"/>
    <w:rsid w:val="0AEB20D2"/>
    <w:rsid w:val="0D046532"/>
    <w:rsid w:val="0F5645BD"/>
    <w:rsid w:val="10797AFB"/>
    <w:rsid w:val="11337CBF"/>
    <w:rsid w:val="14147227"/>
    <w:rsid w:val="166A2EB1"/>
    <w:rsid w:val="16E235F1"/>
    <w:rsid w:val="1A986F4F"/>
    <w:rsid w:val="1D074E56"/>
    <w:rsid w:val="1DE826EC"/>
    <w:rsid w:val="1E6D231E"/>
    <w:rsid w:val="1F171D44"/>
    <w:rsid w:val="1F5B6C81"/>
    <w:rsid w:val="1F5E3D65"/>
    <w:rsid w:val="23775F59"/>
    <w:rsid w:val="24E23D7C"/>
    <w:rsid w:val="25416D14"/>
    <w:rsid w:val="25C01E7E"/>
    <w:rsid w:val="26DF7048"/>
    <w:rsid w:val="26F57EA0"/>
    <w:rsid w:val="270C409F"/>
    <w:rsid w:val="27C7486A"/>
    <w:rsid w:val="27E06986"/>
    <w:rsid w:val="28700AC7"/>
    <w:rsid w:val="2AB51407"/>
    <w:rsid w:val="2B601F23"/>
    <w:rsid w:val="2F3839FD"/>
    <w:rsid w:val="2F437013"/>
    <w:rsid w:val="2F5922B5"/>
    <w:rsid w:val="2F835A02"/>
    <w:rsid w:val="316E496E"/>
    <w:rsid w:val="346C0F8D"/>
    <w:rsid w:val="34E24AFB"/>
    <w:rsid w:val="34E50FB5"/>
    <w:rsid w:val="35ED5885"/>
    <w:rsid w:val="396A0841"/>
    <w:rsid w:val="3AC64E24"/>
    <w:rsid w:val="3B966657"/>
    <w:rsid w:val="3E0F64B4"/>
    <w:rsid w:val="3F204B9F"/>
    <w:rsid w:val="401873FE"/>
    <w:rsid w:val="40221ED0"/>
    <w:rsid w:val="40624D42"/>
    <w:rsid w:val="40EC58C2"/>
    <w:rsid w:val="42487538"/>
    <w:rsid w:val="438F3899"/>
    <w:rsid w:val="448E592F"/>
    <w:rsid w:val="456D41C6"/>
    <w:rsid w:val="469519CD"/>
    <w:rsid w:val="486017CE"/>
    <w:rsid w:val="488D48BB"/>
    <w:rsid w:val="48C61172"/>
    <w:rsid w:val="49F92FBC"/>
    <w:rsid w:val="4A506A7B"/>
    <w:rsid w:val="4AC31770"/>
    <w:rsid w:val="4B04143D"/>
    <w:rsid w:val="4BE97027"/>
    <w:rsid w:val="4C8B34F6"/>
    <w:rsid w:val="4CA8313E"/>
    <w:rsid w:val="4CE723A1"/>
    <w:rsid w:val="4E3F7116"/>
    <w:rsid w:val="4E4610A1"/>
    <w:rsid w:val="4F4B58B4"/>
    <w:rsid w:val="4F734876"/>
    <w:rsid w:val="501E4BFD"/>
    <w:rsid w:val="5587376C"/>
    <w:rsid w:val="588C69A8"/>
    <w:rsid w:val="58E95FEA"/>
    <w:rsid w:val="5C3E620B"/>
    <w:rsid w:val="5D993739"/>
    <w:rsid w:val="5DAB1F64"/>
    <w:rsid w:val="606C2A77"/>
    <w:rsid w:val="60F45BE7"/>
    <w:rsid w:val="62A156F1"/>
    <w:rsid w:val="63AF3EC4"/>
    <w:rsid w:val="641E0D86"/>
    <w:rsid w:val="648A23AF"/>
    <w:rsid w:val="6A1D41BC"/>
    <w:rsid w:val="6A7B723E"/>
    <w:rsid w:val="6CD773CF"/>
    <w:rsid w:val="6F8E06AB"/>
    <w:rsid w:val="71136A90"/>
    <w:rsid w:val="739972EB"/>
    <w:rsid w:val="73DF15F2"/>
    <w:rsid w:val="748E002A"/>
    <w:rsid w:val="74AE1D28"/>
    <w:rsid w:val="78206C22"/>
    <w:rsid w:val="792D3904"/>
    <w:rsid w:val="798D4BFB"/>
    <w:rsid w:val="7A9274BD"/>
    <w:rsid w:val="7AFD55E3"/>
    <w:rsid w:val="7C0670B3"/>
    <w:rsid w:val="7D540579"/>
    <w:rsid w:val="7DA82479"/>
    <w:rsid w:val="7E5B5B46"/>
    <w:rsid w:val="7E747B3F"/>
    <w:rsid w:val="7F610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left="100" w:leftChars="100" w:right="100" w:rightChars="100"/>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23"/>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semiHidden/>
    <w:unhideWhenUsed/>
    <w:qFormat/>
    <w:uiPriority w:val="99"/>
    <w:pPr>
      <w:snapToGrid w:val="0"/>
      <w:jc w:val="left"/>
    </w:pPr>
    <w:rPr>
      <w:rFonts w:eastAsia="华文楷体"/>
      <w:sz w:val="18"/>
      <w:szCs w:val="18"/>
    </w:rPr>
  </w:style>
  <w:style w:type="paragraph" w:styleId="9">
    <w:name w:val="annotation subject"/>
    <w:basedOn w:val="4"/>
    <w:next w:val="4"/>
    <w:link w:val="24"/>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semiHidden/>
    <w:unhideWhenUsed/>
    <w:qFormat/>
    <w:uiPriority w:val="99"/>
    <w:rPr>
      <w:vertAlign w:val="superscript"/>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文档结构图 字符"/>
    <w:basedOn w:val="11"/>
    <w:link w:val="3"/>
    <w:semiHidden/>
    <w:qFormat/>
    <w:uiPriority w:val="99"/>
    <w:rPr>
      <w:rFonts w:ascii="宋体" w:eastAsia="宋体"/>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脚注文本 Char"/>
    <w:semiHidden/>
    <w:qFormat/>
    <w:uiPriority w:val="99"/>
    <w:rPr>
      <w:rFonts w:eastAsia="华文楷体"/>
      <w:sz w:val="18"/>
      <w:szCs w:val="18"/>
    </w:rPr>
  </w:style>
  <w:style w:type="character" w:customStyle="1" w:styleId="20">
    <w:name w:val="脚注文本 字符"/>
    <w:basedOn w:val="11"/>
    <w:link w:val="8"/>
    <w:semiHidden/>
    <w:qFormat/>
    <w:uiPriority w:val="99"/>
    <w:rPr>
      <w:sz w:val="18"/>
      <w:szCs w:val="18"/>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9"/>
    <w:semiHidden/>
    <w:qFormat/>
    <w:uiPriority w:val="99"/>
    <w:rPr>
      <w:rFonts w:asciiTheme="minorHAnsi" w:hAnsiTheme="minorHAnsi" w:eastAsiaTheme="minorEastAsia" w:cstheme="minorBidi"/>
      <w:b/>
      <w:bCs/>
      <w:kern w:val="2"/>
      <w:sz w:val="21"/>
      <w:szCs w:val="22"/>
    </w:rPr>
  </w:style>
  <w:style w:type="paragraph" w:customStyle="1" w:styleId="25">
    <w:name w:val="005正文"/>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63F0-5463-4442-B6F8-C000103F7A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2368</Words>
  <Characters>2491</Characters>
  <Lines>12</Lines>
  <Paragraphs>3</Paragraphs>
  <TotalTime>0</TotalTime>
  <ScaleCrop>false</ScaleCrop>
  <LinksUpToDate>false</LinksUpToDate>
  <CharactersWithSpaces>2630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2023-02-06T01:53:00Z</dcterms:created>
  <dc:creator>fangz</dc:creator>
  <cp:lastModifiedBy>沈蔡娟</cp:lastModifiedBy>
  <dcterms:modified xsi:type="dcterms:W3CDTF">2025-05-12T10:04:50Z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FDC3F2207ADE4FEA8F8E884D0B9055AB</vt:lpwstr>
  </property>
  <property fmtid="{D5CDD505-2E9C-101B-9397-08002B2CF9AE}" pid="4" name="KSOTemplateDocerSaveRecord">
    <vt:lpwstr>eyJoZGlkIjoiODhjMzM2YzNmOTE2ZjViMDYxNDA0OGY2ZmJjNjZjOWEiLCJ1c2VySWQiOiIyMTc3MDAzOTkifQ==</vt:lpwstr>
  </property>
</Properties>
</file>