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F9729" w14:textId="77777777" w:rsidR="004A375F" w:rsidRPr="003316E6" w:rsidRDefault="00EF495B">
      <w:pPr>
        <w:kinsoku/>
        <w:spacing w:before="85" w:line="185" w:lineRule="auto"/>
        <w:ind w:firstLine="581"/>
        <w:rPr>
          <w:rFonts w:ascii="Times New Roman" w:eastAsia="宋体" w:hAnsi="Times New Roman" w:cs="Times New Roman"/>
          <w:sz w:val="24"/>
          <w:szCs w:val="24"/>
        </w:rPr>
      </w:pPr>
      <w:r w:rsidRPr="003316E6">
        <w:rPr>
          <w:rFonts w:ascii="Times New Roman" w:eastAsia="宋体" w:hAnsi="Times New Roman" w:cs="Times New Roman"/>
          <w:spacing w:val="-10"/>
          <w:sz w:val="24"/>
          <w:szCs w:val="24"/>
        </w:rPr>
        <w:t>证券代码：</w:t>
      </w:r>
      <w:r w:rsidRPr="003316E6">
        <w:rPr>
          <w:rFonts w:ascii="Times New Roman" w:eastAsia="宋体" w:hAnsi="Times New Roman" w:cs="Times New Roman"/>
          <w:spacing w:val="-10"/>
          <w:sz w:val="24"/>
          <w:szCs w:val="24"/>
        </w:rPr>
        <w:t>688553</w:t>
      </w:r>
      <w:r w:rsidRPr="003316E6">
        <w:rPr>
          <w:rFonts w:ascii="Times New Roman" w:eastAsia="Times New Roman" w:hAnsi="Times New Roman" w:cs="Times New Roman"/>
          <w:sz w:val="24"/>
          <w:szCs w:val="24"/>
        </w:rPr>
        <w:t xml:space="preserve">                                                              </w:t>
      </w:r>
      <w:r w:rsidRPr="003316E6">
        <w:rPr>
          <w:rFonts w:ascii="Times New Roman" w:eastAsia="宋体" w:hAnsi="Times New Roman" w:cs="Times New Roman"/>
          <w:sz w:val="24"/>
          <w:szCs w:val="24"/>
        </w:rPr>
        <w:t xml:space="preserve"> </w:t>
      </w:r>
      <w:r w:rsidRPr="003316E6">
        <w:rPr>
          <w:rFonts w:ascii="Times New Roman" w:eastAsia="宋体" w:hAnsi="Times New Roman" w:cs="Times New Roman"/>
          <w:spacing w:val="-10"/>
          <w:sz w:val="24"/>
          <w:szCs w:val="24"/>
        </w:rPr>
        <w:t>证券简称：</w:t>
      </w:r>
      <w:r w:rsidRPr="003316E6">
        <w:rPr>
          <w:rFonts w:ascii="Times New Roman" w:eastAsia="宋体" w:hAnsi="Times New Roman" w:cs="Times New Roman"/>
          <w:sz w:val="24"/>
          <w:szCs w:val="24"/>
        </w:rPr>
        <w:t>汇宇制药</w:t>
      </w:r>
    </w:p>
    <w:p w14:paraId="4BF6EB44" w14:textId="77777777" w:rsidR="004A375F" w:rsidRPr="003316E6" w:rsidRDefault="004A375F">
      <w:pPr>
        <w:kinsoku/>
        <w:spacing w:before="311" w:line="185" w:lineRule="auto"/>
        <w:jc w:val="center"/>
        <w:rPr>
          <w:rFonts w:ascii="Times New Roman" w:eastAsia="宋体" w:hAnsi="Times New Roman" w:cs="Times New Roman"/>
          <w:sz w:val="32"/>
          <w:szCs w:val="32"/>
          <w14:textOutline w14:w="4356" w14:cap="flat" w14:cmpd="sng" w14:algn="ctr">
            <w14:solidFill>
              <w14:srgbClr w14:val="000000"/>
            </w14:solidFill>
            <w14:prstDash w14:val="solid"/>
            <w14:miter w14:lim="0"/>
          </w14:textOutline>
        </w:rPr>
      </w:pPr>
    </w:p>
    <w:p w14:paraId="5AAC74C8" w14:textId="77777777" w:rsidR="004A375F" w:rsidRPr="003316E6" w:rsidRDefault="00EF495B">
      <w:pPr>
        <w:kinsoku/>
        <w:spacing w:before="311" w:line="185" w:lineRule="auto"/>
        <w:jc w:val="center"/>
        <w:rPr>
          <w:rFonts w:ascii="Times New Roman" w:eastAsia="宋体" w:hAnsi="Times New Roman" w:cs="Times New Roman"/>
          <w:sz w:val="32"/>
          <w:szCs w:val="32"/>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z w:val="32"/>
          <w:szCs w:val="32"/>
          <w14:textOutline w14:w="4356" w14:cap="flat" w14:cmpd="sng" w14:algn="ctr">
            <w14:solidFill>
              <w14:srgbClr w14:val="000000"/>
            </w14:solidFill>
            <w14:prstDash w14:val="solid"/>
            <w14:miter w14:lim="0"/>
          </w14:textOutline>
        </w:rPr>
        <w:t>四川汇宇制药股份有限公司投资者关系活动记录表</w:t>
      </w:r>
    </w:p>
    <w:p w14:paraId="2508F7C5" w14:textId="77777777" w:rsidR="004A375F" w:rsidRPr="003316E6" w:rsidRDefault="004A375F">
      <w:pPr>
        <w:kinsoku/>
        <w:spacing w:before="311" w:line="185" w:lineRule="auto"/>
        <w:jc w:val="center"/>
        <w:rPr>
          <w:rFonts w:ascii="Times New Roman" w:eastAsia="宋体" w:hAnsi="Times New Roman" w:cs="Times New Roman"/>
          <w:sz w:val="32"/>
          <w:szCs w:val="32"/>
        </w:rPr>
      </w:pPr>
    </w:p>
    <w:p w14:paraId="6416159C" w14:textId="415E54C0" w:rsidR="004A375F" w:rsidRPr="003316E6" w:rsidRDefault="00EF495B">
      <w:pPr>
        <w:kinsoku/>
        <w:spacing w:before="321" w:line="185" w:lineRule="auto"/>
        <w:ind w:right="224"/>
        <w:jc w:val="right"/>
        <w:rPr>
          <w:rFonts w:ascii="Times New Roman" w:eastAsia="宋体" w:hAnsi="Times New Roman" w:cs="Times New Roman"/>
          <w:sz w:val="24"/>
          <w:szCs w:val="24"/>
        </w:rPr>
      </w:pPr>
      <w:r w:rsidRPr="003316E6">
        <w:rPr>
          <w:rFonts w:ascii="Times New Roman" w:eastAsia="宋体" w:hAnsi="Times New Roman" w:cs="Times New Roman"/>
          <w:spacing w:val="-16"/>
          <w:sz w:val="24"/>
          <w:szCs w:val="24"/>
        </w:rPr>
        <w:t>编号：</w:t>
      </w:r>
      <w:r w:rsidRPr="003316E6">
        <w:rPr>
          <w:rFonts w:ascii="Times New Roman" w:eastAsia="Times New Roman" w:hAnsi="Times New Roman" w:cs="Times New Roman"/>
          <w:spacing w:val="-5"/>
          <w:sz w:val="24"/>
          <w:szCs w:val="24"/>
        </w:rPr>
        <w:t>202</w:t>
      </w:r>
      <w:r w:rsidR="00040518" w:rsidRPr="003316E6">
        <w:rPr>
          <w:rFonts w:ascii="Times New Roman" w:eastAsia="宋体" w:hAnsi="Times New Roman" w:cs="Times New Roman"/>
          <w:spacing w:val="-5"/>
          <w:sz w:val="24"/>
          <w:szCs w:val="24"/>
        </w:rPr>
        <w:t>5</w:t>
      </w:r>
      <w:r w:rsidRPr="003316E6">
        <w:rPr>
          <w:rFonts w:ascii="Times New Roman" w:eastAsia="Times New Roman" w:hAnsi="Times New Roman" w:cs="Times New Roman"/>
          <w:spacing w:val="-5"/>
          <w:sz w:val="24"/>
          <w:szCs w:val="24"/>
        </w:rPr>
        <w:t>-0</w:t>
      </w:r>
      <w:r w:rsidRPr="003316E6">
        <w:rPr>
          <w:rFonts w:ascii="Times New Roman" w:eastAsia="宋体" w:hAnsi="Times New Roman" w:cs="Times New Roman"/>
          <w:spacing w:val="-5"/>
          <w:sz w:val="24"/>
          <w:szCs w:val="24"/>
        </w:rPr>
        <w:t>0</w:t>
      </w:r>
      <w:r w:rsidR="00040518" w:rsidRPr="003316E6">
        <w:rPr>
          <w:rFonts w:ascii="Times New Roman" w:eastAsia="宋体" w:hAnsi="Times New Roman" w:cs="Times New Roman"/>
          <w:spacing w:val="-5"/>
          <w:sz w:val="24"/>
          <w:szCs w:val="24"/>
        </w:rPr>
        <w:t>1</w:t>
      </w:r>
    </w:p>
    <w:p w14:paraId="3E47E1BB" w14:textId="77777777" w:rsidR="004A375F" w:rsidRPr="003316E6" w:rsidRDefault="004A375F">
      <w:pPr>
        <w:kinsoku/>
        <w:spacing w:line="42" w:lineRule="exact"/>
        <w:rPr>
          <w:rFonts w:ascii="Times New Roman" w:hAnsi="Times New Roman" w:cs="Times New Roman"/>
        </w:rPr>
      </w:pPr>
    </w:p>
    <w:tbl>
      <w:tblPr>
        <w:tblStyle w:val="TableNormal"/>
        <w:tblW w:w="890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113" w:type="dxa"/>
          <w:bottom w:w="113" w:type="dxa"/>
          <w:right w:w="113" w:type="dxa"/>
        </w:tblCellMar>
        <w:tblLook w:val="04A0" w:firstRow="1" w:lastRow="0" w:firstColumn="1" w:lastColumn="0" w:noHBand="0" w:noVBand="1"/>
      </w:tblPr>
      <w:tblGrid>
        <w:gridCol w:w="1361"/>
        <w:gridCol w:w="2117"/>
        <w:gridCol w:w="5424"/>
      </w:tblGrid>
      <w:tr w:rsidR="004A375F" w:rsidRPr="003316E6" w14:paraId="1EF88A1C" w14:textId="77777777">
        <w:trPr>
          <w:trHeight w:val="1434"/>
        </w:trPr>
        <w:tc>
          <w:tcPr>
            <w:tcW w:w="1361" w:type="dxa"/>
            <w:vMerge w:val="restart"/>
            <w:tcBorders>
              <w:bottom w:val="nil"/>
            </w:tcBorders>
            <w:vAlign w:val="center"/>
          </w:tcPr>
          <w:p w14:paraId="66AB9787" w14:textId="77777777" w:rsidR="004A375F" w:rsidRPr="003316E6" w:rsidRDefault="00EF495B">
            <w:pPr>
              <w:kinsoku/>
              <w:spacing w:before="78" w:line="185" w:lineRule="auto"/>
              <w:ind w:leftChars="-50" w:left="-105" w:firstLine="165"/>
              <w:rPr>
                <w:rFonts w:ascii="Times New Roman" w:eastAsia="宋体" w:hAnsi="Times New Roman" w:cs="Times New Roman"/>
                <w:sz w:val="24"/>
                <w:szCs w:val="24"/>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投资者关</w:t>
            </w:r>
          </w:p>
          <w:p w14:paraId="5FE0F2A7" w14:textId="77777777" w:rsidR="004A375F" w:rsidRPr="003316E6" w:rsidRDefault="00EF495B">
            <w:pPr>
              <w:kinsoku/>
              <w:spacing w:before="225" w:line="185" w:lineRule="auto"/>
              <w:ind w:leftChars="-50" w:left="-105" w:firstLine="167"/>
              <w:rPr>
                <w:rFonts w:ascii="Times New Roman" w:eastAsia="宋体" w:hAnsi="Times New Roman" w:cs="Times New Roman"/>
                <w:sz w:val="24"/>
                <w:szCs w:val="24"/>
              </w:rPr>
            </w:pPr>
            <w:r w:rsidRPr="003316E6">
              <w:rPr>
                <w:rFonts w:ascii="Times New Roman" w:eastAsia="宋体" w:hAnsi="Times New Roman" w:cs="Times New Roman"/>
                <w:spacing w:val="-3"/>
                <w:sz w:val="24"/>
                <w:szCs w:val="24"/>
                <w14:textOutline w14:w="4356" w14:cap="flat" w14:cmpd="sng" w14:algn="ctr">
                  <w14:solidFill>
                    <w14:srgbClr w14:val="000000"/>
                  </w14:solidFill>
                  <w14:prstDash w14:val="solid"/>
                  <w14:miter w14:lim="0"/>
                </w14:textOutline>
              </w:rPr>
              <w:t>系活动类</w:t>
            </w:r>
          </w:p>
          <w:p w14:paraId="53C9DDFD" w14:textId="77777777" w:rsidR="004A375F" w:rsidRPr="003316E6" w:rsidRDefault="00EF495B">
            <w:pPr>
              <w:kinsoku/>
              <w:spacing w:before="230" w:line="185" w:lineRule="auto"/>
              <w:ind w:leftChars="-50" w:left="-105" w:firstLine="526"/>
              <w:rPr>
                <w:rFonts w:ascii="Times New Roman" w:eastAsia="宋体" w:hAnsi="Times New Roman" w:cs="Times New Roman"/>
                <w:sz w:val="24"/>
                <w:szCs w:val="24"/>
              </w:rPr>
            </w:pPr>
            <w:r w:rsidRPr="003316E6">
              <w:rPr>
                <w:rFonts w:ascii="Times New Roman" w:eastAsia="宋体" w:hAnsi="Times New Roman" w:cs="Times New Roman"/>
                <w:sz w:val="24"/>
                <w:szCs w:val="24"/>
                <w14:textOutline w14:w="4356" w14:cap="flat" w14:cmpd="sng" w14:algn="ctr">
                  <w14:solidFill>
                    <w14:srgbClr w14:val="000000"/>
                  </w14:solidFill>
                  <w14:prstDash w14:val="solid"/>
                  <w14:miter w14:lim="0"/>
                </w14:textOutline>
              </w:rPr>
              <w:t>别</w:t>
            </w:r>
          </w:p>
        </w:tc>
        <w:tc>
          <w:tcPr>
            <w:tcW w:w="2117" w:type="dxa"/>
            <w:tcBorders>
              <w:bottom w:val="nil"/>
              <w:right w:val="nil"/>
            </w:tcBorders>
            <w:vAlign w:val="center"/>
          </w:tcPr>
          <w:p w14:paraId="02560D47" w14:textId="77777777" w:rsidR="004A375F" w:rsidRPr="003316E6" w:rsidRDefault="00EF495B">
            <w:pPr>
              <w:kinsoku/>
              <w:spacing w:before="119" w:line="185" w:lineRule="auto"/>
              <w:ind w:firstLine="121"/>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A3"/>
            </w:r>
            <w:r w:rsidRPr="003316E6">
              <w:rPr>
                <w:rFonts w:ascii="Times New Roman" w:eastAsia="宋体" w:hAnsi="Times New Roman" w:cs="Times New Roman"/>
                <w:spacing w:val="1"/>
                <w:sz w:val="24"/>
                <w:szCs w:val="24"/>
              </w:rPr>
              <w:t>特定对象调研</w:t>
            </w:r>
          </w:p>
          <w:p w14:paraId="3A481284" w14:textId="77777777" w:rsidR="004A375F" w:rsidRPr="003316E6" w:rsidRDefault="00EF495B">
            <w:pPr>
              <w:kinsoku/>
              <w:spacing w:before="230" w:line="198" w:lineRule="auto"/>
              <w:ind w:firstLine="118"/>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A3"/>
            </w:r>
            <w:r w:rsidRPr="003316E6">
              <w:rPr>
                <w:rFonts w:ascii="Times New Roman" w:eastAsia="宋体" w:hAnsi="Times New Roman" w:cs="Times New Roman"/>
                <w:spacing w:val="-3"/>
                <w:sz w:val="24"/>
                <w:szCs w:val="24"/>
              </w:rPr>
              <w:t>媒体采访</w:t>
            </w:r>
          </w:p>
          <w:p w14:paraId="79FB34DC" w14:textId="77777777" w:rsidR="004A375F" w:rsidRPr="003316E6" w:rsidRDefault="00EF495B">
            <w:pPr>
              <w:kinsoku/>
              <w:spacing w:before="208" w:line="198" w:lineRule="auto"/>
              <w:ind w:firstLine="118"/>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A3"/>
            </w:r>
            <w:r w:rsidRPr="003316E6">
              <w:rPr>
                <w:rFonts w:ascii="Times New Roman" w:eastAsia="宋体" w:hAnsi="Times New Roman" w:cs="Times New Roman"/>
                <w:spacing w:val="-3"/>
                <w:sz w:val="24"/>
                <w:szCs w:val="24"/>
              </w:rPr>
              <w:t>新闻发布会</w:t>
            </w:r>
          </w:p>
        </w:tc>
        <w:tc>
          <w:tcPr>
            <w:tcW w:w="5424" w:type="dxa"/>
            <w:tcBorders>
              <w:left w:val="nil"/>
              <w:bottom w:val="nil"/>
            </w:tcBorders>
            <w:vAlign w:val="center"/>
          </w:tcPr>
          <w:p w14:paraId="3527C3C6" w14:textId="77777777" w:rsidR="004A375F" w:rsidRPr="003316E6" w:rsidRDefault="00EF495B">
            <w:pPr>
              <w:kinsoku/>
              <w:spacing w:before="120" w:line="198" w:lineRule="auto"/>
              <w:ind w:firstLineChars="200" w:firstLine="480"/>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A3"/>
            </w:r>
            <w:r w:rsidRPr="003316E6">
              <w:rPr>
                <w:rFonts w:ascii="Times New Roman" w:eastAsia="宋体" w:hAnsi="Times New Roman" w:cs="Times New Roman"/>
                <w:spacing w:val="-3"/>
                <w:sz w:val="24"/>
                <w:szCs w:val="24"/>
              </w:rPr>
              <w:t>分析师会议</w:t>
            </w:r>
          </w:p>
          <w:p w14:paraId="518E537A" w14:textId="77777777" w:rsidR="004A375F" w:rsidRPr="003316E6" w:rsidRDefault="00EF495B">
            <w:pPr>
              <w:kinsoku/>
              <w:spacing w:before="213" w:line="198" w:lineRule="auto"/>
              <w:ind w:firstLine="469"/>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52"/>
            </w:r>
            <w:r w:rsidRPr="003316E6">
              <w:rPr>
                <w:rFonts w:ascii="Times New Roman" w:eastAsia="宋体" w:hAnsi="Times New Roman" w:cs="Times New Roman"/>
                <w:spacing w:val="-3"/>
                <w:sz w:val="24"/>
                <w:szCs w:val="24"/>
              </w:rPr>
              <w:t>业绩说明会</w:t>
            </w:r>
          </w:p>
          <w:p w14:paraId="5C255346" w14:textId="77777777" w:rsidR="004A375F" w:rsidRPr="003316E6" w:rsidRDefault="00EF495B">
            <w:pPr>
              <w:kinsoku/>
              <w:spacing w:before="208" w:line="198" w:lineRule="auto"/>
              <w:ind w:firstLine="469"/>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A3"/>
            </w:r>
            <w:r w:rsidRPr="003316E6">
              <w:rPr>
                <w:rFonts w:ascii="Times New Roman" w:eastAsia="宋体" w:hAnsi="Times New Roman" w:cs="Times New Roman"/>
                <w:spacing w:val="-3"/>
                <w:sz w:val="24"/>
                <w:szCs w:val="24"/>
              </w:rPr>
              <w:t>路演活动</w:t>
            </w:r>
          </w:p>
        </w:tc>
      </w:tr>
      <w:tr w:rsidR="004A375F" w:rsidRPr="003316E6" w14:paraId="5E661454" w14:textId="77777777">
        <w:trPr>
          <w:trHeight w:val="917"/>
        </w:trPr>
        <w:tc>
          <w:tcPr>
            <w:tcW w:w="1361" w:type="dxa"/>
            <w:vMerge/>
            <w:tcBorders>
              <w:top w:val="nil"/>
            </w:tcBorders>
            <w:vAlign w:val="center"/>
          </w:tcPr>
          <w:p w14:paraId="3FD71A4E" w14:textId="77777777" w:rsidR="004A375F" w:rsidRPr="003316E6" w:rsidRDefault="004A375F">
            <w:pPr>
              <w:kinsoku/>
              <w:rPr>
                <w:rFonts w:ascii="Times New Roman" w:hAnsi="Times New Roman" w:cs="Times New Roman"/>
              </w:rPr>
            </w:pPr>
          </w:p>
        </w:tc>
        <w:tc>
          <w:tcPr>
            <w:tcW w:w="7541" w:type="dxa"/>
            <w:gridSpan w:val="2"/>
            <w:tcBorders>
              <w:top w:val="nil"/>
            </w:tcBorders>
            <w:vAlign w:val="center"/>
          </w:tcPr>
          <w:p w14:paraId="3A18FCC6" w14:textId="77777777" w:rsidR="004A375F" w:rsidRPr="003316E6" w:rsidRDefault="00EF495B">
            <w:pPr>
              <w:kinsoku/>
              <w:spacing w:before="93" w:line="198" w:lineRule="auto"/>
              <w:ind w:firstLine="118"/>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A3"/>
            </w:r>
            <w:r w:rsidRPr="003316E6">
              <w:rPr>
                <w:rFonts w:ascii="Times New Roman" w:eastAsia="宋体" w:hAnsi="Times New Roman" w:cs="Times New Roman"/>
                <w:spacing w:val="-3"/>
                <w:sz w:val="24"/>
                <w:szCs w:val="24"/>
              </w:rPr>
              <w:t>现场参观</w:t>
            </w:r>
          </w:p>
          <w:p w14:paraId="6BA61AFC" w14:textId="77777777" w:rsidR="004A375F" w:rsidRPr="003316E6" w:rsidRDefault="00EF495B">
            <w:pPr>
              <w:kinsoku/>
              <w:spacing w:before="208" w:line="198" w:lineRule="auto"/>
              <w:ind w:firstLine="118"/>
              <w:rPr>
                <w:rFonts w:ascii="Times New Roman" w:eastAsia="宋体" w:hAnsi="Times New Roman" w:cs="Times New Roman"/>
                <w:sz w:val="24"/>
                <w:szCs w:val="24"/>
              </w:rPr>
            </w:pPr>
            <w:r w:rsidRPr="003316E6">
              <w:rPr>
                <w:rFonts w:ascii="Times New Roman" w:eastAsia="Times New Roman" w:hAnsi="Times New Roman" w:cs="Times New Roman"/>
                <w:spacing w:val="-3"/>
                <w:sz w:val="24"/>
                <w:szCs w:val="24"/>
              </w:rPr>
              <w:sym w:font="Wingdings 2" w:char="00A3"/>
            </w:r>
            <w:r w:rsidRPr="003316E6">
              <w:rPr>
                <w:rFonts w:ascii="Times New Roman" w:eastAsia="宋体" w:hAnsi="Times New Roman" w:cs="Times New Roman"/>
                <w:spacing w:val="-10"/>
                <w:sz w:val="24"/>
                <w:szCs w:val="24"/>
              </w:rPr>
              <w:t>其他</w:t>
            </w:r>
            <w:r w:rsidRPr="003316E6">
              <w:rPr>
                <w:rFonts w:ascii="Times New Roman" w:eastAsia="宋体" w:hAnsi="Times New Roman" w:cs="Times New Roman"/>
                <w:spacing w:val="11"/>
                <w:sz w:val="24"/>
                <w:szCs w:val="24"/>
              </w:rPr>
              <w:t xml:space="preserve"> </w:t>
            </w:r>
            <w:r w:rsidRPr="003316E6">
              <w:rPr>
                <w:rFonts w:ascii="Times New Roman" w:eastAsia="宋体" w:hAnsi="Times New Roman" w:cs="Times New Roman"/>
                <w:spacing w:val="11"/>
                <w:sz w:val="24"/>
                <w:szCs w:val="24"/>
                <w:u w:val="single"/>
              </w:rPr>
              <w:t xml:space="preserve"> </w:t>
            </w:r>
            <w:r w:rsidRPr="003316E6">
              <w:rPr>
                <w:rFonts w:ascii="Times New Roman" w:eastAsia="宋体" w:hAnsi="Times New Roman" w:cs="Times New Roman"/>
                <w:sz w:val="24"/>
                <w:szCs w:val="24"/>
                <w:u w:val="single"/>
              </w:rPr>
              <w:t>（请文字说明其他活动内容）</w:t>
            </w:r>
            <w:r w:rsidRPr="003316E6">
              <w:rPr>
                <w:rFonts w:ascii="Times New Roman" w:eastAsia="宋体" w:hAnsi="Times New Roman" w:cs="Times New Roman"/>
                <w:sz w:val="24"/>
                <w:szCs w:val="24"/>
                <w:u w:val="single"/>
              </w:rPr>
              <w:t xml:space="preserve"> </w:t>
            </w:r>
            <w:r w:rsidRPr="003316E6">
              <w:rPr>
                <w:rFonts w:ascii="Times New Roman" w:eastAsia="宋体" w:hAnsi="Times New Roman" w:cs="Times New Roman"/>
                <w:spacing w:val="11"/>
                <w:sz w:val="24"/>
                <w:szCs w:val="24"/>
                <w:u w:val="single"/>
              </w:rPr>
              <w:t xml:space="preserve"> </w:t>
            </w:r>
          </w:p>
        </w:tc>
      </w:tr>
      <w:tr w:rsidR="004A375F" w:rsidRPr="003316E6" w14:paraId="607B8A14" w14:textId="77777777">
        <w:trPr>
          <w:trHeight w:val="1900"/>
        </w:trPr>
        <w:tc>
          <w:tcPr>
            <w:tcW w:w="1361" w:type="dxa"/>
            <w:vAlign w:val="center"/>
          </w:tcPr>
          <w:p w14:paraId="0D26D22E"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参与单位</w:t>
            </w:r>
          </w:p>
          <w:p w14:paraId="2559E543"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名称</w:t>
            </w:r>
          </w:p>
        </w:tc>
        <w:tc>
          <w:tcPr>
            <w:tcW w:w="7541" w:type="dxa"/>
            <w:gridSpan w:val="2"/>
            <w:vAlign w:val="center"/>
          </w:tcPr>
          <w:p w14:paraId="04BCF7D0" w14:textId="3D0FCD2E" w:rsidR="004A375F" w:rsidRPr="003316E6" w:rsidRDefault="00EF495B">
            <w:pPr>
              <w:kinsoku/>
              <w:spacing w:before="119" w:line="360" w:lineRule="auto"/>
              <w:ind w:right="36"/>
              <w:rPr>
                <w:rFonts w:asciiTheme="minorEastAsia" w:eastAsiaTheme="minorEastAsia" w:hAnsiTheme="minorEastAsia" w:cs="Times New Roman"/>
                <w:sz w:val="24"/>
                <w:szCs w:val="24"/>
              </w:rPr>
            </w:pPr>
            <w:r w:rsidRPr="003316E6">
              <w:rPr>
                <w:rFonts w:asciiTheme="minorEastAsia" w:eastAsiaTheme="minorEastAsia" w:hAnsiTheme="minorEastAsia" w:cs="微软雅黑" w:hint="eastAsia"/>
                <w:sz w:val="24"/>
                <w:szCs w:val="24"/>
              </w:rPr>
              <w:t>通过线上方式参与公司</w:t>
            </w:r>
            <w:r w:rsidRPr="003316E6">
              <w:rPr>
                <w:rFonts w:asciiTheme="minorEastAsia" w:eastAsiaTheme="minorEastAsia" w:hAnsiTheme="minorEastAsia" w:cs="Times New Roman"/>
                <w:sz w:val="24"/>
                <w:szCs w:val="24"/>
              </w:rPr>
              <w:t>202</w:t>
            </w:r>
            <w:r w:rsidR="00040518" w:rsidRPr="003316E6">
              <w:rPr>
                <w:rFonts w:asciiTheme="minorEastAsia" w:eastAsiaTheme="minorEastAsia" w:hAnsiTheme="minorEastAsia" w:cs="Times New Roman"/>
                <w:sz w:val="24"/>
                <w:szCs w:val="24"/>
              </w:rPr>
              <w:t>4</w:t>
            </w:r>
            <w:r w:rsidRPr="003316E6">
              <w:rPr>
                <w:rFonts w:asciiTheme="minorEastAsia" w:eastAsiaTheme="minorEastAsia" w:hAnsiTheme="minorEastAsia" w:cs="Times New Roman"/>
                <w:sz w:val="24"/>
                <w:szCs w:val="24"/>
              </w:rPr>
              <w:t>年度</w:t>
            </w:r>
            <w:r w:rsidRPr="003316E6">
              <w:rPr>
                <w:rFonts w:asciiTheme="minorEastAsia" w:eastAsiaTheme="minorEastAsia" w:hAnsiTheme="minorEastAsia" w:cs="微软雅黑" w:hint="eastAsia"/>
                <w:sz w:val="24"/>
                <w:szCs w:val="24"/>
              </w:rPr>
              <w:t>暨</w:t>
            </w:r>
            <w:r w:rsidRPr="003316E6">
              <w:rPr>
                <w:rFonts w:asciiTheme="minorEastAsia" w:eastAsiaTheme="minorEastAsia" w:hAnsiTheme="minorEastAsia" w:cs="Times New Roman"/>
                <w:sz w:val="24"/>
                <w:szCs w:val="24"/>
              </w:rPr>
              <w:t>202</w:t>
            </w:r>
            <w:r w:rsidR="00040518" w:rsidRPr="003316E6">
              <w:rPr>
                <w:rFonts w:asciiTheme="minorEastAsia" w:eastAsiaTheme="minorEastAsia" w:hAnsiTheme="minorEastAsia" w:cs="Times New Roman"/>
                <w:sz w:val="24"/>
                <w:szCs w:val="24"/>
              </w:rPr>
              <w:t>5</w:t>
            </w:r>
            <w:r w:rsidRPr="003316E6">
              <w:rPr>
                <w:rFonts w:asciiTheme="minorEastAsia" w:eastAsiaTheme="minorEastAsia" w:hAnsiTheme="minorEastAsia" w:cs="微软雅黑" w:hint="eastAsia"/>
                <w:sz w:val="24"/>
                <w:szCs w:val="24"/>
              </w:rPr>
              <w:t>年第一季度业绩</w:t>
            </w:r>
            <w:r w:rsidRPr="003316E6">
              <w:rPr>
                <w:rFonts w:asciiTheme="minorEastAsia" w:eastAsiaTheme="minorEastAsia" w:hAnsiTheme="minorEastAsia" w:cs="Times New Roman"/>
                <w:sz w:val="24"/>
                <w:szCs w:val="24"/>
              </w:rPr>
              <w:t>说明会</w:t>
            </w:r>
            <w:r w:rsidRPr="003316E6">
              <w:rPr>
                <w:rFonts w:asciiTheme="minorEastAsia" w:eastAsiaTheme="minorEastAsia" w:hAnsiTheme="minorEastAsia" w:cs="微软雅黑" w:hint="eastAsia"/>
                <w:sz w:val="24"/>
                <w:szCs w:val="24"/>
              </w:rPr>
              <w:t>的投资者</w:t>
            </w:r>
          </w:p>
        </w:tc>
      </w:tr>
      <w:tr w:rsidR="004A375F" w:rsidRPr="003316E6" w14:paraId="78AE529A" w14:textId="77777777">
        <w:trPr>
          <w:trHeight w:val="1386"/>
        </w:trPr>
        <w:tc>
          <w:tcPr>
            <w:tcW w:w="1361" w:type="dxa"/>
            <w:vAlign w:val="center"/>
          </w:tcPr>
          <w:p w14:paraId="7E6CFED9"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时间</w:t>
            </w:r>
          </w:p>
        </w:tc>
        <w:tc>
          <w:tcPr>
            <w:tcW w:w="7541" w:type="dxa"/>
            <w:gridSpan w:val="2"/>
            <w:vAlign w:val="center"/>
          </w:tcPr>
          <w:p w14:paraId="3679C604" w14:textId="62AA34A2" w:rsidR="004A375F" w:rsidRPr="003316E6" w:rsidRDefault="00EF495B">
            <w:pPr>
              <w:kinsoku/>
              <w:spacing w:before="117" w:line="185" w:lineRule="auto"/>
              <w:rPr>
                <w:rFonts w:ascii="Times New Roman" w:eastAsiaTheme="minorEastAsia" w:hAnsi="Times New Roman" w:cs="Times New Roman"/>
                <w:sz w:val="24"/>
                <w:szCs w:val="24"/>
              </w:rPr>
            </w:pPr>
            <w:r w:rsidRPr="003316E6">
              <w:rPr>
                <w:rFonts w:ascii="Times New Roman" w:eastAsiaTheme="minorEastAsia" w:hAnsi="Times New Roman" w:cs="Times New Roman"/>
                <w:sz w:val="24"/>
                <w:szCs w:val="24"/>
              </w:rPr>
              <w:t>202</w:t>
            </w:r>
            <w:r w:rsidR="00040518" w:rsidRPr="003316E6">
              <w:rPr>
                <w:rFonts w:ascii="Times New Roman" w:eastAsiaTheme="minorEastAsia" w:hAnsi="Times New Roman" w:cs="Times New Roman"/>
                <w:sz w:val="24"/>
                <w:szCs w:val="24"/>
              </w:rPr>
              <w:t>5</w:t>
            </w:r>
            <w:r w:rsidRPr="003316E6">
              <w:rPr>
                <w:rFonts w:ascii="Times New Roman" w:eastAsiaTheme="minorEastAsia" w:hAnsi="Times New Roman" w:cs="Times New Roman"/>
                <w:sz w:val="24"/>
                <w:szCs w:val="24"/>
              </w:rPr>
              <w:t>年</w:t>
            </w:r>
            <w:r w:rsidRPr="003316E6">
              <w:rPr>
                <w:rFonts w:ascii="Times New Roman" w:eastAsiaTheme="minorEastAsia" w:hAnsi="Times New Roman" w:cs="Times New Roman"/>
                <w:sz w:val="24"/>
                <w:szCs w:val="24"/>
              </w:rPr>
              <w:t>5</w:t>
            </w:r>
            <w:r w:rsidRPr="003316E6">
              <w:rPr>
                <w:rFonts w:ascii="Times New Roman" w:eastAsiaTheme="minorEastAsia" w:hAnsi="Times New Roman" w:cs="Times New Roman"/>
                <w:sz w:val="24"/>
                <w:szCs w:val="24"/>
              </w:rPr>
              <w:t>月</w:t>
            </w:r>
            <w:r w:rsidR="00040518" w:rsidRPr="003316E6">
              <w:rPr>
                <w:rFonts w:ascii="Times New Roman" w:eastAsiaTheme="minorEastAsia" w:hAnsi="Times New Roman" w:cs="Times New Roman"/>
                <w:sz w:val="24"/>
                <w:szCs w:val="24"/>
              </w:rPr>
              <w:t>14</w:t>
            </w:r>
            <w:r w:rsidRPr="003316E6">
              <w:rPr>
                <w:rFonts w:ascii="Times New Roman" w:eastAsiaTheme="minorEastAsia" w:hAnsi="Times New Roman" w:cs="Times New Roman"/>
                <w:sz w:val="24"/>
                <w:szCs w:val="24"/>
              </w:rPr>
              <w:t>日</w:t>
            </w:r>
            <w:r w:rsidRPr="003316E6">
              <w:rPr>
                <w:rFonts w:ascii="Times New Roman" w:eastAsiaTheme="minorEastAsia" w:hAnsi="Times New Roman" w:cs="Times New Roman"/>
                <w:sz w:val="24"/>
                <w:szCs w:val="24"/>
              </w:rPr>
              <w:t xml:space="preserve"> </w:t>
            </w:r>
            <w:r w:rsidR="00040518" w:rsidRPr="003316E6">
              <w:rPr>
                <w:rFonts w:ascii="Times New Roman" w:eastAsiaTheme="minorEastAsia" w:hAnsi="Times New Roman" w:cs="Times New Roman"/>
                <w:sz w:val="24"/>
                <w:szCs w:val="24"/>
              </w:rPr>
              <w:t>上</w:t>
            </w:r>
            <w:r w:rsidRPr="003316E6">
              <w:rPr>
                <w:rFonts w:ascii="Times New Roman" w:eastAsiaTheme="minorEastAsia" w:hAnsi="Times New Roman" w:cs="Times New Roman"/>
                <w:sz w:val="24"/>
                <w:szCs w:val="24"/>
              </w:rPr>
              <w:t>午</w:t>
            </w:r>
            <w:r w:rsidRPr="003316E6">
              <w:rPr>
                <w:rFonts w:ascii="Times New Roman" w:eastAsiaTheme="minorEastAsia" w:hAnsi="Times New Roman" w:cs="Times New Roman"/>
                <w:sz w:val="24"/>
                <w:szCs w:val="24"/>
              </w:rPr>
              <w:t xml:space="preserve"> 1</w:t>
            </w:r>
            <w:r w:rsidR="00040518" w:rsidRPr="003316E6">
              <w:rPr>
                <w:rFonts w:ascii="Times New Roman" w:eastAsiaTheme="minorEastAsia" w:hAnsi="Times New Roman" w:cs="Times New Roman"/>
                <w:sz w:val="24"/>
                <w:szCs w:val="24"/>
              </w:rPr>
              <w:t>0</w:t>
            </w:r>
            <w:r w:rsidRPr="003316E6">
              <w:rPr>
                <w:rFonts w:ascii="Times New Roman" w:eastAsiaTheme="minorEastAsia" w:hAnsi="Times New Roman" w:cs="Times New Roman"/>
                <w:sz w:val="24"/>
                <w:szCs w:val="24"/>
              </w:rPr>
              <w:t>:</w:t>
            </w:r>
            <w:r w:rsidR="00040518" w:rsidRPr="003316E6">
              <w:rPr>
                <w:rFonts w:ascii="Times New Roman" w:eastAsiaTheme="minorEastAsia" w:hAnsi="Times New Roman" w:cs="Times New Roman"/>
                <w:sz w:val="24"/>
                <w:szCs w:val="24"/>
              </w:rPr>
              <w:t>3</w:t>
            </w:r>
            <w:r w:rsidRPr="003316E6">
              <w:rPr>
                <w:rFonts w:ascii="Times New Roman" w:eastAsiaTheme="minorEastAsia" w:hAnsi="Times New Roman" w:cs="Times New Roman"/>
                <w:sz w:val="24"/>
                <w:szCs w:val="24"/>
              </w:rPr>
              <w:t>0-1</w:t>
            </w:r>
            <w:r w:rsidR="00040518" w:rsidRPr="003316E6">
              <w:rPr>
                <w:rFonts w:ascii="Times New Roman" w:eastAsiaTheme="minorEastAsia" w:hAnsi="Times New Roman" w:cs="Times New Roman"/>
                <w:sz w:val="24"/>
                <w:szCs w:val="24"/>
              </w:rPr>
              <w:t>1</w:t>
            </w:r>
            <w:r w:rsidRPr="003316E6">
              <w:rPr>
                <w:rFonts w:ascii="Times New Roman" w:eastAsiaTheme="minorEastAsia" w:hAnsi="Times New Roman" w:cs="Times New Roman"/>
                <w:sz w:val="24"/>
                <w:szCs w:val="24"/>
              </w:rPr>
              <w:t>:</w:t>
            </w:r>
            <w:r w:rsidR="00040518" w:rsidRPr="003316E6">
              <w:rPr>
                <w:rFonts w:ascii="Times New Roman" w:eastAsiaTheme="minorEastAsia" w:hAnsi="Times New Roman" w:cs="Times New Roman"/>
                <w:sz w:val="24"/>
                <w:szCs w:val="24"/>
              </w:rPr>
              <w:t>3</w:t>
            </w:r>
            <w:r w:rsidRPr="003316E6">
              <w:rPr>
                <w:rFonts w:ascii="Times New Roman" w:eastAsiaTheme="minorEastAsia" w:hAnsi="Times New Roman" w:cs="Times New Roman"/>
                <w:sz w:val="24"/>
                <w:szCs w:val="24"/>
              </w:rPr>
              <w:t xml:space="preserve">0 </w:t>
            </w:r>
          </w:p>
        </w:tc>
      </w:tr>
      <w:tr w:rsidR="004A375F" w:rsidRPr="003316E6" w14:paraId="701ED989" w14:textId="77777777">
        <w:trPr>
          <w:trHeight w:val="1712"/>
        </w:trPr>
        <w:tc>
          <w:tcPr>
            <w:tcW w:w="1361" w:type="dxa"/>
            <w:vAlign w:val="center"/>
          </w:tcPr>
          <w:p w14:paraId="52A3E544"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地点</w:t>
            </w:r>
          </w:p>
        </w:tc>
        <w:tc>
          <w:tcPr>
            <w:tcW w:w="7541" w:type="dxa"/>
            <w:gridSpan w:val="2"/>
            <w:vAlign w:val="center"/>
          </w:tcPr>
          <w:p w14:paraId="1C011211" w14:textId="36B20AE9" w:rsidR="004A375F" w:rsidRPr="003316E6" w:rsidRDefault="00EF495B">
            <w:pPr>
              <w:rPr>
                <w:rFonts w:ascii="Times New Roman" w:eastAsia="宋体" w:hAnsi="Times New Roman" w:cs="Times New Roman"/>
                <w:sz w:val="24"/>
                <w:szCs w:val="24"/>
              </w:rPr>
            </w:pPr>
            <w:r w:rsidRPr="003316E6">
              <w:rPr>
                <w:rFonts w:ascii="Times New Roman" w:eastAsia="宋体" w:hAnsi="Times New Roman" w:cs="Times New Roman"/>
                <w:sz w:val="24"/>
                <w:szCs w:val="24"/>
              </w:rPr>
              <w:t>上海证券交易所上证路演中心（</w:t>
            </w:r>
            <w:r w:rsidRPr="003316E6">
              <w:rPr>
                <w:rFonts w:ascii="Times New Roman" w:eastAsia="宋体" w:hAnsi="Times New Roman" w:cs="Times New Roman"/>
                <w:sz w:val="24"/>
                <w:szCs w:val="24"/>
              </w:rPr>
              <w:t>http://roadshow.sseinfo.com/</w:t>
            </w:r>
            <w:r w:rsidRPr="003316E6">
              <w:rPr>
                <w:rFonts w:ascii="Times New Roman" w:eastAsia="宋体" w:hAnsi="Times New Roman" w:cs="Times New Roman"/>
                <w:sz w:val="24"/>
                <w:szCs w:val="24"/>
              </w:rPr>
              <w:t>）</w:t>
            </w:r>
          </w:p>
        </w:tc>
      </w:tr>
      <w:tr w:rsidR="004A375F" w:rsidRPr="003316E6" w14:paraId="62B34C0C" w14:textId="77777777">
        <w:trPr>
          <w:trHeight w:val="825"/>
        </w:trPr>
        <w:tc>
          <w:tcPr>
            <w:tcW w:w="1361" w:type="dxa"/>
            <w:vAlign w:val="center"/>
          </w:tcPr>
          <w:p w14:paraId="6A8C41EC"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上市公司</w:t>
            </w:r>
          </w:p>
          <w:p w14:paraId="21C9DCF8"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接待人员</w:t>
            </w:r>
          </w:p>
          <w:p w14:paraId="582ECE97"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姓名</w:t>
            </w:r>
          </w:p>
        </w:tc>
        <w:tc>
          <w:tcPr>
            <w:tcW w:w="7541" w:type="dxa"/>
            <w:gridSpan w:val="2"/>
            <w:vAlign w:val="center"/>
          </w:tcPr>
          <w:p w14:paraId="16B84F0D" w14:textId="77777777" w:rsidR="004A375F" w:rsidRPr="003316E6" w:rsidRDefault="00EF495B">
            <w:pPr>
              <w:kinsoku/>
              <w:spacing w:before="119" w:line="360" w:lineRule="auto"/>
              <w:ind w:left="112" w:right="36"/>
              <w:jc w:val="both"/>
              <w:rPr>
                <w:rFonts w:ascii="Times New Roman" w:eastAsia="宋体" w:hAnsi="Times New Roman" w:cs="Times New Roman"/>
                <w:spacing w:val="-2"/>
                <w:sz w:val="24"/>
                <w:szCs w:val="24"/>
              </w:rPr>
            </w:pPr>
            <w:r w:rsidRPr="003316E6">
              <w:rPr>
                <w:rFonts w:ascii="Times New Roman" w:eastAsia="宋体" w:hAnsi="Times New Roman" w:cs="Times New Roman"/>
                <w:spacing w:val="-2"/>
                <w:sz w:val="24"/>
                <w:szCs w:val="24"/>
              </w:rPr>
              <w:t>董事长、总经理：丁兆</w:t>
            </w:r>
          </w:p>
          <w:p w14:paraId="37BD512F" w14:textId="77777777" w:rsidR="004A375F" w:rsidRPr="003316E6" w:rsidRDefault="00EF495B">
            <w:pPr>
              <w:kinsoku/>
              <w:spacing w:before="119" w:line="360" w:lineRule="auto"/>
              <w:ind w:left="112" w:right="36"/>
              <w:jc w:val="both"/>
              <w:rPr>
                <w:rFonts w:ascii="Times New Roman" w:eastAsia="宋体" w:hAnsi="Times New Roman" w:cs="Times New Roman"/>
                <w:spacing w:val="-2"/>
                <w:sz w:val="24"/>
                <w:szCs w:val="24"/>
              </w:rPr>
            </w:pPr>
            <w:r w:rsidRPr="003316E6">
              <w:rPr>
                <w:rFonts w:ascii="Times New Roman" w:eastAsia="宋体" w:hAnsi="Times New Roman" w:cs="Times New Roman"/>
                <w:spacing w:val="-2"/>
                <w:sz w:val="24"/>
                <w:szCs w:val="24"/>
              </w:rPr>
              <w:t>董事、财务总监：高岚</w:t>
            </w:r>
          </w:p>
          <w:p w14:paraId="50DE8FBF" w14:textId="77777777" w:rsidR="004A375F" w:rsidRPr="003316E6" w:rsidRDefault="00EF495B">
            <w:pPr>
              <w:kinsoku/>
              <w:spacing w:before="119" w:line="360" w:lineRule="auto"/>
              <w:ind w:left="112" w:right="36"/>
              <w:jc w:val="both"/>
              <w:rPr>
                <w:rFonts w:ascii="Times New Roman" w:eastAsia="宋体" w:hAnsi="Times New Roman" w:cs="Times New Roman"/>
                <w:spacing w:val="-2"/>
                <w:sz w:val="24"/>
                <w:szCs w:val="24"/>
              </w:rPr>
            </w:pPr>
            <w:r w:rsidRPr="003316E6">
              <w:rPr>
                <w:rFonts w:ascii="Times New Roman" w:eastAsia="宋体" w:hAnsi="Times New Roman" w:cs="Times New Roman"/>
                <w:spacing w:val="-2"/>
                <w:sz w:val="24"/>
                <w:szCs w:val="24"/>
              </w:rPr>
              <w:t>独立董事：龙永强</w:t>
            </w:r>
          </w:p>
          <w:p w14:paraId="58F8FA9D" w14:textId="08ACB1E2" w:rsidR="00040518" w:rsidRPr="003316E6" w:rsidRDefault="00040518" w:rsidP="00040518">
            <w:pPr>
              <w:kinsoku/>
              <w:spacing w:before="119" w:line="360" w:lineRule="auto"/>
              <w:ind w:left="112" w:right="36"/>
              <w:jc w:val="both"/>
              <w:rPr>
                <w:rFonts w:ascii="Times New Roman" w:eastAsia="宋体" w:hAnsi="Times New Roman" w:cs="Times New Roman"/>
                <w:spacing w:val="-2"/>
                <w:sz w:val="24"/>
                <w:szCs w:val="24"/>
              </w:rPr>
            </w:pPr>
            <w:r w:rsidRPr="003316E6">
              <w:rPr>
                <w:rFonts w:ascii="Times New Roman" w:eastAsia="宋体" w:hAnsi="Times New Roman" w:cs="Times New Roman"/>
                <w:spacing w:val="-2"/>
                <w:sz w:val="24"/>
                <w:szCs w:val="24"/>
              </w:rPr>
              <w:t>副总经理、董事会秘书：张春平</w:t>
            </w:r>
          </w:p>
        </w:tc>
      </w:tr>
    </w:tbl>
    <w:p w14:paraId="13796199" w14:textId="77777777" w:rsidR="004A375F" w:rsidRPr="003316E6" w:rsidRDefault="00EF495B">
      <w:pPr>
        <w:rPr>
          <w:rFonts w:ascii="Times New Roman" w:hAnsi="Times New Roman" w:cs="Times New Roman"/>
        </w:rPr>
      </w:pPr>
      <w:r w:rsidRPr="003316E6">
        <w:rPr>
          <w:rFonts w:ascii="Times New Roman" w:hAnsi="Times New Roman" w:cs="Times New Roman"/>
        </w:rPr>
        <w:br w:type="page"/>
      </w:r>
    </w:p>
    <w:tbl>
      <w:tblPr>
        <w:tblStyle w:val="TableNormal"/>
        <w:tblW w:w="890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113" w:type="dxa"/>
          <w:bottom w:w="113" w:type="dxa"/>
          <w:right w:w="113" w:type="dxa"/>
        </w:tblCellMar>
        <w:tblLook w:val="04A0" w:firstRow="1" w:lastRow="0" w:firstColumn="1" w:lastColumn="0" w:noHBand="0" w:noVBand="1"/>
      </w:tblPr>
      <w:tblGrid>
        <w:gridCol w:w="1425"/>
        <w:gridCol w:w="7477"/>
      </w:tblGrid>
      <w:tr w:rsidR="004A375F" w:rsidRPr="003316E6" w14:paraId="1B4DA6BF" w14:textId="77777777">
        <w:trPr>
          <w:trHeight w:val="15642"/>
        </w:trPr>
        <w:tc>
          <w:tcPr>
            <w:tcW w:w="1425" w:type="dxa"/>
            <w:vAlign w:val="center"/>
          </w:tcPr>
          <w:p w14:paraId="32A1DA03" w14:textId="77777777" w:rsidR="004A375F" w:rsidRPr="003316E6" w:rsidRDefault="00EF495B">
            <w:pPr>
              <w:kinsoku/>
              <w:spacing w:before="78" w:line="359" w:lineRule="auto"/>
              <w:ind w:left="115" w:right="109" w:firstLine="1"/>
              <w:jc w:val="center"/>
              <w:rPr>
                <w:rFonts w:ascii="Times New Roman" w:eastAsia="宋体" w:hAnsi="Times New Roman" w:cs="Times New Roman"/>
                <w:sz w:val="24"/>
                <w:szCs w:val="24"/>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lastRenderedPageBreak/>
              <w:t>投资者关系活动主要内容介绍</w:t>
            </w:r>
          </w:p>
        </w:tc>
        <w:tc>
          <w:tcPr>
            <w:tcW w:w="7477" w:type="dxa"/>
            <w:vAlign w:val="center"/>
          </w:tcPr>
          <w:p w14:paraId="51165EF1" w14:textId="77777777" w:rsidR="004A375F" w:rsidRPr="003316E6" w:rsidRDefault="00EF495B">
            <w:pPr>
              <w:numPr>
                <w:ilvl w:val="0"/>
                <w:numId w:val="1"/>
              </w:numPr>
              <w:kinsoku/>
              <w:spacing w:before="119" w:line="360" w:lineRule="auto"/>
              <w:ind w:right="36"/>
              <w:jc w:val="both"/>
              <w:rPr>
                <w:rFonts w:ascii="Times New Roman" w:eastAsia="宋体" w:hAnsi="Times New Roman" w:cs="Times New Roman"/>
                <w:b/>
                <w:bCs/>
                <w:color w:val="auto"/>
                <w:spacing w:val="-5"/>
                <w:sz w:val="24"/>
                <w:szCs w:val="24"/>
              </w:rPr>
            </w:pPr>
            <w:r w:rsidRPr="003316E6">
              <w:rPr>
                <w:rFonts w:ascii="Times New Roman" w:eastAsia="宋体" w:hAnsi="Times New Roman" w:cs="Times New Roman"/>
                <w:b/>
                <w:bCs/>
                <w:color w:val="auto"/>
                <w:spacing w:val="-5"/>
                <w:sz w:val="24"/>
                <w:szCs w:val="24"/>
              </w:rPr>
              <w:t>经营情况</w:t>
            </w:r>
          </w:p>
          <w:p w14:paraId="697BF9E7" w14:textId="77777777" w:rsidR="00040518" w:rsidRPr="003316E6" w:rsidRDefault="00040518" w:rsidP="00040518">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汇宇制药是一家研发驱动型的综合制药企业，主要从事肿瘤创新药和优质仿制药的研发、生产和国内外销售。为全球患者提供疗效确切、质量精湛、价格合理的药品，让癌症成为一种可以控制的疾病。</w:t>
            </w:r>
          </w:p>
          <w:p w14:paraId="542F0FAC" w14:textId="36CB1ABC" w:rsidR="00040518" w:rsidRPr="003316E6" w:rsidRDefault="00040518" w:rsidP="00040518">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年，公司实现营业收入约</w:t>
            </w:r>
            <w:r w:rsidRPr="003316E6">
              <w:rPr>
                <w:rFonts w:ascii="Times New Roman" w:eastAsia="宋体" w:hAnsi="Times New Roman" w:cs="Times New Roman"/>
                <w:color w:val="auto"/>
                <w:spacing w:val="-2"/>
                <w:sz w:val="24"/>
                <w:szCs w:val="24"/>
              </w:rPr>
              <w:t>10.94</w:t>
            </w:r>
            <w:r w:rsidRPr="003316E6">
              <w:rPr>
                <w:rFonts w:ascii="Times New Roman" w:eastAsia="宋体" w:hAnsi="Times New Roman" w:cs="Times New Roman"/>
                <w:color w:val="auto"/>
                <w:spacing w:val="-2"/>
                <w:sz w:val="24"/>
                <w:szCs w:val="24"/>
              </w:rPr>
              <w:t>亿元，较上年同期增长</w:t>
            </w:r>
            <w:r w:rsidRPr="003316E6">
              <w:rPr>
                <w:rFonts w:ascii="Times New Roman" w:eastAsia="宋体" w:hAnsi="Times New Roman" w:cs="Times New Roman"/>
                <w:color w:val="auto"/>
                <w:spacing w:val="-2"/>
                <w:sz w:val="24"/>
                <w:szCs w:val="24"/>
              </w:rPr>
              <w:t>18.05%</w:t>
            </w:r>
            <w:r w:rsidRPr="003316E6">
              <w:rPr>
                <w:rFonts w:ascii="Times New Roman" w:eastAsia="宋体" w:hAnsi="Times New Roman" w:cs="Times New Roman"/>
                <w:color w:val="auto"/>
                <w:spacing w:val="-2"/>
                <w:sz w:val="24"/>
                <w:szCs w:val="24"/>
              </w:rPr>
              <w:t>；实现归属于母公司所有者的净利润约</w:t>
            </w:r>
            <w:r w:rsidRPr="003316E6">
              <w:rPr>
                <w:rFonts w:ascii="Times New Roman" w:eastAsia="宋体" w:hAnsi="Times New Roman" w:cs="Times New Roman"/>
                <w:color w:val="auto"/>
                <w:spacing w:val="-2"/>
                <w:sz w:val="24"/>
                <w:szCs w:val="24"/>
              </w:rPr>
              <w:t>3.25</w:t>
            </w:r>
            <w:r w:rsidRPr="003316E6">
              <w:rPr>
                <w:rFonts w:ascii="Times New Roman" w:eastAsia="宋体" w:hAnsi="Times New Roman" w:cs="Times New Roman"/>
                <w:color w:val="auto"/>
                <w:spacing w:val="-2"/>
                <w:sz w:val="24"/>
                <w:szCs w:val="24"/>
              </w:rPr>
              <w:t>亿元，较上年同期增长</w:t>
            </w:r>
            <w:r w:rsidRPr="003316E6">
              <w:rPr>
                <w:rFonts w:ascii="Times New Roman" w:eastAsia="宋体" w:hAnsi="Times New Roman" w:cs="Times New Roman"/>
                <w:color w:val="auto"/>
                <w:spacing w:val="-2"/>
                <w:sz w:val="24"/>
                <w:szCs w:val="24"/>
              </w:rPr>
              <w:t>132.78%</w:t>
            </w:r>
            <w:r w:rsidRPr="003316E6">
              <w:rPr>
                <w:rFonts w:ascii="Times New Roman" w:eastAsia="宋体" w:hAnsi="Times New Roman" w:cs="Times New Roman"/>
                <w:color w:val="auto"/>
                <w:spacing w:val="-2"/>
                <w:sz w:val="24"/>
                <w:szCs w:val="24"/>
              </w:rPr>
              <w:t>；实现扣除非经常性损益归属上市公司股东的净利润约</w:t>
            </w:r>
            <w:r w:rsidRPr="003316E6">
              <w:rPr>
                <w:rFonts w:ascii="Times New Roman" w:eastAsia="宋体" w:hAnsi="Times New Roman" w:cs="Times New Roman"/>
                <w:color w:val="auto"/>
                <w:spacing w:val="-2"/>
                <w:sz w:val="24"/>
                <w:szCs w:val="24"/>
              </w:rPr>
              <w:t>9,211.71</w:t>
            </w:r>
            <w:r w:rsidRPr="003316E6">
              <w:rPr>
                <w:rFonts w:ascii="Times New Roman" w:eastAsia="宋体" w:hAnsi="Times New Roman" w:cs="Times New Roman"/>
                <w:color w:val="auto"/>
                <w:spacing w:val="-2"/>
                <w:sz w:val="24"/>
                <w:szCs w:val="24"/>
              </w:rPr>
              <w:t>万元，较上年同期增长</w:t>
            </w:r>
            <w:r w:rsidRPr="003316E6">
              <w:rPr>
                <w:rFonts w:ascii="Times New Roman" w:eastAsia="宋体" w:hAnsi="Times New Roman" w:cs="Times New Roman"/>
                <w:color w:val="auto"/>
                <w:spacing w:val="-2"/>
                <w:sz w:val="24"/>
                <w:szCs w:val="24"/>
              </w:rPr>
              <w:t>39.55%</w:t>
            </w:r>
            <w:r w:rsidRPr="003316E6">
              <w:rPr>
                <w:rFonts w:ascii="Times New Roman" w:eastAsia="宋体" w:hAnsi="Times New Roman" w:cs="Times New Roman"/>
                <w:color w:val="auto"/>
                <w:spacing w:val="-2"/>
                <w:sz w:val="24"/>
                <w:szCs w:val="24"/>
              </w:rPr>
              <w:t>。其中，国内销售收入约</w:t>
            </w:r>
            <w:r w:rsidRPr="003316E6">
              <w:rPr>
                <w:rFonts w:ascii="Times New Roman" w:eastAsia="宋体" w:hAnsi="Times New Roman" w:cs="Times New Roman"/>
                <w:color w:val="auto"/>
                <w:spacing w:val="-2"/>
                <w:sz w:val="24"/>
                <w:szCs w:val="24"/>
              </w:rPr>
              <w:t>9.28</w:t>
            </w:r>
            <w:r w:rsidRPr="003316E6">
              <w:rPr>
                <w:rFonts w:ascii="Times New Roman" w:eastAsia="宋体" w:hAnsi="Times New Roman" w:cs="Times New Roman"/>
                <w:color w:val="auto"/>
                <w:spacing w:val="-2"/>
                <w:sz w:val="24"/>
                <w:szCs w:val="24"/>
              </w:rPr>
              <w:t>亿元，同比</w:t>
            </w:r>
            <w:r w:rsidRPr="003316E6">
              <w:rPr>
                <w:rFonts w:ascii="Times New Roman" w:eastAsia="宋体" w:hAnsi="Times New Roman" w:cs="Times New Roman"/>
                <w:color w:val="auto"/>
                <w:spacing w:val="-2"/>
                <w:sz w:val="24"/>
                <w:szCs w:val="24"/>
              </w:rPr>
              <w:t>2023</w:t>
            </w:r>
            <w:r w:rsidRPr="003316E6">
              <w:rPr>
                <w:rFonts w:ascii="Times New Roman" w:eastAsia="宋体" w:hAnsi="Times New Roman" w:cs="Times New Roman"/>
                <w:color w:val="auto"/>
                <w:spacing w:val="-2"/>
                <w:sz w:val="24"/>
                <w:szCs w:val="24"/>
              </w:rPr>
              <w:t>年增长率为</w:t>
            </w:r>
            <w:r w:rsidRPr="003316E6">
              <w:rPr>
                <w:rFonts w:ascii="Times New Roman" w:eastAsia="宋体" w:hAnsi="Times New Roman" w:cs="Times New Roman"/>
                <w:color w:val="auto"/>
                <w:spacing w:val="-2"/>
                <w:sz w:val="24"/>
                <w:szCs w:val="24"/>
              </w:rPr>
              <w:t>10.12%</w:t>
            </w:r>
            <w:r w:rsidRPr="003316E6">
              <w:rPr>
                <w:rFonts w:ascii="Times New Roman" w:eastAsia="宋体" w:hAnsi="Times New Roman" w:cs="Times New Roman"/>
                <w:color w:val="auto"/>
                <w:spacing w:val="-2"/>
                <w:sz w:val="24"/>
                <w:szCs w:val="24"/>
              </w:rPr>
              <w:t>。国外销售收入约</w:t>
            </w:r>
            <w:r w:rsidRPr="003316E6">
              <w:rPr>
                <w:rFonts w:ascii="Times New Roman" w:eastAsia="宋体" w:hAnsi="Times New Roman" w:cs="Times New Roman"/>
                <w:color w:val="auto"/>
                <w:spacing w:val="-2"/>
                <w:sz w:val="24"/>
                <w:szCs w:val="24"/>
              </w:rPr>
              <w:t>1.66</w:t>
            </w:r>
            <w:r w:rsidRPr="003316E6">
              <w:rPr>
                <w:rFonts w:ascii="Times New Roman" w:eastAsia="宋体" w:hAnsi="Times New Roman" w:cs="Times New Roman"/>
                <w:color w:val="auto"/>
                <w:spacing w:val="-2"/>
                <w:sz w:val="24"/>
                <w:szCs w:val="24"/>
              </w:rPr>
              <w:t>亿元，同比</w:t>
            </w:r>
            <w:r w:rsidRPr="003316E6">
              <w:rPr>
                <w:rFonts w:ascii="Times New Roman" w:eastAsia="宋体" w:hAnsi="Times New Roman" w:cs="Times New Roman"/>
                <w:color w:val="auto"/>
                <w:spacing w:val="-2"/>
                <w:sz w:val="24"/>
                <w:szCs w:val="24"/>
              </w:rPr>
              <w:t>2023</w:t>
            </w:r>
            <w:r w:rsidRPr="003316E6">
              <w:rPr>
                <w:rFonts w:ascii="Times New Roman" w:eastAsia="宋体" w:hAnsi="Times New Roman" w:cs="Times New Roman"/>
                <w:color w:val="auto"/>
                <w:spacing w:val="-2"/>
                <w:sz w:val="24"/>
                <w:szCs w:val="24"/>
              </w:rPr>
              <w:t>年增长率达到</w:t>
            </w:r>
            <w:r w:rsidRPr="003316E6">
              <w:rPr>
                <w:rFonts w:ascii="Times New Roman" w:eastAsia="宋体" w:hAnsi="Times New Roman" w:cs="Times New Roman"/>
                <w:color w:val="auto"/>
                <w:spacing w:val="-2"/>
                <w:sz w:val="24"/>
                <w:szCs w:val="24"/>
              </w:rPr>
              <w:t>97.12%</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年，公司研发投入总额为</w:t>
            </w:r>
            <w:r w:rsidRPr="003316E6">
              <w:rPr>
                <w:rFonts w:ascii="Times New Roman" w:eastAsia="宋体" w:hAnsi="Times New Roman" w:cs="Times New Roman"/>
                <w:color w:val="auto"/>
                <w:spacing w:val="-2"/>
                <w:sz w:val="24"/>
                <w:szCs w:val="24"/>
              </w:rPr>
              <w:t>34,620.95</w:t>
            </w:r>
            <w:r w:rsidRPr="003316E6">
              <w:rPr>
                <w:rFonts w:ascii="Times New Roman" w:eastAsia="宋体" w:hAnsi="Times New Roman" w:cs="Times New Roman"/>
                <w:color w:val="auto"/>
                <w:spacing w:val="-2"/>
                <w:sz w:val="24"/>
                <w:szCs w:val="24"/>
              </w:rPr>
              <w:t>万元，占营业收入比例为</w:t>
            </w:r>
            <w:r w:rsidRPr="003316E6">
              <w:rPr>
                <w:rFonts w:ascii="Times New Roman" w:eastAsia="宋体" w:hAnsi="Times New Roman" w:cs="Times New Roman"/>
                <w:color w:val="auto"/>
                <w:spacing w:val="-2"/>
                <w:sz w:val="24"/>
                <w:szCs w:val="24"/>
              </w:rPr>
              <w:t>31.64%</w:t>
            </w:r>
            <w:r w:rsidRPr="003316E6">
              <w:rPr>
                <w:rFonts w:ascii="Times New Roman" w:eastAsia="宋体" w:hAnsi="Times New Roman" w:cs="Times New Roman"/>
                <w:color w:val="auto"/>
                <w:spacing w:val="-2"/>
                <w:sz w:val="24"/>
                <w:szCs w:val="24"/>
              </w:rPr>
              <w:t>，研发投入给公司技术创新能力和新产品开发能力所带来的提升效应将会在未来较长的时间内逐步显现。</w:t>
            </w:r>
            <w:r w:rsidRPr="003316E6">
              <w:rPr>
                <w:rFonts w:ascii="Times New Roman" w:eastAsia="宋体" w:hAnsi="Times New Roman" w:cs="Times New Roman"/>
                <w:color w:val="auto"/>
                <w:spacing w:val="-2"/>
                <w:sz w:val="24"/>
                <w:szCs w:val="24"/>
              </w:rPr>
              <w:t>2025</w:t>
            </w:r>
            <w:r w:rsidRPr="003316E6">
              <w:rPr>
                <w:rFonts w:ascii="Times New Roman" w:eastAsia="宋体" w:hAnsi="Times New Roman" w:cs="Times New Roman"/>
                <w:color w:val="auto"/>
                <w:spacing w:val="-2"/>
                <w:sz w:val="24"/>
                <w:szCs w:val="24"/>
              </w:rPr>
              <w:t>年一季度，公司实现营业收入</w:t>
            </w:r>
            <w:r w:rsidRPr="003316E6">
              <w:rPr>
                <w:rFonts w:ascii="Times New Roman" w:eastAsia="宋体" w:hAnsi="Times New Roman" w:cs="Times New Roman"/>
                <w:color w:val="auto"/>
                <w:spacing w:val="-2"/>
                <w:sz w:val="24"/>
                <w:szCs w:val="24"/>
              </w:rPr>
              <w:t>2.39</w:t>
            </w:r>
            <w:r w:rsidRPr="003316E6">
              <w:rPr>
                <w:rFonts w:ascii="Times New Roman" w:eastAsia="宋体" w:hAnsi="Times New Roman" w:cs="Times New Roman"/>
                <w:color w:val="auto"/>
                <w:spacing w:val="-2"/>
                <w:sz w:val="24"/>
                <w:szCs w:val="24"/>
              </w:rPr>
              <w:t>亿元，实现归属于上市公司股东的扣除非经常性损益的净利润</w:t>
            </w:r>
            <w:r w:rsidRPr="003316E6">
              <w:rPr>
                <w:rFonts w:ascii="Times New Roman" w:eastAsia="宋体" w:hAnsi="Times New Roman" w:cs="Times New Roman"/>
                <w:color w:val="auto"/>
                <w:spacing w:val="-2"/>
                <w:sz w:val="24"/>
                <w:szCs w:val="24"/>
              </w:rPr>
              <w:t>0.34</w:t>
            </w:r>
            <w:r w:rsidRPr="003316E6">
              <w:rPr>
                <w:rFonts w:ascii="Times New Roman" w:eastAsia="宋体" w:hAnsi="Times New Roman" w:cs="Times New Roman"/>
                <w:color w:val="auto"/>
                <w:spacing w:val="-2"/>
                <w:sz w:val="24"/>
                <w:szCs w:val="24"/>
              </w:rPr>
              <w:t>亿元。</w:t>
            </w:r>
          </w:p>
          <w:p w14:paraId="2C7923E2" w14:textId="21BA7FE5" w:rsidR="00040518" w:rsidRPr="003316E6" w:rsidRDefault="00040518" w:rsidP="00040518">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公司全面拥抱创新，加速研发布局，在研</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类创新药项目有</w:t>
            </w:r>
            <w:r w:rsidRPr="003316E6">
              <w:rPr>
                <w:rFonts w:ascii="Times New Roman" w:eastAsia="宋体" w:hAnsi="Times New Roman" w:cs="Times New Roman"/>
                <w:color w:val="auto"/>
                <w:spacing w:val="-2"/>
                <w:sz w:val="24"/>
                <w:szCs w:val="24"/>
              </w:rPr>
              <w:t>14</w:t>
            </w:r>
            <w:r w:rsidRPr="003316E6">
              <w:rPr>
                <w:rFonts w:ascii="Times New Roman" w:eastAsia="宋体" w:hAnsi="Times New Roman" w:cs="Times New Roman"/>
                <w:color w:val="auto"/>
                <w:spacing w:val="-2"/>
                <w:sz w:val="24"/>
                <w:szCs w:val="24"/>
              </w:rPr>
              <w:t>个，包括双靶点小分子项目、三抗</w:t>
            </w:r>
            <w:r w:rsidRPr="003316E6">
              <w:rPr>
                <w:rFonts w:ascii="Times New Roman" w:eastAsia="宋体" w:hAnsi="Times New Roman" w:cs="Times New Roman"/>
                <w:color w:val="auto"/>
                <w:spacing w:val="-2"/>
                <w:sz w:val="24"/>
                <w:szCs w:val="24"/>
              </w:rPr>
              <w:t>/ADC</w:t>
            </w:r>
            <w:r w:rsidRPr="003316E6">
              <w:rPr>
                <w:rFonts w:ascii="Times New Roman" w:eastAsia="宋体" w:hAnsi="Times New Roman" w:cs="Times New Roman"/>
                <w:color w:val="auto"/>
                <w:spacing w:val="-2"/>
                <w:sz w:val="24"/>
                <w:szCs w:val="24"/>
              </w:rPr>
              <w:t>生物药项目，并有</w:t>
            </w:r>
            <w:r w:rsidRPr="003316E6">
              <w:rPr>
                <w:rFonts w:ascii="Times New Roman" w:eastAsia="宋体" w:hAnsi="Times New Roman" w:cs="Times New Roman"/>
                <w:color w:val="auto"/>
                <w:spacing w:val="-2"/>
                <w:sz w:val="24"/>
                <w:szCs w:val="24"/>
              </w:rPr>
              <w:t>5</w:t>
            </w:r>
            <w:r w:rsidRPr="003316E6">
              <w:rPr>
                <w:rFonts w:ascii="Times New Roman" w:eastAsia="宋体" w:hAnsi="Times New Roman" w:cs="Times New Roman"/>
                <w:color w:val="auto"/>
                <w:spacing w:val="-2"/>
                <w:sz w:val="24"/>
                <w:szCs w:val="24"/>
              </w:rPr>
              <w:t>个改良型新药项目。预计未来</w:t>
            </w:r>
            <w:r w:rsidRPr="003316E6">
              <w:rPr>
                <w:rFonts w:ascii="Times New Roman" w:eastAsia="宋体" w:hAnsi="Times New Roman" w:cs="Times New Roman"/>
                <w:color w:val="auto"/>
                <w:spacing w:val="-2"/>
                <w:sz w:val="24"/>
                <w:szCs w:val="24"/>
              </w:rPr>
              <w:t>3</w:t>
            </w:r>
            <w:r w:rsidRPr="003316E6">
              <w:rPr>
                <w:rFonts w:ascii="Times New Roman" w:eastAsia="宋体" w:hAnsi="Times New Roman" w:cs="Times New Roman"/>
                <w:color w:val="auto"/>
                <w:spacing w:val="-2"/>
                <w:sz w:val="24"/>
                <w:szCs w:val="24"/>
              </w:rPr>
              <w:t>年，每年都将有</w:t>
            </w:r>
            <w:r w:rsidRPr="003316E6">
              <w:rPr>
                <w:rFonts w:ascii="Times New Roman" w:eastAsia="宋体" w:hAnsi="Times New Roman" w:cs="Times New Roman"/>
                <w:color w:val="auto"/>
                <w:spacing w:val="-2"/>
                <w:sz w:val="24"/>
                <w:szCs w:val="24"/>
              </w:rPr>
              <w:t>2-3</w:t>
            </w:r>
            <w:r w:rsidRPr="003316E6">
              <w:rPr>
                <w:rFonts w:ascii="Times New Roman" w:eastAsia="宋体" w:hAnsi="Times New Roman" w:cs="Times New Roman"/>
                <w:color w:val="auto"/>
                <w:spacing w:val="-2"/>
                <w:sz w:val="24"/>
                <w:szCs w:val="24"/>
              </w:rPr>
              <w:t>个创新药进入临床阶段。公司首个</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类双靶点化学创新药</w:t>
            </w:r>
            <w:r w:rsidRPr="003316E6">
              <w:rPr>
                <w:rFonts w:ascii="Times New Roman" w:eastAsia="宋体" w:hAnsi="Times New Roman" w:cs="Times New Roman"/>
                <w:color w:val="auto"/>
                <w:spacing w:val="-2"/>
                <w:sz w:val="24"/>
                <w:szCs w:val="24"/>
              </w:rPr>
              <w:t>HY-0002a</w:t>
            </w:r>
            <w:r w:rsidRPr="003316E6">
              <w:rPr>
                <w:rFonts w:ascii="Times New Roman" w:eastAsia="宋体" w:hAnsi="Times New Roman" w:cs="Times New Roman"/>
                <w:color w:val="auto"/>
                <w:spacing w:val="-2"/>
                <w:sz w:val="24"/>
                <w:szCs w:val="24"/>
              </w:rPr>
              <w:t>项目持续推进</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期临床研究；首个</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类生物创新药</w:t>
            </w:r>
            <w:r w:rsidRPr="003316E6">
              <w:rPr>
                <w:rFonts w:ascii="Times New Roman" w:eastAsia="宋体" w:hAnsi="Times New Roman" w:cs="Times New Roman"/>
                <w:color w:val="auto"/>
                <w:spacing w:val="-2"/>
                <w:sz w:val="24"/>
                <w:szCs w:val="24"/>
              </w:rPr>
              <w:t>HY-0007</w:t>
            </w:r>
            <w:r w:rsidRPr="003316E6">
              <w:rPr>
                <w:rFonts w:ascii="Times New Roman" w:eastAsia="宋体" w:hAnsi="Times New Roman" w:cs="Times New Roman"/>
                <w:color w:val="auto"/>
                <w:spacing w:val="-2"/>
                <w:sz w:val="24"/>
                <w:szCs w:val="24"/>
              </w:rPr>
              <w:t>项目已获得临床研究批件并启动临床</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期研究，第二个</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类化学创新药</w:t>
            </w:r>
            <w:r w:rsidRPr="003316E6">
              <w:rPr>
                <w:rFonts w:ascii="Times New Roman" w:eastAsia="宋体" w:hAnsi="Times New Roman" w:cs="Times New Roman"/>
                <w:color w:val="auto"/>
                <w:spacing w:val="-2"/>
                <w:sz w:val="24"/>
                <w:szCs w:val="24"/>
              </w:rPr>
              <w:t>HY-0006</w:t>
            </w:r>
            <w:r w:rsidRPr="003316E6">
              <w:rPr>
                <w:rFonts w:ascii="Times New Roman" w:eastAsia="宋体" w:hAnsi="Times New Roman" w:cs="Times New Roman"/>
                <w:color w:val="auto"/>
                <w:spacing w:val="-2"/>
                <w:sz w:val="24"/>
                <w:szCs w:val="24"/>
              </w:rPr>
              <w:t>项目已获得临床研究批件并启动临床</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期研究。公司自主研发的生物创新药</w:t>
            </w:r>
            <w:r w:rsidRPr="003316E6">
              <w:rPr>
                <w:rFonts w:ascii="Times New Roman" w:eastAsia="宋体" w:hAnsi="Times New Roman" w:cs="Times New Roman"/>
                <w:color w:val="auto"/>
                <w:spacing w:val="-2"/>
                <w:sz w:val="24"/>
                <w:szCs w:val="24"/>
              </w:rPr>
              <w:t>HY-0001a</w:t>
            </w:r>
            <w:r w:rsidRPr="003316E6">
              <w:rPr>
                <w:rFonts w:ascii="Times New Roman" w:eastAsia="宋体" w:hAnsi="Times New Roman" w:cs="Times New Roman"/>
                <w:color w:val="auto"/>
                <w:spacing w:val="-2"/>
                <w:sz w:val="24"/>
                <w:szCs w:val="24"/>
              </w:rPr>
              <w:t>和生物创新药</w:t>
            </w:r>
            <w:r w:rsidRPr="003316E6">
              <w:rPr>
                <w:rFonts w:ascii="Times New Roman" w:eastAsia="宋体" w:hAnsi="Times New Roman" w:cs="Times New Roman"/>
                <w:color w:val="auto"/>
                <w:spacing w:val="-2"/>
                <w:sz w:val="24"/>
                <w:szCs w:val="24"/>
              </w:rPr>
              <w:t>HY-0005</w:t>
            </w:r>
            <w:r w:rsidRPr="003316E6">
              <w:rPr>
                <w:rFonts w:ascii="Times New Roman" w:eastAsia="宋体" w:hAnsi="Times New Roman" w:cs="Times New Roman"/>
                <w:color w:val="auto"/>
                <w:spacing w:val="-2"/>
                <w:sz w:val="24"/>
                <w:szCs w:val="24"/>
              </w:rPr>
              <w:t>临床试验申请已获得受理。另外，公司自主研发的改良型新药</w:t>
            </w:r>
            <w:r w:rsidRPr="003316E6">
              <w:rPr>
                <w:rFonts w:ascii="Times New Roman" w:eastAsia="宋体" w:hAnsi="Times New Roman" w:cs="Times New Roman"/>
                <w:color w:val="auto"/>
                <w:spacing w:val="-2"/>
                <w:sz w:val="24"/>
                <w:szCs w:val="24"/>
              </w:rPr>
              <w:t>HY-2003</w:t>
            </w:r>
            <w:r w:rsidRPr="003316E6">
              <w:rPr>
                <w:rFonts w:ascii="Times New Roman" w:eastAsia="宋体" w:hAnsi="Times New Roman" w:cs="Times New Roman"/>
                <w:color w:val="auto"/>
                <w:spacing w:val="-2"/>
                <w:sz w:val="24"/>
                <w:szCs w:val="24"/>
              </w:rPr>
              <w:t>项目已获得临床研究批件，并完成</w:t>
            </w:r>
            <w:r w:rsidRPr="003316E6">
              <w:rPr>
                <w:rFonts w:ascii="Times New Roman" w:eastAsia="宋体" w:hAnsi="Times New Roman" w:cs="Times New Roman"/>
                <w:color w:val="auto"/>
                <w:spacing w:val="-2"/>
                <w:sz w:val="24"/>
                <w:szCs w:val="24"/>
              </w:rPr>
              <w:t>I</w:t>
            </w:r>
            <w:r w:rsidRPr="003316E6">
              <w:rPr>
                <w:rFonts w:ascii="Times New Roman" w:eastAsia="宋体" w:hAnsi="Times New Roman" w:cs="Times New Roman"/>
                <w:color w:val="auto"/>
                <w:spacing w:val="-2"/>
                <w:sz w:val="24"/>
                <w:szCs w:val="24"/>
              </w:rPr>
              <w:t>期临床试验首例受试者给药。</w:t>
            </w:r>
          </w:p>
          <w:p w14:paraId="3E626C3E" w14:textId="0AC93934" w:rsidR="00040518" w:rsidRPr="003316E6" w:rsidRDefault="00040518" w:rsidP="00040518">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在仿制药上，公司严格把握立项标准，实施</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高壁垒</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高投入产出比</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首仿</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的立项策略。截至</w:t>
            </w:r>
            <w:r w:rsidRPr="003316E6">
              <w:rPr>
                <w:rFonts w:ascii="Times New Roman" w:eastAsia="宋体" w:hAnsi="Times New Roman" w:cs="Times New Roman"/>
                <w:color w:val="auto"/>
                <w:spacing w:val="-2"/>
                <w:sz w:val="24"/>
                <w:szCs w:val="24"/>
              </w:rPr>
              <w:t>2025</w:t>
            </w:r>
            <w:r w:rsidRPr="003316E6">
              <w:rPr>
                <w:rFonts w:ascii="Times New Roman" w:eastAsia="宋体" w:hAnsi="Times New Roman" w:cs="Times New Roman"/>
                <w:color w:val="auto"/>
                <w:spacing w:val="-2"/>
                <w:sz w:val="24"/>
                <w:szCs w:val="24"/>
              </w:rPr>
              <w:t>年</w:t>
            </w:r>
            <w:r w:rsidRPr="003316E6">
              <w:rPr>
                <w:rFonts w:ascii="Times New Roman" w:eastAsia="宋体" w:hAnsi="Times New Roman" w:cs="Times New Roman"/>
                <w:color w:val="auto"/>
                <w:spacing w:val="-2"/>
                <w:sz w:val="24"/>
                <w:szCs w:val="24"/>
              </w:rPr>
              <w:t>4</w:t>
            </w:r>
            <w:r w:rsidRPr="003316E6">
              <w:rPr>
                <w:rFonts w:ascii="Times New Roman" w:eastAsia="宋体" w:hAnsi="Times New Roman" w:cs="Times New Roman"/>
                <w:color w:val="auto"/>
                <w:spacing w:val="-2"/>
                <w:sz w:val="24"/>
                <w:szCs w:val="24"/>
              </w:rPr>
              <w:t>月</w:t>
            </w:r>
            <w:r w:rsidRPr="003316E6">
              <w:rPr>
                <w:rFonts w:ascii="Times New Roman" w:eastAsia="宋体" w:hAnsi="Times New Roman" w:cs="Times New Roman"/>
                <w:color w:val="auto"/>
                <w:spacing w:val="-2"/>
                <w:sz w:val="24"/>
                <w:szCs w:val="24"/>
              </w:rPr>
              <w:t>30</w:t>
            </w:r>
            <w:r w:rsidRPr="003316E6">
              <w:rPr>
                <w:rFonts w:ascii="Times New Roman" w:eastAsia="宋体" w:hAnsi="Times New Roman" w:cs="Times New Roman"/>
                <w:color w:val="auto"/>
                <w:spacing w:val="-2"/>
                <w:sz w:val="24"/>
                <w:szCs w:val="24"/>
              </w:rPr>
              <w:t>日，公司国内累计上市药品达到</w:t>
            </w:r>
            <w:r w:rsidRPr="003316E6">
              <w:rPr>
                <w:rFonts w:ascii="Times New Roman" w:eastAsia="宋体" w:hAnsi="Times New Roman" w:cs="Times New Roman"/>
                <w:color w:val="auto"/>
                <w:spacing w:val="-2"/>
                <w:sz w:val="24"/>
                <w:szCs w:val="24"/>
              </w:rPr>
              <w:t>41</w:t>
            </w:r>
            <w:r w:rsidRPr="003316E6">
              <w:rPr>
                <w:rFonts w:ascii="Times New Roman" w:eastAsia="宋体" w:hAnsi="Times New Roman" w:cs="Times New Roman"/>
                <w:color w:val="auto"/>
                <w:spacing w:val="-2"/>
                <w:sz w:val="24"/>
                <w:szCs w:val="24"/>
              </w:rPr>
              <w:t>个，国外累计上市药品达</w:t>
            </w:r>
            <w:r w:rsidRPr="003316E6">
              <w:rPr>
                <w:rFonts w:ascii="Times New Roman" w:eastAsia="宋体" w:hAnsi="Times New Roman" w:cs="Times New Roman"/>
                <w:color w:val="auto"/>
                <w:spacing w:val="-2"/>
                <w:sz w:val="24"/>
                <w:szCs w:val="24"/>
              </w:rPr>
              <w:t>26</w:t>
            </w:r>
            <w:r w:rsidRPr="003316E6">
              <w:rPr>
                <w:rFonts w:ascii="Times New Roman" w:eastAsia="宋体" w:hAnsi="Times New Roman" w:cs="Times New Roman"/>
                <w:color w:val="auto"/>
                <w:spacing w:val="-2"/>
                <w:sz w:val="24"/>
                <w:szCs w:val="24"/>
              </w:rPr>
              <w:t>个。根据米内网数据信息显示，</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年上半年公司产品奥沙利铂注射液和普乐沙福注射液市场占有率排名第一，注射用培美曲塞二钠、注射用阿扎胞苷、注射用盐酸苯达莫斯汀排名第二，紫杉醇注射液排名第四。</w:t>
            </w:r>
          </w:p>
          <w:p w14:paraId="60DF69E0" w14:textId="64A43E87" w:rsidR="00040518" w:rsidRPr="003316E6" w:rsidRDefault="00040518" w:rsidP="00040518">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lastRenderedPageBreak/>
              <w:t>回顾</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年，公司以创新为核心引擎，以全球布局为战略导向，积极应对市场挑战，推动技术进步，实现了多个重要突破与成就。在创新方面，公司被国家工业和信息化部认定为</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国家高新技术企业（复认定）</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国家技术创新示范企业</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；获批</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国家博士后科研工作站</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 xml:space="preserve"> </w:t>
            </w:r>
            <w:r w:rsidRPr="003316E6">
              <w:rPr>
                <w:rFonts w:ascii="Times New Roman" w:eastAsia="宋体" w:hAnsi="Times New Roman" w:cs="Times New Roman"/>
                <w:color w:val="auto"/>
                <w:spacing w:val="-2"/>
                <w:sz w:val="24"/>
                <w:szCs w:val="24"/>
              </w:rPr>
              <w:t>获批</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四川省年度科技人才工作先进单位</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；获批</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四川省年度优秀工程技术研究中心</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；获批</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四川省定制化生产重点企业</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；在行业方面，公司四年蝉联</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中国化药企业</w:t>
            </w:r>
            <w:r w:rsidRPr="003316E6">
              <w:rPr>
                <w:rFonts w:ascii="Times New Roman" w:eastAsia="宋体" w:hAnsi="Times New Roman" w:cs="Times New Roman"/>
                <w:color w:val="auto"/>
                <w:spacing w:val="-2"/>
                <w:sz w:val="24"/>
                <w:szCs w:val="24"/>
              </w:rPr>
              <w:t>TOP100”</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年四川企业技术创新能力百强；</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年四川省企业技术创新能力最具潜力</w:t>
            </w:r>
            <w:r w:rsidRPr="003316E6">
              <w:rPr>
                <w:rFonts w:ascii="Times New Roman" w:eastAsia="宋体" w:hAnsi="Times New Roman" w:cs="Times New Roman"/>
                <w:color w:val="auto"/>
                <w:spacing w:val="-2"/>
                <w:sz w:val="24"/>
                <w:szCs w:val="24"/>
              </w:rPr>
              <w:t>20</w:t>
            </w:r>
            <w:r w:rsidRPr="003316E6">
              <w:rPr>
                <w:rFonts w:ascii="Times New Roman" w:eastAsia="宋体" w:hAnsi="Times New Roman" w:cs="Times New Roman"/>
                <w:color w:val="auto"/>
                <w:spacing w:val="-2"/>
                <w:sz w:val="24"/>
                <w:szCs w:val="24"/>
              </w:rPr>
              <w:t>强；</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年四川省企业发明专利拥有量百强等。</w:t>
            </w:r>
          </w:p>
          <w:p w14:paraId="706FA970" w14:textId="77777777" w:rsidR="004A375F" w:rsidRPr="003316E6" w:rsidRDefault="004A375F">
            <w:pPr>
              <w:kinsoku/>
              <w:spacing w:before="119" w:line="360" w:lineRule="auto"/>
              <w:ind w:right="36"/>
              <w:jc w:val="both"/>
              <w:rPr>
                <w:rFonts w:ascii="Times New Roman" w:eastAsia="宋体" w:hAnsi="Times New Roman" w:cs="Times New Roman"/>
                <w:b/>
                <w:bCs/>
                <w:color w:val="auto"/>
                <w:spacing w:val="-5"/>
                <w:sz w:val="24"/>
                <w:szCs w:val="24"/>
              </w:rPr>
            </w:pPr>
          </w:p>
          <w:p w14:paraId="06C411CC" w14:textId="65CFBA6F" w:rsidR="004A375F" w:rsidRPr="003316E6" w:rsidRDefault="00040518">
            <w:pPr>
              <w:numPr>
                <w:ilvl w:val="0"/>
                <w:numId w:val="1"/>
              </w:numPr>
              <w:kinsoku/>
              <w:spacing w:before="119" w:line="360" w:lineRule="auto"/>
              <w:ind w:right="36"/>
              <w:jc w:val="both"/>
              <w:rPr>
                <w:rFonts w:ascii="Times New Roman" w:eastAsia="宋体" w:hAnsi="Times New Roman" w:cs="Times New Roman"/>
                <w:b/>
                <w:bCs/>
                <w:color w:val="auto"/>
                <w:spacing w:val="-5"/>
                <w:sz w:val="24"/>
                <w:szCs w:val="24"/>
              </w:rPr>
            </w:pPr>
            <w:r w:rsidRPr="003316E6">
              <w:rPr>
                <w:rFonts w:ascii="Times New Roman" w:eastAsia="宋体" w:hAnsi="Times New Roman" w:cs="Times New Roman"/>
                <w:b/>
                <w:bCs/>
                <w:color w:val="auto"/>
                <w:spacing w:val="-5"/>
                <w:sz w:val="24"/>
                <w:szCs w:val="24"/>
              </w:rPr>
              <w:t>预征集</w:t>
            </w:r>
            <w:r w:rsidR="00350D41" w:rsidRPr="003316E6">
              <w:rPr>
                <w:rFonts w:ascii="Times New Roman" w:eastAsia="宋体" w:hAnsi="Times New Roman" w:cs="Times New Roman"/>
                <w:b/>
                <w:bCs/>
                <w:color w:val="auto"/>
                <w:spacing w:val="-5"/>
                <w:sz w:val="24"/>
                <w:szCs w:val="24"/>
              </w:rPr>
              <w:t>问答和文字互动</w:t>
            </w:r>
          </w:p>
          <w:p w14:paraId="38C27B61" w14:textId="2A55D357" w:rsidR="00350D41" w:rsidRPr="003316E6" w:rsidRDefault="00EF495B">
            <w:pPr>
              <w:pStyle w:val="3"/>
              <w:spacing w:before="360" w:beforeAutospacing="0" w:after="240" w:afterAutospacing="0" w:line="360" w:lineRule="atLeast"/>
              <w:jc w:val="both"/>
              <w:rPr>
                <w:rFonts w:ascii="Times New Roman" w:hAnsi="Times New Roman" w:hint="default"/>
                <w:color w:val="auto"/>
                <w:spacing w:val="-2"/>
                <w:sz w:val="24"/>
                <w:szCs w:val="24"/>
              </w:rPr>
            </w:pPr>
            <w:r w:rsidRPr="003316E6">
              <w:rPr>
                <w:rFonts w:ascii="Times New Roman" w:hAnsi="Times New Roman" w:hint="default"/>
                <w:color w:val="auto"/>
                <w:spacing w:val="-2"/>
                <w:sz w:val="24"/>
                <w:szCs w:val="24"/>
              </w:rPr>
              <w:t>1</w:t>
            </w:r>
            <w:r w:rsidRPr="003316E6">
              <w:rPr>
                <w:rFonts w:ascii="Times New Roman" w:hAnsi="Times New Roman" w:hint="default"/>
                <w:color w:val="auto"/>
                <w:spacing w:val="-2"/>
                <w:sz w:val="24"/>
                <w:szCs w:val="24"/>
              </w:rPr>
              <w:t>、</w:t>
            </w:r>
            <w:r w:rsidR="00350D41" w:rsidRPr="003316E6">
              <w:rPr>
                <w:rFonts w:ascii="Times New Roman" w:hAnsi="Times New Roman" w:hint="default"/>
                <w:color w:val="auto"/>
                <w:spacing w:val="-2"/>
                <w:sz w:val="24"/>
                <w:szCs w:val="24"/>
              </w:rPr>
              <w:t>行业未来的发展前景</w:t>
            </w:r>
          </w:p>
          <w:p w14:paraId="6F98168A" w14:textId="6D98C6F1" w:rsidR="00350D41" w:rsidRPr="003316E6" w:rsidRDefault="00350D41" w:rsidP="00350D41">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我国医药制造行业机遇与挑战并存，整个行业整体承压，局部分化。在市场竞争和价格方面，受国家、地方联盟集采扩面、市场竞争加剧等因素影响，部分医药产品价格持续走低；在政策方面，国家出台多项政策支持医药行业创新发展，同时加大医保控费力度；医疗反腐力度加大，行业监管趋严，对医药企业的市场运营模式带来深远影响。随着人口老龄化加剧、慢性病发病率上升以及公众健康意识增强，医药市场刚性需求将持续扩大。在政策支持下，创新药研发投入将继续增长，行业整体向高质量发展迈进。复杂多变的宏观市场环境与政策的持续动态化调整在为公司发展营造机遇的同时，也对公司的经营管理带来了挑战。公司将积极应对，直面压力与挑战，努力克服不利因素，围绕高质量发展目标，安全、稳健地实施各体系业务发展方案，持续发展、稳定提升整体业绩。</w:t>
            </w:r>
          </w:p>
          <w:p w14:paraId="42FFDCF6" w14:textId="37FDDA4D" w:rsidR="00350D41" w:rsidRPr="003316E6" w:rsidRDefault="00CB429B">
            <w:pPr>
              <w:pStyle w:val="3"/>
              <w:spacing w:before="360" w:beforeAutospacing="0" w:after="240" w:afterAutospacing="0" w:line="360" w:lineRule="atLeast"/>
              <w:jc w:val="both"/>
              <w:rPr>
                <w:rFonts w:ascii="Times New Roman" w:hAnsi="Times New Roman" w:hint="default"/>
                <w:color w:val="auto"/>
                <w:spacing w:val="-2"/>
                <w:sz w:val="24"/>
                <w:szCs w:val="24"/>
              </w:rPr>
            </w:pPr>
            <w:r w:rsidRPr="003316E6">
              <w:rPr>
                <w:rFonts w:ascii="Times New Roman" w:hAnsi="Times New Roman" w:hint="default"/>
                <w:color w:val="auto"/>
                <w:spacing w:val="-2"/>
                <w:sz w:val="24"/>
                <w:szCs w:val="24"/>
              </w:rPr>
              <w:t>2</w:t>
            </w:r>
            <w:r w:rsidRPr="003316E6">
              <w:rPr>
                <w:rFonts w:ascii="Times New Roman" w:hAnsi="Times New Roman" w:hint="default"/>
                <w:color w:val="auto"/>
                <w:spacing w:val="-2"/>
                <w:sz w:val="24"/>
                <w:szCs w:val="24"/>
              </w:rPr>
              <w:t>、</w:t>
            </w:r>
            <w:r w:rsidR="00350D41" w:rsidRPr="003316E6">
              <w:rPr>
                <w:rFonts w:ascii="Times New Roman" w:hAnsi="Times New Roman" w:hint="default"/>
                <w:color w:val="auto"/>
                <w:spacing w:val="-2"/>
                <w:sz w:val="24"/>
                <w:szCs w:val="24"/>
              </w:rPr>
              <w:t>本期财务报告盈利表现</w:t>
            </w:r>
            <w:r w:rsidR="003440A5" w:rsidRPr="003316E6">
              <w:rPr>
                <w:rFonts w:ascii="Times New Roman" w:hAnsi="Times New Roman" w:hint="default"/>
                <w:color w:val="auto"/>
                <w:spacing w:val="-2"/>
                <w:sz w:val="24"/>
                <w:szCs w:val="24"/>
              </w:rPr>
              <w:t>；一季报亏损的主要原因</w:t>
            </w:r>
          </w:p>
          <w:p w14:paraId="14606A77" w14:textId="26935DC8" w:rsidR="00350D41" w:rsidRPr="003316E6" w:rsidRDefault="00350D41"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年，公司实现营业收入约</w:t>
            </w:r>
            <w:r w:rsidRPr="003316E6">
              <w:rPr>
                <w:rFonts w:ascii="Times New Roman" w:eastAsia="宋体" w:hAnsi="Times New Roman" w:cs="Times New Roman"/>
                <w:color w:val="auto"/>
                <w:spacing w:val="-2"/>
                <w:sz w:val="24"/>
                <w:szCs w:val="24"/>
              </w:rPr>
              <w:t>10.94</w:t>
            </w:r>
            <w:r w:rsidRPr="003316E6">
              <w:rPr>
                <w:rFonts w:ascii="Times New Roman" w:eastAsia="宋体" w:hAnsi="Times New Roman" w:cs="Times New Roman"/>
                <w:color w:val="auto"/>
                <w:spacing w:val="-2"/>
                <w:sz w:val="24"/>
                <w:szCs w:val="24"/>
              </w:rPr>
              <w:t>亿元，较上年同期增长</w:t>
            </w:r>
            <w:r w:rsidRPr="003316E6">
              <w:rPr>
                <w:rFonts w:ascii="Times New Roman" w:eastAsia="宋体" w:hAnsi="Times New Roman" w:cs="Times New Roman"/>
                <w:color w:val="auto"/>
                <w:spacing w:val="-2"/>
                <w:sz w:val="24"/>
                <w:szCs w:val="24"/>
              </w:rPr>
              <w:t>18.05%</w:t>
            </w:r>
            <w:r w:rsidRPr="003316E6">
              <w:rPr>
                <w:rFonts w:ascii="Times New Roman" w:eastAsia="宋体" w:hAnsi="Times New Roman" w:cs="Times New Roman"/>
                <w:color w:val="auto"/>
                <w:spacing w:val="-2"/>
                <w:sz w:val="24"/>
                <w:szCs w:val="24"/>
              </w:rPr>
              <w:t>；实现归属于母公司所有者的净利润约</w:t>
            </w:r>
            <w:r w:rsidRPr="003316E6">
              <w:rPr>
                <w:rFonts w:ascii="Times New Roman" w:eastAsia="宋体" w:hAnsi="Times New Roman" w:cs="Times New Roman"/>
                <w:color w:val="auto"/>
                <w:spacing w:val="-2"/>
                <w:sz w:val="24"/>
                <w:szCs w:val="24"/>
              </w:rPr>
              <w:t>3.25</w:t>
            </w:r>
            <w:r w:rsidRPr="003316E6">
              <w:rPr>
                <w:rFonts w:ascii="Times New Roman" w:eastAsia="宋体" w:hAnsi="Times New Roman" w:cs="Times New Roman"/>
                <w:color w:val="auto"/>
                <w:spacing w:val="-2"/>
                <w:sz w:val="24"/>
                <w:szCs w:val="24"/>
              </w:rPr>
              <w:t>亿元，较上年同期增长</w:t>
            </w:r>
            <w:r w:rsidRPr="003316E6">
              <w:rPr>
                <w:rFonts w:ascii="Times New Roman" w:eastAsia="宋体" w:hAnsi="Times New Roman" w:cs="Times New Roman"/>
                <w:color w:val="auto"/>
                <w:spacing w:val="-2"/>
                <w:sz w:val="24"/>
                <w:szCs w:val="24"/>
              </w:rPr>
              <w:t>132.78 %</w:t>
            </w:r>
            <w:r w:rsidRPr="003316E6">
              <w:rPr>
                <w:rFonts w:ascii="Times New Roman" w:eastAsia="宋体" w:hAnsi="Times New Roman" w:cs="Times New Roman"/>
                <w:color w:val="auto"/>
                <w:spacing w:val="-2"/>
                <w:sz w:val="24"/>
                <w:szCs w:val="24"/>
              </w:rPr>
              <w:t>；实现扣除非经常性损益归属上市公司股东的净利润约</w:t>
            </w:r>
            <w:r w:rsidRPr="003316E6">
              <w:rPr>
                <w:rFonts w:ascii="Times New Roman" w:eastAsia="宋体" w:hAnsi="Times New Roman" w:cs="Times New Roman"/>
                <w:color w:val="auto"/>
                <w:spacing w:val="-2"/>
                <w:sz w:val="24"/>
                <w:szCs w:val="24"/>
              </w:rPr>
              <w:t>9,211.71</w:t>
            </w:r>
            <w:r w:rsidRPr="003316E6">
              <w:rPr>
                <w:rFonts w:ascii="Times New Roman" w:eastAsia="宋体" w:hAnsi="Times New Roman" w:cs="Times New Roman"/>
                <w:color w:val="auto"/>
                <w:spacing w:val="-2"/>
                <w:sz w:val="24"/>
                <w:szCs w:val="24"/>
              </w:rPr>
              <w:t>万元，较上年同期增长</w:t>
            </w:r>
            <w:r w:rsidRPr="003316E6">
              <w:rPr>
                <w:rFonts w:ascii="Times New Roman" w:eastAsia="宋体" w:hAnsi="Times New Roman" w:cs="Times New Roman"/>
                <w:color w:val="auto"/>
                <w:spacing w:val="-2"/>
                <w:sz w:val="24"/>
                <w:szCs w:val="24"/>
              </w:rPr>
              <w:t>39.55 %</w:t>
            </w:r>
            <w:r w:rsidRPr="003316E6">
              <w:rPr>
                <w:rFonts w:ascii="Times New Roman" w:eastAsia="宋体" w:hAnsi="Times New Roman" w:cs="Times New Roman"/>
                <w:color w:val="auto"/>
                <w:spacing w:val="-2"/>
                <w:sz w:val="24"/>
                <w:szCs w:val="24"/>
              </w:rPr>
              <w:t>。其中，国内销售收入约</w:t>
            </w:r>
            <w:r w:rsidRPr="003316E6">
              <w:rPr>
                <w:rFonts w:ascii="Times New Roman" w:eastAsia="宋体" w:hAnsi="Times New Roman" w:cs="Times New Roman"/>
                <w:color w:val="auto"/>
                <w:spacing w:val="-2"/>
                <w:sz w:val="24"/>
                <w:szCs w:val="24"/>
              </w:rPr>
              <w:t>9.28</w:t>
            </w:r>
            <w:r w:rsidRPr="003316E6">
              <w:rPr>
                <w:rFonts w:ascii="Times New Roman" w:eastAsia="宋体" w:hAnsi="Times New Roman" w:cs="Times New Roman"/>
                <w:color w:val="auto"/>
                <w:spacing w:val="-2"/>
                <w:sz w:val="24"/>
                <w:szCs w:val="24"/>
              </w:rPr>
              <w:t>亿元，同比</w:t>
            </w:r>
            <w:r w:rsidRPr="003316E6">
              <w:rPr>
                <w:rFonts w:ascii="Times New Roman" w:eastAsia="宋体" w:hAnsi="Times New Roman" w:cs="Times New Roman"/>
                <w:color w:val="auto"/>
                <w:spacing w:val="-2"/>
                <w:sz w:val="24"/>
                <w:szCs w:val="24"/>
              </w:rPr>
              <w:t>2023</w:t>
            </w:r>
            <w:r w:rsidRPr="003316E6">
              <w:rPr>
                <w:rFonts w:ascii="Times New Roman" w:eastAsia="宋体" w:hAnsi="Times New Roman" w:cs="Times New Roman"/>
                <w:color w:val="auto"/>
                <w:spacing w:val="-2"/>
                <w:sz w:val="24"/>
                <w:szCs w:val="24"/>
              </w:rPr>
              <w:t>年增长率为</w:t>
            </w:r>
            <w:r w:rsidRPr="003316E6">
              <w:rPr>
                <w:rFonts w:ascii="Times New Roman" w:eastAsia="宋体" w:hAnsi="Times New Roman" w:cs="Times New Roman"/>
                <w:color w:val="auto"/>
                <w:spacing w:val="-2"/>
                <w:sz w:val="24"/>
                <w:szCs w:val="24"/>
              </w:rPr>
              <w:t>10.12%</w:t>
            </w:r>
            <w:r w:rsidRPr="003316E6">
              <w:rPr>
                <w:rFonts w:ascii="Times New Roman" w:eastAsia="宋体" w:hAnsi="Times New Roman" w:cs="Times New Roman"/>
                <w:color w:val="auto"/>
                <w:spacing w:val="-2"/>
                <w:sz w:val="24"/>
                <w:szCs w:val="24"/>
              </w:rPr>
              <w:t>。国外销售收入约</w:t>
            </w:r>
            <w:r w:rsidRPr="003316E6">
              <w:rPr>
                <w:rFonts w:ascii="Times New Roman" w:eastAsia="宋体" w:hAnsi="Times New Roman" w:cs="Times New Roman"/>
                <w:color w:val="auto"/>
                <w:spacing w:val="-2"/>
                <w:sz w:val="24"/>
                <w:szCs w:val="24"/>
              </w:rPr>
              <w:t>1.66</w:t>
            </w:r>
            <w:r w:rsidRPr="003316E6">
              <w:rPr>
                <w:rFonts w:ascii="Times New Roman" w:eastAsia="宋体" w:hAnsi="Times New Roman" w:cs="Times New Roman"/>
                <w:color w:val="auto"/>
                <w:spacing w:val="-2"/>
                <w:sz w:val="24"/>
                <w:szCs w:val="24"/>
              </w:rPr>
              <w:t>亿元，同比</w:t>
            </w:r>
            <w:r w:rsidRPr="003316E6">
              <w:rPr>
                <w:rFonts w:ascii="Times New Roman" w:eastAsia="宋体" w:hAnsi="Times New Roman" w:cs="Times New Roman"/>
                <w:color w:val="auto"/>
                <w:spacing w:val="-2"/>
                <w:sz w:val="24"/>
                <w:szCs w:val="24"/>
              </w:rPr>
              <w:lastRenderedPageBreak/>
              <w:t>2023</w:t>
            </w:r>
            <w:r w:rsidRPr="003316E6">
              <w:rPr>
                <w:rFonts w:ascii="Times New Roman" w:eastAsia="宋体" w:hAnsi="Times New Roman" w:cs="Times New Roman"/>
                <w:color w:val="auto"/>
                <w:spacing w:val="-2"/>
                <w:sz w:val="24"/>
                <w:szCs w:val="24"/>
              </w:rPr>
              <w:t>年增长率达到</w:t>
            </w:r>
            <w:r w:rsidRPr="003316E6">
              <w:rPr>
                <w:rFonts w:ascii="Times New Roman" w:eastAsia="宋体" w:hAnsi="Times New Roman" w:cs="Times New Roman"/>
                <w:color w:val="auto"/>
                <w:spacing w:val="-2"/>
                <w:sz w:val="24"/>
                <w:szCs w:val="24"/>
              </w:rPr>
              <w:t>97.12%</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年公司研发投入总额为</w:t>
            </w:r>
            <w:r w:rsidRPr="003316E6">
              <w:rPr>
                <w:rFonts w:ascii="Times New Roman" w:eastAsia="宋体" w:hAnsi="Times New Roman" w:cs="Times New Roman"/>
                <w:color w:val="auto"/>
                <w:spacing w:val="-2"/>
                <w:sz w:val="24"/>
                <w:szCs w:val="24"/>
              </w:rPr>
              <w:t>34,620.95</w:t>
            </w:r>
            <w:r w:rsidRPr="003316E6">
              <w:rPr>
                <w:rFonts w:ascii="Times New Roman" w:eastAsia="宋体" w:hAnsi="Times New Roman" w:cs="Times New Roman"/>
                <w:color w:val="auto"/>
                <w:spacing w:val="-2"/>
                <w:sz w:val="24"/>
                <w:szCs w:val="24"/>
              </w:rPr>
              <w:t>万元，占营业收入比例为</w:t>
            </w:r>
            <w:r w:rsidRPr="003316E6">
              <w:rPr>
                <w:rFonts w:ascii="Times New Roman" w:eastAsia="宋体" w:hAnsi="Times New Roman" w:cs="Times New Roman"/>
                <w:color w:val="auto"/>
                <w:spacing w:val="-2"/>
                <w:sz w:val="24"/>
                <w:szCs w:val="24"/>
              </w:rPr>
              <w:t>31.64%</w:t>
            </w:r>
            <w:r w:rsidRPr="003316E6">
              <w:rPr>
                <w:rFonts w:ascii="Times New Roman" w:eastAsia="宋体" w:hAnsi="Times New Roman" w:cs="Times New Roman"/>
                <w:color w:val="auto"/>
                <w:spacing w:val="-2"/>
                <w:sz w:val="24"/>
                <w:szCs w:val="24"/>
              </w:rPr>
              <w:t>，研发投入给公司技术创新能力和新产品开发能力所带来的提升效应将会在未来较长的时间内逐步显现。</w:t>
            </w:r>
            <w:r w:rsidRPr="003316E6">
              <w:rPr>
                <w:rFonts w:ascii="Times New Roman" w:eastAsia="宋体" w:hAnsi="Times New Roman" w:cs="Times New Roman"/>
                <w:color w:val="auto"/>
                <w:spacing w:val="-2"/>
                <w:sz w:val="24"/>
                <w:szCs w:val="24"/>
              </w:rPr>
              <w:t>2025</w:t>
            </w:r>
            <w:r w:rsidRPr="003316E6">
              <w:rPr>
                <w:rFonts w:ascii="Times New Roman" w:eastAsia="宋体" w:hAnsi="Times New Roman" w:cs="Times New Roman"/>
                <w:color w:val="auto"/>
                <w:spacing w:val="-2"/>
                <w:sz w:val="24"/>
                <w:szCs w:val="24"/>
              </w:rPr>
              <w:t>年一季度，公司实现营业收入</w:t>
            </w:r>
            <w:r w:rsidRPr="003316E6">
              <w:rPr>
                <w:rFonts w:ascii="Times New Roman" w:eastAsia="宋体" w:hAnsi="Times New Roman" w:cs="Times New Roman"/>
                <w:color w:val="auto"/>
                <w:spacing w:val="-2"/>
                <w:sz w:val="24"/>
                <w:szCs w:val="24"/>
              </w:rPr>
              <w:t>2.39</w:t>
            </w:r>
            <w:r w:rsidRPr="003316E6">
              <w:rPr>
                <w:rFonts w:ascii="Times New Roman" w:eastAsia="宋体" w:hAnsi="Times New Roman" w:cs="Times New Roman"/>
                <w:color w:val="auto"/>
                <w:spacing w:val="-2"/>
                <w:sz w:val="24"/>
                <w:szCs w:val="24"/>
              </w:rPr>
              <w:t>亿元，实现归属于上市公司股东的扣除非经常性损益的净利润</w:t>
            </w:r>
            <w:r w:rsidRPr="003316E6">
              <w:rPr>
                <w:rFonts w:ascii="Times New Roman" w:eastAsia="宋体" w:hAnsi="Times New Roman" w:cs="Times New Roman"/>
                <w:color w:val="auto"/>
                <w:spacing w:val="-2"/>
                <w:sz w:val="24"/>
                <w:szCs w:val="24"/>
              </w:rPr>
              <w:t>0.34</w:t>
            </w:r>
            <w:r w:rsidRPr="003316E6">
              <w:rPr>
                <w:rFonts w:ascii="Times New Roman" w:eastAsia="宋体" w:hAnsi="Times New Roman" w:cs="Times New Roman"/>
                <w:color w:val="auto"/>
                <w:spacing w:val="-2"/>
                <w:sz w:val="24"/>
                <w:szCs w:val="24"/>
              </w:rPr>
              <w:t>亿元。</w:t>
            </w:r>
          </w:p>
          <w:p w14:paraId="3C4F92A3" w14:textId="270B20FE" w:rsidR="00350D41" w:rsidRPr="003316E6" w:rsidRDefault="00350D41" w:rsidP="00350D41">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公司于</w:t>
            </w:r>
            <w:r w:rsidRPr="003316E6">
              <w:rPr>
                <w:rFonts w:ascii="Times New Roman" w:eastAsia="宋体" w:hAnsi="Times New Roman" w:cs="Times New Roman"/>
                <w:color w:val="auto"/>
                <w:spacing w:val="-2"/>
                <w:sz w:val="24"/>
                <w:szCs w:val="24"/>
              </w:rPr>
              <w:t>2023</w:t>
            </w:r>
            <w:r w:rsidRPr="003316E6">
              <w:rPr>
                <w:rFonts w:ascii="Times New Roman" w:eastAsia="宋体" w:hAnsi="Times New Roman" w:cs="Times New Roman"/>
                <w:color w:val="auto"/>
                <w:spacing w:val="-2"/>
                <w:sz w:val="24"/>
                <w:szCs w:val="24"/>
              </w:rPr>
              <w:t>年以自有资金</w:t>
            </w:r>
            <w:r w:rsidRPr="003316E6">
              <w:rPr>
                <w:rFonts w:ascii="Times New Roman" w:eastAsia="宋体" w:hAnsi="Times New Roman" w:cs="Times New Roman"/>
                <w:color w:val="auto"/>
                <w:spacing w:val="-2"/>
                <w:sz w:val="24"/>
                <w:szCs w:val="24"/>
              </w:rPr>
              <w:t>1</w:t>
            </w:r>
            <w:r w:rsidRPr="003316E6">
              <w:rPr>
                <w:rFonts w:ascii="Times New Roman" w:eastAsia="宋体" w:hAnsi="Times New Roman" w:cs="Times New Roman"/>
                <w:color w:val="auto"/>
                <w:spacing w:val="-2"/>
                <w:sz w:val="24"/>
                <w:szCs w:val="24"/>
              </w:rPr>
              <w:t>亿元投资同源康医药，同源康医药于</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w:t>
            </w:r>
            <w:r w:rsidRPr="003316E6">
              <w:rPr>
                <w:rFonts w:ascii="Times New Roman" w:eastAsia="宋体" w:hAnsi="Times New Roman" w:cs="Times New Roman"/>
                <w:color w:val="auto"/>
                <w:spacing w:val="-2"/>
                <w:sz w:val="24"/>
                <w:szCs w:val="24"/>
              </w:rPr>
              <w:t>8</w:t>
            </w:r>
            <w:r w:rsidRPr="003316E6">
              <w:rPr>
                <w:rFonts w:ascii="Times New Roman" w:eastAsia="宋体" w:hAnsi="Times New Roman" w:cs="Times New Roman"/>
                <w:color w:val="auto"/>
                <w:spacing w:val="-2"/>
                <w:sz w:val="24"/>
                <w:szCs w:val="24"/>
              </w:rPr>
              <w:t>月在香港交易所发行上市，公司将持有的同源康医药股票在报告期末按公允价值计入交易性金融资产，具体金额受同源康医药股价波动影响。即公司第一季度归属于上市公司股东的净利润变动的主要原因为同源康股价变动。</w:t>
            </w:r>
          </w:p>
          <w:p w14:paraId="76F8890C" w14:textId="77777777" w:rsidR="00CB429B" w:rsidRPr="003316E6" w:rsidRDefault="00CB429B" w:rsidP="00CB429B">
            <w:pPr>
              <w:kinsoku/>
              <w:spacing w:before="119" w:line="360" w:lineRule="auto"/>
              <w:ind w:right="36"/>
              <w:jc w:val="both"/>
              <w:rPr>
                <w:rFonts w:ascii="Times New Roman" w:eastAsia="宋体" w:hAnsi="Times New Roman" w:cs="Times New Roman"/>
                <w:color w:val="auto"/>
                <w:spacing w:val="-2"/>
                <w:sz w:val="24"/>
                <w:szCs w:val="24"/>
              </w:rPr>
            </w:pPr>
          </w:p>
          <w:p w14:paraId="04EF8C2A" w14:textId="491DF803" w:rsidR="00CB429B" w:rsidRPr="003316E6" w:rsidRDefault="003440A5" w:rsidP="00CB429B">
            <w:pPr>
              <w:kinsoku/>
              <w:spacing w:before="119" w:line="360" w:lineRule="auto"/>
              <w:ind w:right="36"/>
              <w:jc w:val="both"/>
              <w:rPr>
                <w:rFonts w:ascii="Times New Roman" w:eastAsia="宋体" w:hAnsi="Times New Roman" w:cs="Times New Roman"/>
                <w:b/>
                <w:bCs/>
                <w:color w:val="auto"/>
                <w:spacing w:val="-2"/>
                <w:sz w:val="24"/>
                <w:szCs w:val="24"/>
              </w:rPr>
            </w:pPr>
            <w:r w:rsidRPr="003316E6">
              <w:rPr>
                <w:rFonts w:ascii="Times New Roman" w:eastAsia="宋体" w:hAnsi="Times New Roman" w:cs="Times New Roman"/>
                <w:b/>
                <w:bCs/>
                <w:color w:val="auto"/>
                <w:spacing w:val="-2"/>
                <w:sz w:val="24"/>
                <w:szCs w:val="24"/>
              </w:rPr>
              <w:t>3</w:t>
            </w:r>
            <w:r w:rsidR="00CB429B" w:rsidRPr="003316E6">
              <w:rPr>
                <w:rFonts w:ascii="Times New Roman" w:eastAsia="宋体" w:hAnsi="Times New Roman" w:cs="Times New Roman"/>
                <w:b/>
                <w:bCs/>
                <w:color w:val="auto"/>
                <w:spacing w:val="-2"/>
                <w:sz w:val="24"/>
                <w:szCs w:val="24"/>
              </w:rPr>
              <w:t>、学术推广费占比升高的原因</w:t>
            </w:r>
          </w:p>
          <w:p w14:paraId="74E0DE41" w14:textId="77777777" w:rsidR="00CB429B" w:rsidRPr="003316E6" w:rsidRDefault="00CB429B" w:rsidP="00CB429B">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首先，公司委托专业学术推广服务商，通过学术会议、专业研讨、技术交流等方式对公司的产品进行专业化的学术推广，使医疗机构的专业医护人员等更好地认知、熟悉和应用公司的药品；其次，公司每年都有一定数量的仿制药获批上市，不进行必要的学术推广，如何让医护人员认知、熟悉和应用公司的药品。最后，参比其他上市公司，公司的学术推广费占比处于合理区间。</w:t>
            </w:r>
          </w:p>
          <w:p w14:paraId="4786441B" w14:textId="77777777" w:rsidR="00CB429B" w:rsidRPr="003316E6" w:rsidRDefault="00CB429B" w:rsidP="00CB429B">
            <w:pPr>
              <w:kinsoku/>
              <w:spacing w:before="119" w:line="360" w:lineRule="auto"/>
              <w:ind w:right="36"/>
              <w:jc w:val="both"/>
              <w:rPr>
                <w:rFonts w:ascii="Times New Roman" w:eastAsia="宋体" w:hAnsi="Times New Roman" w:cs="Times New Roman"/>
                <w:color w:val="auto"/>
                <w:spacing w:val="-2"/>
                <w:sz w:val="24"/>
                <w:szCs w:val="24"/>
              </w:rPr>
            </w:pPr>
          </w:p>
          <w:p w14:paraId="3046F735" w14:textId="7A1202F0" w:rsidR="00CB429B" w:rsidRPr="003316E6" w:rsidRDefault="003440A5" w:rsidP="00CB429B">
            <w:pPr>
              <w:kinsoku/>
              <w:spacing w:before="119" w:line="360" w:lineRule="auto"/>
              <w:ind w:right="36"/>
              <w:jc w:val="both"/>
              <w:rPr>
                <w:rFonts w:ascii="Times New Roman" w:eastAsia="宋体" w:hAnsi="Times New Roman" w:cs="Times New Roman"/>
                <w:b/>
                <w:bCs/>
                <w:color w:val="auto"/>
                <w:spacing w:val="-2"/>
                <w:sz w:val="24"/>
                <w:szCs w:val="24"/>
              </w:rPr>
            </w:pPr>
            <w:r w:rsidRPr="003316E6">
              <w:rPr>
                <w:rFonts w:ascii="Times New Roman" w:eastAsia="宋体" w:hAnsi="Times New Roman" w:cs="Times New Roman"/>
                <w:b/>
                <w:bCs/>
                <w:color w:val="auto"/>
                <w:spacing w:val="-2"/>
                <w:sz w:val="24"/>
                <w:szCs w:val="24"/>
              </w:rPr>
              <w:t>4</w:t>
            </w:r>
            <w:r w:rsidR="00CB429B" w:rsidRPr="003316E6">
              <w:rPr>
                <w:rFonts w:ascii="Times New Roman" w:eastAsia="宋体" w:hAnsi="Times New Roman" w:cs="Times New Roman"/>
                <w:b/>
                <w:bCs/>
                <w:color w:val="auto"/>
                <w:spacing w:val="-2"/>
                <w:sz w:val="24"/>
                <w:szCs w:val="24"/>
              </w:rPr>
              <w:t>、未来盈利增长的主要驱动因素</w:t>
            </w:r>
          </w:p>
          <w:p w14:paraId="2D867576" w14:textId="77777777" w:rsidR="00CB429B" w:rsidRPr="003316E6" w:rsidRDefault="00CB429B" w:rsidP="00CB429B">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公司一方面加快</w:t>
            </w:r>
            <w:r w:rsidRPr="003316E6">
              <w:rPr>
                <w:rFonts w:ascii="Times New Roman" w:eastAsia="宋体" w:hAnsi="Times New Roman" w:cs="Times New Roman"/>
                <w:color w:val="auto"/>
                <w:spacing w:val="-2"/>
                <w:sz w:val="24"/>
                <w:szCs w:val="24"/>
              </w:rPr>
              <w:t xml:space="preserve"> I </w:t>
            </w:r>
            <w:r w:rsidRPr="003316E6">
              <w:rPr>
                <w:rFonts w:ascii="Times New Roman" w:eastAsia="宋体" w:hAnsi="Times New Roman" w:cs="Times New Roman"/>
                <w:color w:val="auto"/>
                <w:spacing w:val="-2"/>
                <w:sz w:val="24"/>
                <w:szCs w:val="24"/>
              </w:rPr>
              <w:t>类创新药和改良新药的研发速度，另一方面在仿制药上则重点推进复杂注射剂及高壁垒仿制药的研发进度。通过不断的创新，确保公司未来拥有源源不断的更具竞争力的产品管线。同时，公司将加速国际化业务布局，在欧洲业务高速持续增长的基础上，同步向在美国市场、新兴市场发力。</w:t>
            </w:r>
          </w:p>
          <w:p w14:paraId="4012E77A" w14:textId="77777777" w:rsidR="00CB429B" w:rsidRPr="003316E6" w:rsidRDefault="00CB429B" w:rsidP="00CB429B">
            <w:pPr>
              <w:kinsoku/>
              <w:spacing w:before="119" w:line="360" w:lineRule="auto"/>
              <w:ind w:right="36"/>
              <w:jc w:val="both"/>
              <w:rPr>
                <w:rFonts w:ascii="Times New Roman" w:eastAsia="宋体" w:hAnsi="Times New Roman" w:cs="Times New Roman"/>
                <w:color w:val="auto"/>
                <w:spacing w:val="-2"/>
                <w:sz w:val="24"/>
                <w:szCs w:val="24"/>
              </w:rPr>
            </w:pPr>
          </w:p>
          <w:p w14:paraId="15E52510" w14:textId="625B1901" w:rsidR="00CB429B" w:rsidRPr="003316E6" w:rsidRDefault="003440A5" w:rsidP="00CB429B">
            <w:pPr>
              <w:kinsoku/>
              <w:spacing w:before="119" w:line="360" w:lineRule="auto"/>
              <w:ind w:right="36"/>
              <w:jc w:val="both"/>
              <w:rPr>
                <w:rFonts w:ascii="Times New Roman" w:eastAsia="宋体" w:hAnsi="Times New Roman" w:cs="Times New Roman"/>
                <w:b/>
                <w:bCs/>
                <w:color w:val="auto"/>
                <w:spacing w:val="-2"/>
                <w:sz w:val="24"/>
                <w:szCs w:val="24"/>
              </w:rPr>
            </w:pPr>
            <w:r w:rsidRPr="003316E6">
              <w:rPr>
                <w:rFonts w:ascii="Times New Roman" w:eastAsia="宋体" w:hAnsi="Times New Roman" w:cs="Times New Roman"/>
                <w:b/>
                <w:bCs/>
                <w:color w:val="auto"/>
                <w:spacing w:val="-2"/>
                <w:sz w:val="24"/>
                <w:szCs w:val="24"/>
              </w:rPr>
              <w:t>5</w:t>
            </w:r>
            <w:r w:rsidR="00CB429B" w:rsidRPr="003316E6">
              <w:rPr>
                <w:rFonts w:ascii="Times New Roman" w:eastAsia="宋体" w:hAnsi="Times New Roman" w:cs="Times New Roman"/>
                <w:b/>
                <w:bCs/>
                <w:color w:val="auto"/>
                <w:spacing w:val="-2"/>
                <w:sz w:val="24"/>
                <w:szCs w:val="24"/>
              </w:rPr>
              <w:t>、未来在欧美及新兴市场的具体拓展策略</w:t>
            </w:r>
            <w:r w:rsidR="00CB429B" w:rsidRPr="003316E6">
              <w:rPr>
                <w:rFonts w:ascii="Times New Roman" w:eastAsia="宋体" w:hAnsi="Times New Roman" w:cs="Times New Roman"/>
                <w:b/>
                <w:bCs/>
                <w:color w:val="auto"/>
                <w:spacing w:val="-2"/>
                <w:sz w:val="24"/>
                <w:szCs w:val="24"/>
              </w:rPr>
              <w:t xml:space="preserve"> </w:t>
            </w:r>
          </w:p>
          <w:p w14:paraId="12CB83EC" w14:textId="79547423" w:rsidR="00CB429B" w:rsidRPr="003316E6" w:rsidRDefault="00CB429B" w:rsidP="00CB429B">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公司依托公司已经建立的国际销售渠道和团队，未来将进一步推进和细化国际市场的工作。在欧洲，公司的销售模式主要为自营模式，已广泛覆盖英国、德国、意大利、法国、西班牙、葡萄牙、荷</w:t>
            </w:r>
            <w:r w:rsidRPr="003316E6">
              <w:rPr>
                <w:rFonts w:ascii="Times New Roman" w:eastAsia="宋体" w:hAnsi="Times New Roman" w:cs="Times New Roman"/>
                <w:color w:val="auto"/>
                <w:spacing w:val="-2"/>
                <w:sz w:val="24"/>
                <w:szCs w:val="24"/>
              </w:rPr>
              <w:lastRenderedPageBreak/>
              <w:t>兰、北欧、东欧等国家。未来，还将利用公司成熟的国际化研发、注册和销售平台，引进更多产品，争取做到国内制药企业在欧洲的桥头堡型企业；在新兴市场，通过对合作方精细化管理的进一步加深，探索更多的业务合作模式，实现更多市场的准入，特别是一些重点市场的准入；在美国，公司将依托美国本土合作方，利用其成熟的销售网络和客户资源，快速打开市场。</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年，公司在美国市场新启动合作项目超过</w:t>
            </w:r>
            <w:r w:rsidRPr="003316E6">
              <w:rPr>
                <w:rFonts w:ascii="Times New Roman" w:eastAsia="宋体" w:hAnsi="Times New Roman" w:cs="Times New Roman"/>
                <w:color w:val="auto"/>
                <w:spacing w:val="-2"/>
                <w:sz w:val="24"/>
                <w:szCs w:val="24"/>
              </w:rPr>
              <w:t>10</w:t>
            </w:r>
            <w:r w:rsidRPr="003316E6">
              <w:rPr>
                <w:rFonts w:ascii="Times New Roman" w:eastAsia="宋体" w:hAnsi="Times New Roman" w:cs="Times New Roman"/>
                <w:color w:val="auto"/>
                <w:spacing w:val="-2"/>
                <w:sz w:val="24"/>
                <w:szCs w:val="24"/>
              </w:rPr>
              <w:t>个，与当地实力强劲的经销商建立合作，进一步拓展了市场覆盖范围，提升了产品影响力，并为未来业务增长奠定了坚实基础。此外，随着公司具备竞争力的创新药进入临床研究，已启动创新药项目的海外授权工作。</w:t>
            </w:r>
          </w:p>
          <w:p w14:paraId="5A15EAFF" w14:textId="77777777" w:rsidR="00CB429B" w:rsidRPr="003316E6" w:rsidRDefault="00CB429B" w:rsidP="00CB429B">
            <w:pPr>
              <w:kinsoku/>
              <w:spacing w:before="119" w:line="360" w:lineRule="auto"/>
              <w:ind w:right="36"/>
              <w:jc w:val="both"/>
              <w:rPr>
                <w:rFonts w:ascii="Times New Roman" w:eastAsia="宋体" w:hAnsi="Times New Roman" w:cs="Times New Roman"/>
                <w:color w:val="auto"/>
                <w:spacing w:val="-2"/>
                <w:sz w:val="24"/>
                <w:szCs w:val="24"/>
              </w:rPr>
            </w:pPr>
          </w:p>
          <w:p w14:paraId="1ECD0E2D" w14:textId="01613FB1" w:rsidR="00CB429B" w:rsidRPr="003316E6" w:rsidRDefault="003440A5" w:rsidP="00CB429B">
            <w:pPr>
              <w:kinsoku/>
              <w:spacing w:before="119" w:line="360" w:lineRule="auto"/>
              <w:ind w:right="36"/>
              <w:jc w:val="both"/>
              <w:rPr>
                <w:rFonts w:ascii="Times New Roman" w:eastAsia="宋体" w:hAnsi="Times New Roman" w:cs="Times New Roman"/>
                <w:b/>
                <w:bCs/>
                <w:color w:val="auto"/>
                <w:spacing w:val="-2"/>
                <w:sz w:val="24"/>
                <w:szCs w:val="24"/>
              </w:rPr>
            </w:pPr>
            <w:r w:rsidRPr="003316E6">
              <w:rPr>
                <w:rFonts w:ascii="Times New Roman" w:eastAsia="宋体" w:hAnsi="Times New Roman" w:cs="Times New Roman"/>
                <w:b/>
                <w:bCs/>
                <w:color w:val="auto"/>
                <w:spacing w:val="-2"/>
                <w:sz w:val="24"/>
                <w:szCs w:val="24"/>
              </w:rPr>
              <w:t>6</w:t>
            </w:r>
            <w:r w:rsidR="00CB429B" w:rsidRPr="003316E6">
              <w:rPr>
                <w:rFonts w:ascii="Times New Roman" w:eastAsia="宋体" w:hAnsi="Times New Roman" w:cs="Times New Roman"/>
                <w:b/>
                <w:bCs/>
                <w:color w:val="auto"/>
                <w:spacing w:val="-2"/>
                <w:sz w:val="24"/>
                <w:szCs w:val="24"/>
              </w:rPr>
              <w:t>、复杂注射剂紫杉醇白蛋白注射、羧基麦芽糖铁注射液、醋酸兰瑞肽缓释注册审评的具体情况</w:t>
            </w:r>
          </w:p>
          <w:p w14:paraId="3BA589D9" w14:textId="7E2472B8" w:rsidR="00CB429B" w:rsidRPr="003316E6" w:rsidRDefault="00CB429B" w:rsidP="00CB429B">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公司注射用紫杉醇（白蛋白结合型）已在欧洲申报，预计</w:t>
            </w:r>
            <w:r w:rsidRPr="003316E6">
              <w:rPr>
                <w:rFonts w:ascii="Times New Roman" w:eastAsia="宋体" w:hAnsi="Times New Roman" w:cs="Times New Roman"/>
                <w:color w:val="auto"/>
                <w:spacing w:val="-2"/>
                <w:sz w:val="24"/>
                <w:szCs w:val="24"/>
              </w:rPr>
              <w:t>2025</w:t>
            </w:r>
            <w:r w:rsidRPr="003316E6">
              <w:rPr>
                <w:rFonts w:ascii="Times New Roman" w:eastAsia="宋体" w:hAnsi="Times New Roman" w:cs="Times New Roman"/>
                <w:color w:val="auto"/>
                <w:spacing w:val="-2"/>
                <w:sz w:val="24"/>
                <w:szCs w:val="24"/>
              </w:rPr>
              <w:t>年下半年获批；羧基麦芽糖铁注射液已在中国、欧洲、韩国申报，预计</w:t>
            </w:r>
            <w:r w:rsidRPr="003316E6">
              <w:rPr>
                <w:rFonts w:ascii="Times New Roman" w:eastAsia="宋体" w:hAnsi="Times New Roman" w:cs="Times New Roman"/>
                <w:color w:val="auto"/>
                <w:spacing w:val="-2"/>
                <w:sz w:val="24"/>
                <w:szCs w:val="24"/>
              </w:rPr>
              <w:t>2025</w:t>
            </w:r>
            <w:r w:rsidRPr="003316E6">
              <w:rPr>
                <w:rFonts w:ascii="Times New Roman" w:eastAsia="宋体" w:hAnsi="Times New Roman" w:cs="Times New Roman"/>
                <w:color w:val="auto"/>
                <w:spacing w:val="-2"/>
                <w:sz w:val="24"/>
                <w:szCs w:val="24"/>
              </w:rPr>
              <w:t>年获批；醋酸兰瑞肽缓释注射液已在中国和欧洲申报，预计</w:t>
            </w:r>
            <w:r w:rsidRPr="003316E6">
              <w:rPr>
                <w:rFonts w:ascii="Times New Roman" w:eastAsia="宋体" w:hAnsi="Times New Roman" w:cs="Times New Roman"/>
                <w:color w:val="auto"/>
                <w:spacing w:val="-2"/>
                <w:sz w:val="24"/>
                <w:szCs w:val="24"/>
              </w:rPr>
              <w:t>2026</w:t>
            </w:r>
            <w:r w:rsidRPr="003316E6">
              <w:rPr>
                <w:rFonts w:ascii="Times New Roman" w:eastAsia="宋体" w:hAnsi="Times New Roman" w:cs="Times New Roman"/>
                <w:color w:val="auto"/>
                <w:spacing w:val="-2"/>
                <w:sz w:val="24"/>
                <w:szCs w:val="24"/>
              </w:rPr>
              <w:t>年获批。公司依托已经建立的国际销售渠道和团队，进一步推进和细化国际市场的工作。</w:t>
            </w:r>
          </w:p>
          <w:p w14:paraId="401C754E" w14:textId="77777777" w:rsidR="00CB429B" w:rsidRPr="003316E6" w:rsidRDefault="00CB429B"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p>
          <w:p w14:paraId="26D7F5A4" w14:textId="2DBDA475" w:rsidR="00CB429B" w:rsidRPr="003316E6" w:rsidRDefault="003440A5" w:rsidP="00CB429B">
            <w:pPr>
              <w:kinsoku/>
              <w:spacing w:before="119" w:line="360" w:lineRule="auto"/>
              <w:ind w:right="36"/>
              <w:jc w:val="both"/>
              <w:rPr>
                <w:rFonts w:ascii="Times New Roman" w:eastAsia="宋体" w:hAnsi="Times New Roman" w:cs="Times New Roman"/>
                <w:b/>
                <w:bCs/>
                <w:color w:val="auto"/>
                <w:spacing w:val="-2"/>
                <w:sz w:val="24"/>
                <w:szCs w:val="24"/>
              </w:rPr>
            </w:pPr>
            <w:r w:rsidRPr="003316E6">
              <w:rPr>
                <w:rFonts w:ascii="Times New Roman" w:eastAsia="宋体" w:hAnsi="Times New Roman" w:cs="Times New Roman"/>
                <w:b/>
                <w:bCs/>
                <w:color w:val="auto"/>
                <w:spacing w:val="-2"/>
                <w:sz w:val="24"/>
                <w:szCs w:val="24"/>
              </w:rPr>
              <w:t>7</w:t>
            </w:r>
            <w:r w:rsidR="00CB429B" w:rsidRPr="003316E6">
              <w:rPr>
                <w:rFonts w:ascii="Times New Roman" w:eastAsia="宋体" w:hAnsi="Times New Roman" w:cs="Times New Roman"/>
                <w:b/>
                <w:bCs/>
                <w:color w:val="auto"/>
                <w:spacing w:val="-2"/>
                <w:sz w:val="24"/>
                <w:szCs w:val="24"/>
              </w:rPr>
              <w:t>、一期临床的创新药</w:t>
            </w:r>
            <w:r w:rsidRPr="003316E6">
              <w:rPr>
                <w:rFonts w:ascii="Times New Roman" w:eastAsia="宋体" w:hAnsi="Times New Roman" w:cs="Times New Roman"/>
                <w:b/>
                <w:bCs/>
                <w:color w:val="auto"/>
                <w:spacing w:val="-2"/>
                <w:sz w:val="24"/>
                <w:szCs w:val="24"/>
              </w:rPr>
              <w:t>患者入组情况；创新药</w:t>
            </w:r>
            <w:r w:rsidRPr="003316E6">
              <w:rPr>
                <w:rFonts w:ascii="Times New Roman" w:eastAsia="宋体" w:hAnsi="Times New Roman" w:cs="Times New Roman"/>
                <w:b/>
                <w:bCs/>
                <w:color w:val="auto"/>
                <w:spacing w:val="-2"/>
                <w:sz w:val="24"/>
                <w:szCs w:val="24"/>
              </w:rPr>
              <w:t>HY-0002a</w:t>
            </w:r>
            <w:r w:rsidRPr="003316E6">
              <w:rPr>
                <w:rFonts w:ascii="Times New Roman" w:eastAsia="宋体" w:hAnsi="Times New Roman" w:cs="Times New Roman"/>
                <w:b/>
                <w:bCs/>
                <w:color w:val="auto"/>
                <w:spacing w:val="-2"/>
                <w:sz w:val="24"/>
                <w:szCs w:val="24"/>
              </w:rPr>
              <w:t>进展情况；创新药临床试验政府补助</w:t>
            </w:r>
          </w:p>
          <w:p w14:paraId="18361273" w14:textId="521F6630" w:rsidR="003440A5" w:rsidRPr="003316E6" w:rsidRDefault="00CB429B"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截至目前，公司已有</w:t>
            </w:r>
            <w:r w:rsidRPr="003316E6">
              <w:rPr>
                <w:rFonts w:ascii="Times New Roman" w:eastAsia="宋体" w:hAnsi="Times New Roman" w:cs="Times New Roman"/>
                <w:color w:val="auto"/>
                <w:spacing w:val="-2"/>
                <w:sz w:val="24"/>
                <w:szCs w:val="24"/>
              </w:rPr>
              <w:t>3</w:t>
            </w:r>
            <w:r w:rsidRPr="003316E6">
              <w:rPr>
                <w:rFonts w:ascii="Times New Roman" w:eastAsia="宋体" w:hAnsi="Times New Roman" w:cs="Times New Roman"/>
                <w:color w:val="auto"/>
                <w:spacing w:val="-2"/>
                <w:sz w:val="24"/>
                <w:szCs w:val="24"/>
              </w:rPr>
              <w:t>款创新药进入临床阶段，另有</w:t>
            </w:r>
            <w:r w:rsidRPr="003316E6">
              <w:rPr>
                <w:rFonts w:ascii="Times New Roman" w:eastAsia="宋体" w:hAnsi="Times New Roman" w:cs="Times New Roman"/>
                <w:color w:val="auto"/>
                <w:spacing w:val="-2"/>
                <w:sz w:val="24"/>
                <w:szCs w:val="24"/>
              </w:rPr>
              <w:t>2</w:t>
            </w:r>
            <w:r w:rsidRPr="003316E6">
              <w:rPr>
                <w:rFonts w:ascii="Times New Roman" w:eastAsia="宋体" w:hAnsi="Times New Roman" w:cs="Times New Roman"/>
                <w:color w:val="auto"/>
                <w:spacing w:val="-2"/>
                <w:sz w:val="24"/>
                <w:szCs w:val="24"/>
              </w:rPr>
              <w:t>款创新药临床试验申请已受理。项目最新的临床进展、患者招募及入组情况可关注国家药品监督管理局药品审评中心（</w:t>
            </w:r>
            <w:r w:rsidRPr="003316E6">
              <w:rPr>
                <w:rFonts w:ascii="Times New Roman" w:eastAsia="宋体" w:hAnsi="Times New Roman" w:cs="Times New Roman"/>
                <w:color w:val="auto"/>
                <w:spacing w:val="-2"/>
                <w:sz w:val="24"/>
                <w:szCs w:val="24"/>
              </w:rPr>
              <w:t>https://www.cde.org.cn/</w:t>
            </w:r>
            <w:r w:rsidRPr="003316E6">
              <w:rPr>
                <w:rFonts w:ascii="Times New Roman" w:eastAsia="宋体" w:hAnsi="Times New Roman" w:cs="Times New Roman"/>
                <w:color w:val="auto"/>
                <w:spacing w:val="-2"/>
                <w:sz w:val="24"/>
                <w:szCs w:val="24"/>
              </w:rPr>
              <w:t>）药物临床试验登记与信息公示平台发布的信息。</w:t>
            </w:r>
          </w:p>
          <w:p w14:paraId="2F172F28" w14:textId="406F8BB9" w:rsidR="003440A5" w:rsidRPr="003316E6" w:rsidRDefault="003440A5"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w:t>
            </w:r>
            <w:r w:rsidRPr="003316E6">
              <w:rPr>
                <w:rFonts w:ascii="Times New Roman" w:eastAsia="宋体" w:hAnsi="Times New Roman" w:cs="Times New Roman"/>
                <w:color w:val="auto"/>
                <w:spacing w:val="-2"/>
                <w:sz w:val="24"/>
                <w:szCs w:val="24"/>
              </w:rPr>
              <w:t>HY-0002a</w:t>
            </w:r>
            <w:r w:rsidRPr="003316E6">
              <w:rPr>
                <w:rFonts w:ascii="Times New Roman" w:eastAsia="宋体" w:hAnsi="Times New Roman" w:cs="Times New Roman"/>
                <w:color w:val="auto"/>
                <w:spacing w:val="-2"/>
                <w:sz w:val="24"/>
                <w:szCs w:val="24"/>
              </w:rPr>
              <w:t>项目进度不及公司最初预期，影响临床进度缓慢的原因包括：病人少、方案设计不完善、沟通与协作不畅等，目前公司正在积极推进中。此外，创新药研发本身就是一个高风险、高投入、长周期的过程。从药物发现到最终上市，需要经历临床前研究、临床试验、审批等多个环节，每一个环节都充满了不确定性。请投资者</w:t>
            </w:r>
            <w:r w:rsidR="004D3069">
              <w:rPr>
                <w:rFonts w:ascii="Times New Roman" w:eastAsia="宋体" w:hAnsi="Times New Roman" w:cs="Times New Roman" w:hint="eastAsia"/>
                <w:color w:val="auto"/>
                <w:spacing w:val="-2"/>
                <w:sz w:val="24"/>
                <w:szCs w:val="24"/>
              </w:rPr>
              <w:t>理性</w:t>
            </w:r>
            <w:bookmarkStart w:id="0" w:name="_GoBack"/>
            <w:bookmarkEnd w:id="0"/>
            <w:r w:rsidRPr="003316E6">
              <w:rPr>
                <w:rFonts w:ascii="Times New Roman" w:eastAsia="宋体" w:hAnsi="Times New Roman" w:cs="Times New Roman"/>
                <w:color w:val="auto"/>
                <w:spacing w:val="-2"/>
                <w:sz w:val="24"/>
                <w:szCs w:val="24"/>
              </w:rPr>
              <w:t>对待市场波动，注意防范投资风险。</w:t>
            </w:r>
          </w:p>
          <w:p w14:paraId="255A7E2F" w14:textId="77777777" w:rsidR="003440A5" w:rsidRPr="003316E6" w:rsidRDefault="003440A5"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lastRenderedPageBreak/>
              <w:t>截止</w:t>
            </w:r>
            <w:r w:rsidRPr="003316E6">
              <w:rPr>
                <w:rFonts w:ascii="Times New Roman" w:eastAsia="宋体" w:hAnsi="Times New Roman" w:cs="Times New Roman"/>
                <w:color w:val="auto"/>
                <w:spacing w:val="-2"/>
                <w:sz w:val="24"/>
                <w:szCs w:val="24"/>
              </w:rPr>
              <w:t>2024</w:t>
            </w:r>
            <w:r w:rsidRPr="003316E6">
              <w:rPr>
                <w:rFonts w:ascii="Times New Roman" w:eastAsia="宋体" w:hAnsi="Times New Roman" w:cs="Times New Roman"/>
                <w:color w:val="auto"/>
                <w:spacing w:val="-2"/>
                <w:sz w:val="24"/>
                <w:szCs w:val="24"/>
              </w:rPr>
              <w:t>年</w:t>
            </w:r>
            <w:r w:rsidRPr="003316E6">
              <w:rPr>
                <w:rFonts w:ascii="Times New Roman" w:eastAsia="宋体" w:hAnsi="Times New Roman" w:cs="Times New Roman"/>
                <w:color w:val="auto"/>
                <w:spacing w:val="-2"/>
                <w:sz w:val="24"/>
                <w:szCs w:val="24"/>
              </w:rPr>
              <w:t>12</w:t>
            </w:r>
            <w:r w:rsidRPr="003316E6">
              <w:rPr>
                <w:rFonts w:ascii="Times New Roman" w:eastAsia="宋体" w:hAnsi="Times New Roman" w:cs="Times New Roman"/>
                <w:color w:val="auto"/>
                <w:spacing w:val="-2"/>
                <w:sz w:val="24"/>
                <w:szCs w:val="24"/>
              </w:rPr>
              <w:t>月</w:t>
            </w:r>
            <w:r w:rsidRPr="003316E6">
              <w:rPr>
                <w:rFonts w:ascii="Times New Roman" w:eastAsia="宋体" w:hAnsi="Times New Roman" w:cs="Times New Roman"/>
                <w:color w:val="auto"/>
                <w:spacing w:val="-2"/>
                <w:sz w:val="24"/>
                <w:szCs w:val="24"/>
              </w:rPr>
              <w:t>31</w:t>
            </w:r>
            <w:r w:rsidRPr="003316E6">
              <w:rPr>
                <w:rFonts w:ascii="Times New Roman" w:eastAsia="宋体" w:hAnsi="Times New Roman" w:cs="Times New Roman"/>
                <w:color w:val="auto"/>
                <w:spacing w:val="-2"/>
                <w:sz w:val="24"/>
                <w:szCs w:val="24"/>
              </w:rPr>
              <w:t>日，公司持有同康源医药</w:t>
            </w:r>
            <w:r w:rsidRPr="003316E6">
              <w:rPr>
                <w:rFonts w:ascii="Times New Roman" w:eastAsia="宋体" w:hAnsi="Times New Roman" w:cs="Times New Roman"/>
                <w:color w:val="auto"/>
                <w:spacing w:val="-2"/>
                <w:sz w:val="24"/>
                <w:szCs w:val="24"/>
              </w:rPr>
              <w:t>1046.8584</w:t>
            </w:r>
            <w:r w:rsidRPr="003316E6">
              <w:rPr>
                <w:rFonts w:ascii="Times New Roman" w:eastAsia="宋体" w:hAnsi="Times New Roman" w:cs="Times New Roman"/>
                <w:color w:val="auto"/>
                <w:spacing w:val="-2"/>
                <w:sz w:val="24"/>
                <w:szCs w:val="24"/>
              </w:rPr>
              <w:t>万股股份，占总股本</w:t>
            </w:r>
            <w:r w:rsidRPr="003316E6">
              <w:rPr>
                <w:rFonts w:ascii="Times New Roman" w:eastAsia="宋体" w:hAnsi="Times New Roman" w:cs="Times New Roman"/>
                <w:color w:val="auto"/>
                <w:spacing w:val="-2"/>
                <w:sz w:val="24"/>
                <w:szCs w:val="24"/>
              </w:rPr>
              <w:t>2.82%</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 xml:space="preserve"> 2024 </w:t>
            </w:r>
            <w:r w:rsidRPr="003316E6">
              <w:rPr>
                <w:rFonts w:ascii="Times New Roman" w:eastAsia="宋体" w:hAnsi="Times New Roman" w:cs="Times New Roman"/>
                <w:color w:val="auto"/>
                <w:spacing w:val="-2"/>
                <w:sz w:val="24"/>
                <w:szCs w:val="24"/>
              </w:rPr>
              <w:t>年公司确认为当期损益（计入其他收益）的政府补助为</w:t>
            </w:r>
            <w:r w:rsidRPr="003316E6">
              <w:rPr>
                <w:rFonts w:ascii="Times New Roman" w:eastAsia="宋体" w:hAnsi="Times New Roman" w:cs="Times New Roman"/>
                <w:color w:val="auto"/>
                <w:spacing w:val="-2"/>
                <w:sz w:val="24"/>
                <w:szCs w:val="24"/>
              </w:rPr>
              <w:t>2,392.68</w:t>
            </w:r>
            <w:r w:rsidRPr="003316E6">
              <w:rPr>
                <w:rFonts w:ascii="Times New Roman" w:eastAsia="宋体" w:hAnsi="Times New Roman" w:cs="Times New Roman"/>
                <w:color w:val="auto"/>
                <w:spacing w:val="-2"/>
                <w:sz w:val="24"/>
                <w:szCs w:val="24"/>
              </w:rPr>
              <w:t>万元。</w:t>
            </w:r>
          </w:p>
          <w:p w14:paraId="2A21D6E4" w14:textId="77777777" w:rsidR="003440A5" w:rsidRPr="003316E6" w:rsidRDefault="003440A5"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p>
          <w:p w14:paraId="2AEB6600" w14:textId="3E1861AF" w:rsidR="004A375F" w:rsidRPr="003316E6" w:rsidRDefault="003440A5" w:rsidP="003440A5">
            <w:pPr>
              <w:kinsoku/>
              <w:spacing w:before="119" w:line="360" w:lineRule="auto"/>
              <w:ind w:right="36"/>
              <w:jc w:val="both"/>
              <w:rPr>
                <w:rFonts w:ascii="Times New Roman" w:eastAsiaTheme="minorEastAsia" w:hAnsi="Times New Roman" w:cs="Times New Roman"/>
                <w:color w:val="auto"/>
                <w:spacing w:val="-2"/>
                <w:sz w:val="24"/>
                <w:szCs w:val="24"/>
              </w:rPr>
            </w:pPr>
            <w:r w:rsidRPr="003316E6">
              <w:rPr>
                <w:rFonts w:ascii="Times New Roman" w:eastAsia="宋体" w:hAnsi="Times New Roman" w:cs="Times New Roman"/>
                <w:b/>
                <w:bCs/>
                <w:color w:val="auto"/>
                <w:spacing w:val="-2"/>
                <w:sz w:val="24"/>
                <w:szCs w:val="24"/>
              </w:rPr>
              <w:t>8</w:t>
            </w:r>
            <w:r w:rsidRPr="003316E6">
              <w:rPr>
                <w:rFonts w:ascii="Times New Roman" w:eastAsia="宋体" w:hAnsi="Times New Roman" w:cs="Times New Roman"/>
                <w:b/>
                <w:bCs/>
                <w:color w:val="auto"/>
                <w:spacing w:val="-2"/>
                <w:sz w:val="24"/>
                <w:szCs w:val="24"/>
              </w:rPr>
              <w:t>、公司的发展战略和投资策略；投资</w:t>
            </w:r>
            <w:r w:rsidR="00040518" w:rsidRPr="003316E6">
              <w:rPr>
                <w:rFonts w:ascii="Times New Roman" w:eastAsia="宋体" w:hAnsi="Times New Roman" w:cs="Times New Roman"/>
                <w:b/>
                <w:bCs/>
                <w:color w:val="auto"/>
                <w:spacing w:val="-2"/>
                <w:sz w:val="24"/>
                <w:szCs w:val="24"/>
              </w:rPr>
              <w:t>浙江同源康</w:t>
            </w:r>
            <w:r w:rsidRPr="003316E6">
              <w:rPr>
                <w:rFonts w:ascii="Times New Roman" w:eastAsia="宋体" w:hAnsi="Times New Roman" w:cs="Times New Roman"/>
                <w:b/>
                <w:bCs/>
                <w:color w:val="auto"/>
                <w:spacing w:val="-2"/>
                <w:sz w:val="24"/>
                <w:szCs w:val="24"/>
              </w:rPr>
              <w:t>的</w:t>
            </w:r>
            <w:r w:rsidR="00040518" w:rsidRPr="003316E6">
              <w:rPr>
                <w:rFonts w:ascii="Times New Roman" w:eastAsia="宋体" w:hAnsi="Times New Roman" w:cs="Times New Roman"/>
                <w:b/>
                <w:bCs/>
                <w:color w:val="auto"/>
                <w:spacing w:val="-2"/>
                <w:sz w:val="24"/>
                <w:szCs w:val="24"/>
              </w:rPr>
              <w:t>投资余额</w:t>
            </w:r>
            <w:r w:rsidRPr="003316E6">
              <w:rPr>
                <w:rFonts w:ascii="Times New Roman" w:eastAsia="宋体" w:hAnsi="Times New Roman" w:cs="Times New Roman"/>
                <w:b/>
                <w:bCs/>
                <w:color w:val="auto"/>
                <w:spacing w:val="-2"/>
                <w:sz w:val="24"/>
                <w:szCs w:val="24"/>
              </w:rPr>
              <w:t>、</w:t>
            </w:r>
            <w:r w:rsidR="00040518" w:rsidRPr="003316E6">
              <w:rPr>
                <w:rFonts w:ascii="Times New Roman" w:eastAsia="宋体" w:hAnsi="Times New Roman" w:cs="Times New Roman"/>
                <w:b/>
                <w:bCs/>
                <w:color w:val="auto"/>
                <w:spacing w:val="-2"/>
                <w:sz w:val="24"/>
                <w:szCs w:val="24"/>
              </w:rPr>
              <w:t>初始投资成本</w:t>
            </w:r>
            <w:r w:rsidRPr="003316E6">
              <w:rPr>
                <w:rFonts w:ascii="Times New Roman" w:eastAsia="宋体" w:hAnsi="Times New Roman" w:cs="Times New Roman"/>
                <w:b/>
                <w:bCs/>
                <w:color w:val="auto"/>
                <w:spacing w:val="-2"/>
                <w:sz w:val="24"/>
                <w:szCs w:val="24"/>
              </w:rPr>
              <w:t>及对利润的影响</w:t>
            </w:r>
          </w:p>
          <w:p w14:paraId="26B8D486" w14:textId="5E1C8BDF" w:rsidR="003440A5" w:rsidRPr="003316E6" w:rsidRDefault="003440A5"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公司成立以来，研发驱动是公司坚定不移的发展战略，公司中短期内将持续发展仿制药，同时重点推进创新药研发，公司在加快从</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以仿养创</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到</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仿创并重</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，并迈向</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创新为主</w:t>
            </w:r>
            <w:r w:rsidRPr="003316E6">
              <w:rPr>
                <w:rFonts w:ascii="Times New Roman" w:eastAsia="宋体" w:hAnsi="Times New Roman" w:cs="Times New Roman"/>
                <w:color w:val="auto"/>
                <w:spacing w:val="-2"/>
                <w:sz w:val="24"/>
                <w:szCs w:val="24"/>
              </w:rPr>
              <w:t>”</w:t>
            </w:r>
            <w:r w:rsidRPr="003316E6">
              <w:rPr>
                <w:rFonts w:ascii="Times New Roman" w:eastAsia="宋体" w:hAnsi="Times New Roman" w:cs="Times New Roman"/>
                <w:color w:val="auto"/>
                <w:spacing w:val="-2"/>
                <w:sz w:val="24"/>
                <w:szCs w:val="24"/>
              </w:rPr>
              <w:t>。同时，公司也将积极挖掘与公司主营业务协同发展的业内优秀企业并展开积极合作。</w:t>
            </w:r>
          </w:p>
          <w:p w14:paraId="29AD687A" w14:textId="2FBDFDA8" w:rsidR="003440A5" w:rsidRPr="003316E6" w:rsidRDefault="00040518" w:rsidP="003440A5">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公司于</w:t>
            </w:r>
            <w:r w:rsidRPr="003316E6">
              <w:rPr>
                <w:rFonts w:ascii="Times New Roman" w:eastAsia="宋体" w:hAnsi="Times New Roman" w:cs="Times New Roman"/>
                <w:color w:val="auto"/>
                <w:spacing w:val="-2"/>
                <w:sz w:val="24"/>
                <w:szCs w:val="24"/>
              </w:rPr>
              <w:t>2023</w:t>
            </w:r>
            <w:r w:rsidRPr="003316E6">
              <w:rPr>
                <w:rFonts w:ascii="Times New Roman" w:eastAsia="宋体" w:hAnsi="Times New Roman" w:cs="Times New Roman"/>
                <w:color w:val="auto"/>
                <w:spacing w:val="-2"/>
                <w:sz w:val="24"/>
                <w:szCs w:val="24"/>
              </w:rPr>
              <w:t>年</w:t>
            </w:r>
            <w:r w:rsidRPr="003316E6">
              <w:rPr>
                <w:rFonts w:ascii="Times New Roman" w:eastAsia="宋体" w:hAnsi="Times New Roman" w:cs="Times New Roman"/>
                <w:color w:val="auto"/>
                <w:spacing w:val="-2"/>
                <w:sz w:val="24"/>
                <w:szCs w:val="24"/>
              </w:rPr>
              <w:t>12</w:t>
            </w:r>
            <w:r w:rsidRPr="003316E6">
              <w:rPr>
                <w:rFonts w:ascii="Times New Roman" w:eastAsia="宋体" w:hAnsi="Times New Roman" w:cs="Times New Roman"/>
                <w:color w:val="auto"/>
                <w:spacing w:val="-2"/>
                <w:sz w:val="24"/>
                <w:szCs w:val="24"/>
              </w:rPr>
              <w:t>月</w:t>
            </w:r>
            <w:r w:rsidRPr="003316E6">
              <w:rPr>
                <w:rFonts w:ascii="Times New Roman" w:eastAsia="宋体" w:hAnsi="Times New Roman" w:cs="Times New Roman"/>
                <w:color w:val="auto"/>
                <w:spacing w:val="-2"/>
                <w:sz w:val="24"/>
                <w:szCs w:val="24"/>
              </w:rPr>
              <w:t>1</w:t>
            </w:r>
            <w:r w:rsidRPr="003316E6">
              <w:rPr>
                <w:rFonts w:ascii="Times New Roman" w:eastAsia="宋体" w:hAnsi="Times New Roman" w:cs="Times New Roman"/>
                <w:color w:val="auto"/>
                <w:spacing w:val="-2"/>
                <w:sz w:val="24"/>
                <w:szCs w:val="24"/>
              </w:rPr>
              <w:t>日召开总经理办公会，一致同意公司与同源康医药签署《投资协议》，使用自有资金人民币</w:t>
            </w:r>
            <w:r w:rsidRPr="003316E6">
              <w:rPr>
                <w:rFonts w:ascii="Times New Roman" w:eastAsia="宋体" w:hAnsi="Times New Roman" w:cs="Times New Roman"/>
                <w:color w:val="auto"/>
                <w:spacing w:val="-2"/>
                <w:sz w:val="24"/>
                <w:szCs w:val="24"/>
              </w:rPr>
              <w:t>10000</w:t>
            </w:r>
            <w:r w:rsidRPr="003316E6">
              <w:rPr>
                <w:rFonts w:ascii="Times New Roman" w:eastAsia="宋体" w:hAnsi="Times New Roman" w:cs="Times New Roman"/>
                <w:color w:val="auto"/>
                <w:spacing w:val="-2"/>
                <w:sz w:val="24"/>
                <w:szCs w:val="24"/>
              </w:rPr>
              <w:t>万元认购同康源医药</w:t>
            </w:r>
            <w:r w:rsidRPr="003316E6">
              <w:rPr>
                <w:rFonts w:ascii="Times New Roman" w:eastAsia="宋体" w:hAnsi="Times New Roman" w:cs="Times New Roman"/>
                <w:color w:val="auto"/>
                <w:spacing w:val="-2"/>
                <w:sz w:val="24"/>
                <w:szCs w:val="24"/>
              </w:rPr>
              <w:t>1046.8584</w:t>
            </w:r>
            <w:r w:rsidRPr="003316E6">
              <w:rPr>
                <w:rFonts w:ascii="Times New Roman" w:eastAsia="宋体" w:hAnsi="Times New Roman" w:cs="Times New Roman"/>
                <w:color w:val="auto"/>
                <w:spacing w:val="-2"/>
                <w:sz w:val="24"/>
                <w:szCs w:val="24"/>
              </w:rPr>
              <w:t>万股股份。投资完成后，公司持有同康源医药</w:t>
            </w:r>
            <w:r w:rsidRPr="003316E6">
              <w:rPr>
                <w:rFonts w:ascii="Times New Roman" w:eastAsia="宋体" w:hAnsi="Times New Roman" w:cs="Times New Roman"/>
                <w:color w:val="auto"/>
                <w:spacing w:val="-2"/>
                <w:sz w:val="24"/>
                <w:szCs w:val="24"/>
              </w:rPr>
              <w:t>3.2415%</w:t>
            </w:r>
            <w:r w:rsidRPr="003316E6">
              <w:rPr>
                <w:rFonts w:ascii="Times New Roman" w:eastAsia="宋体" w:hAnsi="Times New Roman" w:cs="Times New Roman"/>
                <w:color w:val="auto"/>
                <w:spacing w:val="-2"/>
                <w:sz w:val="24"/>
                <w:szCs w:val="24"/>
              </w:rPr>
              <w:t>股份。</w:t>
            </w:r>
            <w:r w:rsidR="003440A5" w:rsidRPr="003316E6">
              <w:rPr>
                <w:rFonts w:ascii="Times New Roman" w:eastAsia="宋体" w:hAnsi="Times New Roman" w:cs="Times New Roman"/>
                <w:color w:val="auto"/>
                <w:spacing w:val="-2"/>
                <w:sz w:val="24"/>
                <w:szCs w:val="24"/>
              </w:rPr>
              <w:t>公司持有的同源康医药股票在每个报告期末按公允价值计入交易性金融资产，具体金额受同源康医药股价波动影响，公司对外投资的交易性金融资产的公允价值产生波动，会对公司的经营业绩产生影响。</w:t>
            </w:r>
          </w:p>
          <w:p w14:paraId="3F8961D8" w14:textId="77777777" w:rsidR="003440A5" w:rsidRPr="003316E6" w:rsidRDefault="003440A5" w:rsidP="00040518">
            <w:pPr>
              <w:kinsoku/>
              <w:spacing w:before="119" w:line="360" w:lineRule="auto"/>
              <w:ind w:right="36" w:firstLineChars="200" w:firstLine="476"/>
              <w:jc w:val="both"/>
              <w:rPr>
                <w:rFonts w:ascii="Times New Roman" w:eastAsia="宋体" w:hAnsi="Times New Roman" w:cs="Times New Roman"/>
                <w:color w:val="auto"/>
                <w:spacing w:val="-2"/>
                <w:sz w:val="24"/>
                <w:szCs w:val="24"/>
              </w:rPr>
            </w:pPr>
          </w:p>
          <w:p w14:paraId="6DD90676" w14:textId="25FD0855" w:rsidR="004A375F" w:rsidRPr="003316E6" w:rsidRDefault="003440A5">
            <w:pPr>
              <w:kinsoku/>
              <w:spacing w:before="119" w:line="360" w:lineRule="auto"/>
              <w:ind w:right="36"/>
              <w:jc w:val="both"/>
              <w:rPr>
                <w:rFonts w:ascii="Times New Roman" w:eastAsia="宋体" w:hAnsi="Times New Roman" w:cs="Times New Roman"/>
                <w:b/>
                <w:bCs/>
                <w:color w:val="auto"/>
                <w:spacing w:val="-2"/>
                <w:sz w:val="24"/>
                <w:szCs w:val="24"/>
              </w:rPr>
            </w:pPr>
            <w:r w:rsidRPr="003316E6">
              <w:rPr>
                <w:rFonts w:ascii="Times New Roman" w:eastAsia="宋体" w:hAnsi="Times New Roman" w:cs="Times New Roman"/>
                <w:b/>
                <w:bCs/>
                <w:color w:val="auto"/>
                <w:spacing w:val="-2"/>
                <w:sz w:val="24"/>
                <w:szCs w:val="24"/>
              </w:rPr>
              <w:t>9</w:t>
            </w:r>
            <w:r w:rsidRPr="003316E6">
              <w:rPr>
                <w:rFonts w:ascii="Times New Roman" w:eastAsia="宋体" w:hAnsi="Times New Roman" w:cs="Times New Roman"/>
                <w:b/>
                <w:bCs/>
                <w:color w:val="auto"/>
                <w:spacing w:val="-2"/>
                <w:sz w:val="24"/>
                <w:szCs w:val="24"/>
              </w:rPr>
              <w:t>、</w:t>
            </w:r>
            <w:r w:rsidR="00040518" w:rsidRPr="003316E6">
              <w:rPr>
                <w:rFonts w:ascii="Times New Roman" w:eastAsia="宋体" w:hAnsi="Times New Roman" w:cs="Times New Roman"/>
                <w:b/>
                <w:bCs/>
                <w:color w:val="auto"/>
                <w:spacing w:val="-2"/>
                <w:sz w:val="24"/>
                <w:szCs w:val="24"/>
              </w:rPr>
              <w:t>实控人和大股东黄乾益减持</w:t>
            </w:r>
            <w:r w:rsidRPr="003316E6">
              <w:rPr>
                <w:rFonts w:ascii="Times New Roman" w:eastAsia="宋体" w:hAnsi="Times New Roman" w:cs="Times New Roman"/>
                <w:b/>
                <w:bCs/>
                <w:color w:val="auto"/>
                <w:spacing w:val="-2"/>
                <w:sz w:val="24"/>
                <w:szCs w:val="24"/>
              </w:rPr>
              <w:t>情况、</w:t>
            </w:r>
            <w:r w:rsidR="00040518" w:rsidRPr="003316E6">
              <w:rPr>
                <w:rFonts w:ascii="Times New Roman" w:eastAsia="宋体" w:hAnsi="Times New Roman" w:cs="Times New Roman"/>
                <w:b/>
                <w:bCs/>
                <w:color w:val="auto"/>
                <w:spacing w:val="-2"/>
                <w:sz w:val="24"/>
                <w:szCs w:val="24"/>
              </w:rPr>
              <w:t>减持可行方式</w:t>
            </w:r>
          </w:p>
          <w:p w14:paraId="2E00CC8F" w14:textId="77777777" w:rsidR="00D93994" w:rsidRPr="003316E6" w:rsidRDefault="00D93994">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汇宇制药股东减持股份的行为符合中国证监会、上海证券交易所的相关规定且履行了相关信息披露义务，股东结合证券市场情况及其自身具体情况，自主决策确定是否减持及减持股份数量。</w:t>
            </w:r>
          </w:p>
          <w:p w14:paraId="765349A9" w14:textId="26D0A96F" w:rsidR="004A375F" w:rsidRPr="003316E6" w:rsidRDefault="00040518">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公司首次公开发行部分限售股、首次公开发行部分战略配售限售股已于</w:t>
            </w:r>
            <w:r w:rsidRPr="003316E6">
              <w:rPr>
                <w:rFonts w:ascii="Times New Roman" w:eastAsia="宋体" w:hAnsi="Times New Roman" w:cs="Times New Roman"/>
                <w:color w:val="auto"/>
                <w:spacing w:val="-2"/>
                <w:sz w:val="24"/>
                <w:szCs w:val="24"/>
              </w:rPr>
              <w:t>2022</w:t>
            </w:r>
            <w:r w:rsidRPr="003316E6">
              <w:rPr>
                <w:rFonts w:ascii="Times New Roman" w:eastAsia="宋体" w:hAnsi="Times New Roman" w:cs="Times New Roman"/>
                <w:color w:val="auto"/>
                <w:spacing w:val="-2"/>
                <w:sz w:val="24"/>
                <w:szCs w:val="24"/>
              </w:rPr>
              <w:t>年</w:t>
            </w:r>
            <w:r w:rsidRPr="003316E6">
              <w:rPr>
                <w:rFonts w:ascii="Times New Roman" w:eastAsia="宋体" w:hAnsi="Times New Roman" w:cs="Times New Roman"/>
                <w:color w:val="auto"/>
                <w:spacing w:val="-2"/>
                <w:sz w:val="24"/>
                <w:szCs w:val="24"/>
              </w:rPr>
              <w:t>10</w:t>
            </w:r>
            <w:r w:rsidRPr="003316E6">
              <w:rPr>
                <w:rFonts w:ascii="Times New Roman" w:eastAsia="宋体" w:hAnsi="Times New Roman" w:cs="Times New Roman"/>
                <w:color w:val="auto"/>
                <w:spacing w:val="-2"/>
                <w:sz w:val="24"/>
                <w:szCs w:val="24"/>
              </w:rPr>
              <w:t>月</w:t>
            </w:r>
            <w:r w:rsidRPr="003316E6">
              <w:rPr>
                <w:rFonts w:ascii="Times New Roman" w:eastAsia="宋体" w:hAnsi="Times New Roman" w:cs="Times New Roman"/>
                <w:color w:val="auto"/>
                <w:spacing w:val="-2"/>
                <w:sz w:val="24"/>
                <w:szCs w:val="24"/>
              </w:rPr>
              <w:t>26</w:t>
            </w:r>
            <w:r w:rsidRPr="003316E6">
              <w:rPr>
                <w:rFonts w:ascii="Times New Roman" w:eastAsia="宋体" w:hAnsi="Times New Roman" w:cs="Times New Roman"/>
                <w:color w:val="auto"/>
                <w:spacing w:val="-2"/>
                <w:sz w:val="24"/>
                <w:szCs w:val="24"/>
              </w:rPr>
              <w:t>日起上市流通，涉及限售股股东数量为</w:t>
            </w:r>
            <w:r w:rsidRPr="003316E6">
              <w:rPr>
                <w:rFonts w:ascii="Times New Roman" w:eastAsia="宋体" w:hAnsi="Times New Roman" w:cs="Times New Roman"/>
                <w:color w:val="auto"/>
                <w:spacing w:val="-2"/>
                <w:sz w:val="24"/>
                <w:szCs w:val="24"/>
              </w:rPr>
              <w:t>23</w:t>
            </w:r>
            <w:r w:rsidRPr="003316E6">
              <w:rPr>
                <w:rFonts w:ascii="Times New Roman" w:eastAsia="宋体" w:hAnsi="Times New Roman" w:cs="Times New Roman"/>
                <w:color w:val="auto"/>
                <w:spacing w:val="-2"/>
                <w:sz w:val="24"/>
                <w:szCs w:val="24"/>
              </w:rPr>
              <w:t>名，限售期为自公司股票上市之日起</w:t>
            </w:r>
            <w:r w:rsidRPr="003316E6">
              <w:rPr>
                <w:rFonts w:ascii="Times New Roman" w:eastAsia="宋体" w:hAnsi="Times New Roman" w:cs="Times New Roman"/>
                <w:color w:val="auto"/>
                <w:spacing w:val="-2"/>
                <w:sz w:val="24"/>
                <w:szCs w:val="24"/>
              </w:rPr>
              <w:t>12</w:t>
            </w:r>
            <w:r w:rsidRPr="003316E6">
              <w:rPr>
                <w:rFonts w:ascii="Times New Roman" w:eastAsia="宋体" w:hAnsi="Times New Roman" w:cs="Times New Roman"/>
                <w:color w:val="auto"/>
                <w:spacing w:val="-2"/>
                <w:sz w:val="24"/>
                <w:szCs w:val="24"/>
              </w:rPr>
              <w:t>个月，该部分限售股股东对应的股份数量为</w:t>
            </w:r>
            <w:r w:rsidRPr="003316E6">
              <w:rPr>
                <w:rFonts w:ascii="Times New Roman" w:eastAsia="宋体" w:hAnsi="Times New Roman" w:cs="Times New Roman"/>
                <w:color w:val="auto"/>
                <w:spacing w:val="-2"/>
                <w:sz w:val="24"/>
                <w:szCs w:val="24"/>
              </w:rPr>
              <w:t xml:space="preserve"> 236,930,120 </w:t>
            </w:r>
            <w:r w:rsidRPr="003316E6">
              <w:rPr>
                <w:rFonts w:ascii="Times New Roman" w:eastAsia="宋体" w:hAnsi="Times New Roman" w:cs="Times New Roman"/>
                <w:color w:val="auto"/>
                <w:spacing w:val="-2"/>
                <w:sz w:val="24"/>
                <w:szCs w:val="24"/>
              </w:rPr>
              <w:t>股，占公司股本总数的</w:t>
            </w:r>
            <w:r w:rsidRPr="003316E6">
              <w:rPr>
                <w:rFonts w:ascii="Times New Roman" w:eastAsia="宋体" w:hAnsi="Times New Roman" w:cs="Times New Roman"/>
                <w:color w:val="auto"/>
                <w:spacing w:val="-2"/>
                <w:sz w:val="24"/>
                <w:szCs w:val="24"/>
              </w:rPr>
              <w:t xml:space="preserve"> 55.933%</w:t>
            </w:r>
            <w:r w:rsidRPr="003316E6">
              <w:rPr>
                <w:rFonts w:ascii="Times New Roman" w:eastAsia="宋体" w:hAnsi="Times New Roman" w:cs="Times New Roman"/>
                <w:color w:val="auto"/>
                <w:spacing w:val="-2"/>
                <w:sz w:val="24"/>
                <w:szCs w:val="24"/>
              </w:rPr>
              <w:t>，详细情况请参考</w:t>
            </w:r>
            <w:r w:rsidRPr="003316E6">
              <w:rPr>
                <w:rFonts w:ascii="Times New Roman" w:eastAsia="宋体" w:hAnsi="Times New Roman" w:cs="Times New Roman"/>
                <w:color w:val="auto"/>
                <w:spacing w:val="-2"/>
                <w:sz w:val="24"/>
                <w:szCs w:val="24"/>
              </w:rPr>
              <w:t>2022</w:t>
            </w:r>
            <w:r w:rsidRPr="003316E6">
              <w:rPr>
                <w:rFonts w:ascii="Times New Roman" w:eastAsia="宋体" w:hAnsi="Times New Roman" w:cs="Times New Roman"/>
                <w:color w:val="auto"/>
                <w:spacing w:val="-2"/>
                <w:sz w:val="24"/>
                <w:szCs w:val="24"/>
              </w:rPr>
              <w:t>年</w:t>
            </w:r>
            <w:r w:rsidRPr="003316E6">
              <w:rPr>
                <w:rFonts w:ascii="Times New Roman" w:eastAsia="宋体" w:hAnsi="Times New Roman" w:cs="Times New Roman"/>
                <w:color w:val="auto"/>
                <w:spacing w:val="-2"/>
                <w:sz w:val="24"/>
                <w:szCs w:val="24"/>
              </w:rPr>
              <w:t>10</w:t>
            </w:r>
            <w:r w:rsidRPr="003316E6">
              <w:rPr>
                <w:rFonts w:ascii="Times New Roman" w:eastAsia="宋体" w:hAnsi="Times New Roman" w:cs="Times New Roman"/>
                <w:color w:val="auto"/>
                <w:spacing w:val="-2"/>
                <w:sz w:val="24"/>
                <w:szCs w:val="24"/>
              </w:rPr>
              <w:t>月</w:t>
            </w:r>
            <w:r w:rsidRPr="003316E6">
              <w:rPr>
                <w:rFonts w:ascii="Times New Roman" w:eastAsia="宋体" w:hAnsi="Times New Roman" w:cs="Times New Roman"/>
                <w:color w:val="auto"/>
                <w:spacing w:val="-2"/>
                <w:sz w:val="24"/>
                <w:szCs w:val="24"/>
              </w:rPr>
              <w:t>19</w:t>
            </w:r>
            <w:r w:rsidRPr="003316E6">
              <w:rPr>
                <w:rFonts w:ascii="Times New Roman" w:eastAsia="宋体" w:hAnsi="Times New Roman" w:cs="Times New Roman"/>
                <w:color w:val="auto"/>
                <w:spacing w:val="-2"/>
                <w:sz w:val="24"/>
                <w:szCs w:val="24"/>
              </w:rPr>
              <w:t>日发布的公告《四川汇宇制药股份有限公司首次公开发行部分限售股上市流通的公告》。公司控股股东、实际控制人丁兆股份流通情况请参考公司于</w:t>
            </w:r>
            <w:r w:rsidRPr="003316E6">
              <w:rPr>
                <w:rFonts w:ascii="Times New Roman" w:eastAsia="宋体" w:hAnsi="Times New Roman" w:cs="Times New Roman"/>
                <w:color w:val="auto"/>
                <w:spacing w:val="-2"/>
                <w:sz w:val="24"/>
                <w:szCs w:val="24"/>
              </w:rPr>
              <w:t>2025</w:t>
            </w:r>
            <w:r w:rsidRPr="003316E6">
              <w:rPr>
                <w:rFonts w:ascii="Times New Roman" w:eastAsia="宋体" w:hAnsi="Times New Roman" w:cs="Times New Roman"/>
                <w:color w:val="auto"/>
                <w:spacing w:val="-2"/>
                <w:sz w:val="24"/>
                <w:szCs w:val="24"/>
              </w:rPr>
              <w:t>年</w:t>
            </w:r>
            <w:r w:rsidRPr="003316E6">
              <w:rPr>
                <w:rFonts w:ascii="Times New Roman" w:eastAsia="宋体" w:hAnsi="Times New Roman" w:cs="Times New Roman"/>
                <w:color w:val="auto"/>
                <w:spacing w:val="-2"/>
                <w:sz w:val="24"/>
                <w:szCs w:val="24"/>
              </w:rPr>
              <w:t>4</w:t>
            </w:r>
            <w:r w:rsidRPr="003316E6">
              <w:rPr>
                <w:rFonts w:ascii="Times New Roman" w:eastAsia="宋体" w:hAnsi="Times New Roman" w:cs="Times New Roman"/>
                <w:color w:val="auto"/>
                <w:spacing w:val="-2"/>
                <w:sz w:val="24"/>
                <w:szCs w:val="24"/>
              </w:rPr>
              <w:t>月</w:t>
            </w:r>
            <w:r w:rsidRPr="003316E6">
              <w:rPr>
                <w:rFonts w:ascii="Times New Roman" w:eastAsia="宋体" w:hAnsi="Times New Roman" w:cs="Times New Roman"/>
                <w:color w:val="auto"/>
                <w:spacing w:val="-2"/>
                <w:sz w:val="24"/>
                <w:szCs w:val="24"/>
              </w:rPr>
              <w:t>19</w:t>
            </w:r>
            <w:r w:rsidRPr="003316E6">
              <w:rPr>
                <w:rFonts w:ascii="Times New Roman" w:eastAsia="宋体" w:hAnsi="Times New Roman" w:cs="Times New Roman"/>
                <w:color w:val="auto"/>
                <w:spacing w:val="-2"/>
                <w:sz w:val="24"/>
                <w:szCs w:val="24"/>
              </w:rPr>
              <w:t>日发布的公告《四川汇宇制药股份有限公司首次公开发行限售股上市流通公告》。减持的相关方式</w:t>
            </w:r>
            <w:r w:rsidRPr="003316E6">
              <w:rPr>
                <w:rFonts w:ascii="Times New Roman" w:eastAsia="宋体" w:hAnsi="Times New Roman" w:cs="Times New Roman"/>
                <w:color w:val="auto"/>
                <w:spacing w:val="-2"/>
                <w:sz w:val="24"/>
                <w:szCs w:val="24"/>
              </w:rPr>
              <w:lastRenderedPageBreak/>
              <w:t>请参考中国证监会发布的《上市公司股东、董监高减持股份的若干规定》等相关法规。</w:t>
            </w:r>
          </w:p>
          <w:p w14:paraId="1D13E1BE" w14:textId="77777777" w:rsidR="006774F5" w:rsidRPr="003316E6" w:rsidRDefault="006774F5" w:rsidP="00350D41">
            <w:pPr>
              <w:kinsoku/>
              <w:spacing w:before="119" w:line="360" w:lineRule="auto"/>
              <w:ind w:right="36"/>
              <w:jc w:val="both"/>
              <w:rPr>
                <w:rFonts w:ascii="Times New Roman" w:eastAsia="宋体" w:hAnsi="Times New Roman" w:cs="Times New Roman"/>
                <w:color w:val="auto"/>
                <w:spacing w:val="-2"/>
                <w:sz w:val="24"/>
                <w:szCs w:val="24"/>
              </w:rPr>
            </w:pPr>
          </w:p>
          <w:p w14:paraId="1DFA215D" w14:textId="3C4ACFD5" w:rsidR="00350D41" w:rsidRPr="003316E6" w:rsidRDefault="00D93994" w:rsidP="00350D41">
            <w:pPr>
              <w:kinsoku/>
              <w:spacing w:before="119" w:line="360" w:lineRule="auto"/>
              <w:ind w:right="36"/>
              <w:jc w:val="both"/>
              <w:rPr>
                <w:rFonts w:ascii="Times New Roman" w:eastAsia="宋体" w:hAnsi="Times New Roman" w:cs="Times New Roman"/>
                <w:b/>
                <w:bCs/>
                <w:color w:val="auto"/>
                <w:spacing w:val="-2"/>
                <w:sz w:val="24"/>
                <w:szCs w:val="24"/>
              </w:rPr>
            </w:pPr>
            <w:r w:rsidRPr="003316E6">
              <w:rPr>
                <w:rFonts w:ascii="Times New Roman" w:eastAsia="宋体" w:hAnsi="Times New Roman" w:cs="Times New Roman"/>
                <w:b/>
                <w:bCs/>
                <w:color w:val="auto"/>
                <w:spacing w:val="-2"/>
                <w:sz w:val="24"/>
                <w:szCs w:val="24"/>
              </w:rPr>
              <w:t>10</w:t>
            </w:r>
            <w:r w:rsidRPr="003316E6">
              <w:rPr>
                <w:rFonts w:ascii="Times New Roman" w:eastAsia="宋体" w:hAnsi="Times New Roman" w:cs="Times New Roman"/>
                <w:b/>
                <w:bCs/>
                <w:color w:val="auto"/>
                <w:spacing w:val="-2"/>
                <w:sz w:val="24"/>
                <w:szCs w:val="24"/>
              </w:rPr>
              <w:t>、公司股价及市值管理情况</w:t>
            </w:r>
          </w:p>
          <w:p w14:paraId="042D9C40" w14:textId="64CFF4ED" w:rsidR="00D93994" w:rsidRPr="003316E6" w:rsidRDefault="00D93994" w:rsidP="00D93994">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重视每一位投资者的利益，但二级市场股票价格受多重因素影响，并不受公司或投资者的意志所影响。公司一方面努力提升自身的经营能力，通过持续的分红回馈股东；另一方面通过积极投资者关系管理，提高市场对汇宇制药的了解和认可度。公司将始终致力于成为一家受人尊敬的国际化制药企业。</w:t>
            </w:r>
          </w:p>
          <w:p w14:paraId="5D093355" w14:textId="42EF57CF" w:rsidR="00CB429B" w:rsidRPr="003316E6" w:rsidRDefault="00350D41" w:rsidP="006774F5">
            <w:pPr>
              <w:kinsoku/>
              <w:spacing w:before="119" w:line="360" w:lineRule="auto"/>
              <w:ind w:right="36" w:firstLineChars="200" w:firstLine="476"/>
              <w:jc w:val="both"/>
              <w:rPr>
                <w:rFonts w:ascii="Times New Roman" w:eastAsia="宋体" w:hAnsi="Times New Roman" w:cs="Times New Roman"/>
                <w:color w:val="auto"/>
                <w:spacing w:val="-2"/>
                <w:sz w:val="24"/>
                <w:szCs w:val="24"/>
              </w:rPr>
            </w:pPr>
            <w:r w:rsidRPr="003316E6">
              <w:rPr>
                <w:rFonts w:ascii="Times New Roman" w:eastAsia="宋体" w:hAnsi="Times New Roman" w:cs="Times New Roman"/>
                <w:color w:val="auto"/>
                <w:spacing w:val="-2"/>
                <w:sz w:val="24"/>
                <w:szCs w:val="24"/>
              </w:rPr>
              <w:t>公司将积极开展市值管理工作，在关注二级市场价值的同时，更以发展公司自身业务为首要任务，争取长期价值的体现。对于大股东增持、员工持股、公司股份回购等，公司会审慎考虑，如有计划，会及时根据监管要求向市场披露，</w:t>
            </w:r>
            <w:r w:rsidR="00D93994" w:rsidRPr="003316E6">
              <w:rPr>
                <w:rFonts w:ascii="Times New Roman" w:eastAsia="宋体" w:hAnsi="Times New Roman" w:cs="Times New Roman"/>
                <w:color w:val="auto"/>
                <w:spacing w:val="-2"/>
                <w:sz w:val="24"/>
                <w:szCs w:val="24"/>
              </w:rPr>
              <w:t>请投资者客观对待市场波动，注意防范投资风险。</w:t>
            </w:r>
          </w:p>
        </w:tc>
      </w:tr>
      <w:tr w:rsidR="004A375F" w:rsidRPr="003316E6" w14:paraId="006186D4" w14:textId="77777777" w:rsidTr="006774F5">
        <w:trPr>
          <w:trHeight w:val="591"/>
        </w:trPr>
        <w:tc>
          <w:tcPr>
            <w:tcW w:w="1425" w:type="dxa"/>
            <w:vAlign w:val="center"/>
          </w:tcPr>
          <w:p w14:paraId="0D02B313" w14:textId="77777777" w:rsidR="004A375F" w:rsidRPr="003316E6" w:rsidRDefault="00EF495B">
            <w:pPr>
              <w:kinsoku/>
              <w:spacing w:before="78" w:line="185" w:lineRule="auto"/>
              <w:jc w:val="both"/>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lastRenderedPageBreak/>
              <w:t>关于本次活动是否涉及应披露重大信息的说明</w:t>
            </w:r>
          </w:p>
        </w:tc>
        <w:tc>
          <w:tcPr>
            <w:tcW w:w="7477" w:type="dxa"/>
            <w:vAlign w:val="center"/>
          </w:tcPr>
          <w:p w14:paraId="3B9C9088" w14:textId="77777777" w:rsidR="004A375F" w:rsidRPr="003316E6" w:rsidRDefault="00EF495B">
            <w:pPr>
              <w:kinsoku/>
              <w:spacing w:before="117" w:line="185" w:lineRule="auto"/>
              <w:ind w:firstLine="164"/>
              <w:rPr>
                <w:rFonts w:ascii="Times New Roman" w:eastAsia="宋体" w:hAnsi="Times New Roman" w:cs="Times New Roman"/>
                <w:spacing w:val="-2"/>
                <w:sz w:val="24"/>
                <w:szCs w:val="24"/>
              </w:rPr>
            </w:pPr>
            <w:r w:rsidRPr="003316E6">
              <w:rPr>
                <w:rFonts w:ascii="Times New Roman" w:eastAsia="宋体" w:hAnsi="Times New Roman" w:cs="Times New Roman"/>
                <w:spacing w:val="-2"/>
                <w:sz w:val="24"/>
                <w:szCs w:val="24"/>
              </w:rPr>
              <w:t>否。</w:t>
            </w:r>
          </w:p>
        </w:tc>
      </w:tr>
      <w:tr w:rsidR="004A375F" w:rsidRPr="003316E6" w14:paraId="0334BE42" w14:textId="77777777" w:rsidTr="006774F5">
        <w:trPr>
          <w:trHeight w:val="24"/>
        </w:trPr>
        <w:tc>
          <w:tcPr>
            <w:tcW w:w="1425" w:type="dxa"/>
            <w:vAlign w:val="center"/>
          </w:tcPr>
          <w:p w14:paraId="387E2931"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color w:val="FF0000"/>
                <w:spacing w:val="-2"/>
                <w:sz w:val="24"/>
                <w:szCs w:val="24"/>
                <w14:textOutline w14:w="4356" w14:cap="flat" w14:cmpd="sng" w14:algn="ctr">
                  <w14:solidFill>
                    <w14:srgbClr w14:val="000000"/>
                  </w14:solidFill>
                  <w14:prstDash w14:val="solid"/>
                  <w14:miter w14:lim="0"/>
                </w14:textOutline>
              </w:rPr>
              <w:t>附件</w:t>
            </w: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清单</w:t>
            </w:r>
          </w:p>
        </w:tc>
        <w:tc>
          <w:tcPr>
            <w:tcW w:w="7477" w:type="dxa"/>
            <w:vAlign w:val="center"/>
          </w:tcPr>
          <w:p w14:paraId="5AFEFCCA" w14:textId="77777777" w:rsidR="004A375F" w:rsidRPr="003316E6" w:rsidRDefault="00EF495B">
            <w:pPr>
              <w:kinsoku/>
              <w:spacing w:before="117" w:line="185" w:lineRule="auto"/>
              <w:ind w:firstLine="164"/>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rPr>
              <w:t>否。</w:t>
            </w:r>
          </w:p>
        </w:tc>
      </w:tr>
      <w:tr w:rsidR="004A375F" w:rsidRPr="003316E6" w14:paraId="1DABC639" w14:textId="77777777" w:rsidTr="006774F5">
        <w:trPr>
          <w:trHeight w:val="288"/>
        </w:trPr>
        <w:tc>
          <w:tcPr>
            <w:tcW w:w="1425" w:type="dxa"/>
            <w:vAlign w:val="center"/>
          </w:tcPr>
          <w:p w14:paraId="19739A88" w14:textId="77777777" w:rsidR="004A375F" w:rsidRPr="003316E6" w:rsidRDefault="00EF495B">
            <w:pPr>
              <w:kinsoku/>
              <w:spacing w:before="78" w:line="185" w:lineRule="auto"/>
              <w:ind w:leftChars="-50" w:left="-105" w:firstLine="165"/>
              <w:jc w:val="center"/>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t>日期</w:t>
            </w:r>
          </w:p>
        </w:tc>
        <w:tc>
          <w:tcPr>
            <w:tcW w:w="7477" w:type="dxa"/>
            <w:vAlign w:val="center"/>
          </w:tcPr>
          <w:p w14:paraId="02FC21DD" w14:textId="570206DA" w:rsidR="004A375F" w:rsidRPr="003316E6" w:rsidRDefault="00EF495B">
            <w:pPr>
              <w:kinsoku/>
              <w:spacing w:before="117" w:line="185" w:lineRule="auto"/>
              <w:ind w:firstLine="164"/>
              <w:rPr>
                <w:rFonts w:ascii="Times New Roman" w:eastAsia="宋体" w:hAnsi="Times New Roman" w:cs="Times New Roman"/>
                <w:spacing w:val="-2"/>
                <w:sz w:val="24"/>
                <w:szCs w:val="24"/>
                <w14:textOutline w14:w="4356" w14:cap="flat" w14:cmpd="sng" w14:algn="ctr">
                  <w14:solidFill>
                    <w14:srgbClr w14:val="000000"/>
                  </w14:solidFill>
                  <w14:prstDash w14:val="solid"/>
                  <w14:miter w14:lim="0"/>
                </w14:textOutline>
              </w:rPr>
            </w:pPr>
            <w:r w:rsidRPr="003316E6">
              <w:rPr>
                <w:rFonts w:ascii="Times New Roman" w:eastAsia="宋体" w:hAnsi="Times New Roman" w:cs="Times New Roman"/>
                <w:spacing w:val="-2"/>
                <w:sz w:val="24"/>
                <w:szCs w:val="24"/>
              </w:rPr>
              <w:t>202</w:t>
            </w:r>
            <w:r w:rsidR="00350D41" w:rsidRPr="003316E6">
              <w:rPr>
                <w:rFonts w:ascii="Times New Roman" w:eastAsia="宋体" w:hAnsi="Times New Roman" w:cs="Times New Roman"/>
                <w:spacing w:val="-2"/>
                <w:sz w:val="24"/>
                <w:szCs w:val="24"/>
              </w:rPr>
              <w:t>5</w:t>
            </w:r>
            <w:r w:rsidRPr="003316E6">
              <w:rPr>
                <w:rFonts w:ascii="Times New Roman" w:eastAsia="宋体" w:hAnsi="Times New Roman" w:cs="Times New Roman"/>
                <w:spacing w:val="-2"/>
                <w:sz w:val="24"/>
                <w:szCs w:val="24"/>
              </w:rPr>
              <w:t>年</w:t>
            </w:r>
            <w:r w:rsidRPr="003316E6">
              <w:rPr>
                <w:rFonts w:ascii="Times New Roman" w:eastAsia="宋体" w:hAnsi="Times New Roman" w:cs="Times New Roman"/>
                <w:spacing w:val="-2"/>
                <w:sz w:val="24"/>
                <w:szCs w:val="24"/>
              </w:rPr>
              <w:t>5</w:t>
            </w:r>
            <w:r w:rsidRPr="003316E6">
              <w:rPr>
                <w:rFonts w:ascii="Times New Roman" w:eastAsia="宋体" w:hAnsi="Times New Roman" w:cs="Times New Roman"/>
                <w:spacing w:val="-2"/>
                <w:sz w:val="24"/>
                <w:szCs w:val="24"/>
              </w:rPr>
              <w:t>月</w:t>
            </w:r>
            <w:r w:rsidR="00350D41" w:rsidRPr="003316E6">
              <w:rPr>
                <w:rFonts w:ascii="Times New Roman" w:eastAsia="宋体" w:hAnsi="Times New Roman" w:cs="Times New Roman"/>
                <w:spacing w:val="-2"/>
                <w:sz w:val="24"/>
                <w:szCs w:val="24"/>
              </w:rPr>
              <w:t>14</w:t>
            </w:r>
            <w:r w:rsidRPr="003316E6">
              <w:rPr>
                <w:rFonts w:ascii="Times New Roman" w:eastAsia="宋体" w:hAnsi="Times New Roman" w:cs="Times New Roman"/>
                <w:spacing w:val="-2"/>
                <w:sz w:val="24"/>
                <w:szCs w:val="24"/>
              </w:rPr>
              <w:t>日</w:t>
            </w:r>
          </w:p>
        </w:tc>
      </w:tr>
    </w:tbl>
    <w:p w14:paraId="61E02F41" w14:textId="77777777" w:rsidR="004A375F" w:rsidRPr="003316E6" w:rsidRDefault="004A375F">
      <w:pPr>
        <w:kinsoku/>
        <w:rPr>
          <w:rFonts w:ascii="Times New Roman" w:hAnsi="Times New Roman" w:cs="Times New Roman"/>
        </w:rPr>
      </w:pPr>
    </w:p>
    <w:sectPr w:rsidR="004A375F" w:rsidRPr="003316E6">
      <w:pgSz w:w="11905" w:h="16839"/>
      <w:pgMar w:top="1248" w:right="1584" w:bottom="0" w:left="141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0590A"/>
    <w:multiLevelType w:val="singleLevel"/>
    <w:tmpl w:val="51B0590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noPunctuationKerning/>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A0YWM2ODg4MWFkZTg3NzFmODJiYjI5ZTFhM2MxNDQifQ=="/>
  </w:docVars>
  <w:rsids>
    <w:rsidRoot w:val="00A82403"/>
    <w:rsid w:val="00013320"/>
    <w:rsid w:val="000160E1"/>
    <w:rsid w:val="00040518"/>
    <w:rsid w:val="0004184A"/>
    <w:rsid w:val="000442D6"/>
    <w:rsid w:val="00064301"/>
    <w:rsid w:val="000657B4"/>
    <w:rsid w:val="000725DB"/>
    <w:rsid w:val="0007395A"/>
    <w:rsid w:val="00087747"/>
    <w:rsid w:val="000B1DAF"/>
    <w:rsid w:val="000B383F"/>
    <w:rsid w:val="000B4616"/>
    <w:rsid w:val="000C27C4"/>
    <w:rsid w:val="000C51DC"/>
    <w:rsid w:val="000D6EDF"/>
    <w:rsid w:val="001070B3"/>
    <w:rsid w:val="0011162B"/>
    <w:rsid w:val="001141E7"/>
    <w:rsid w:val="001160A5"/>
    <w:rsid w:val="00121E26"/>
    <w:rsid w:val="00122114"/>
    <w:rsid w:val="00131590"/>
    <w:rsid w:val="00134425"/>
    <w:rsid w:val="001349D4"/>
    <w:rsid w:val="001447C5"/>
    <w:rsid w:val="00151778"/>
    <w:rsid w:val="00155616"/>
    <w:rsid w:val="001721C8"/>
    <w:rsid w:val="00176AB7"/>
    <w:rsid w:val="0017756B"/>
    <w:rsid w:val="00186BB8"/>
    <w:rsid w:val="001D28AC"/>
    <w:rsid w:val="001E22CC"/>
    <w:rsid w:val="001F20DA"/>
    <w:rsid w:val="001F424D"/>
    <w:rsid w:val="00202342"/>
    <w:rsid w:val="00204A36"/>
    <w:rsid w:val="00207DAF"/>
    <w:rsid w:val="00212B6E"/>
    <w:rsid w:val="002245E7"/>
    <w:rsid w:val="00254322"/>
    <w:rsid w:val="0027222C"/>
    <w:rsid w:val="002732AD"/>
    <w:rsid w:val="00282A83"/>
    <w:rsid w:val="00285228"/>
    <w:rsid w:val="002A7294"/>
    <w:rsid w:val="002A73B2"/>
    <w:rsid w:val="002B1870"/>
    <w:rsid w:val="002C2351"/>
    <w:rsid w:val="002C2863"/>
    <w:rsid w:val="002C3ED3"/>
    <w:rsid w:val="002C5F87"/>
    <w:rsid w:val="002D721B"/>
    <w:rsid w:val="002E3CC3"/>
    <w:rsid w:val="002E58DC"/>
    <w:rsid w:val="00310DAC"/>
    <w:rsid w:val="003316E6"/>
    <w:rsid w:val="0033331C"/>
    <w:rsid w:val="00340116"/>
    <w:rsid w:val="00342173"/>
    <w:rsid w:val="003440A5"/>
    <w:rsid w:val="00350D41"/>
    <w:rsid w:val="0035746D"/>
    <w:rsid w:val="00357EED"/>
    <w:rsid w:val="003625D1"/>
    <w:rsid w:val="00365CE3"/>
    <w:rsid w:val="00380C64"/>
    <w:rsid w:val="003841E4"/>
    <w:rsid w:val="003A2C6B"/>
    <w:rsid w:val="003A45C4"/>
    <w:rsid w:val="003B1941"/>
    <w:rsid w:val="003B5325"/>
    <w:rsid w:val="003B5B71"/>
    <w:rsid w:val="003C0076"/>
    <w:rsid w:val="003D6CC5"/>
    <w:rsid w:val="003E6BCC"/>
    <w:rsid w:val="003F6A9C"/>
    <w:rsid w:val="003F750B"/>
    <w:rsid w:val="004111D5"/>
    <w:rsid w:val="0043584F"/>
    <w:rsid w:val="00454B61"/>
    <w:rsid w:val="00454E5F"/>
    <w:rsid w:val="00460B9B"/>
    <w:rsid w:val="004A1871"/>
    <w:rsid w:val="004A375F"/>
    <w:rsid w:val="004C2254"/>
    <w:rsid w:val="004D3069"/>
    <w:rsid w:val="004D6EF2"/>
    <w:rsid w:val="004E2DE2"/>
    <w:rsid w:val="004E2FA7"/>
    <w:rsid w:val="004E50D4"/>
    <w:rsid w:val="004E5651"/>
    <w:rsid w:val="004F74C2"/>
    <w:rsid w:val="00524AAA"/>
    <w:rsid w:val="00527CD8"/>
    <w:rsid w:val="00533406"/>
    <w:rsid w:val="00535A02"/>
    <w:rsid w:val="00535AFC"/>
    <w:rsid w:val="005445A8"/>
    <w:rsid w:val="00554659"/>
    <w:rsid w:val="0056673A"/>
    <w:rsid w:val="005726CD"/>
    <w:rsid w:val="005C0BEB"/>
    <w:rsid w:val="005C13DC"/>
    <w:rsid w:val="005D67C9"/>
    <w:rsid w:val="005E645A"/>
    <w:rsid w:val="00604C91"/>
    <w:rsid w:val="00636BAE"/>
    <w:rsid w:val="00641B80"/>
    <w:rsid w:val="00644B20"/>
    <w:rsid w:val="006458E3"/>
    <w:rsid w:val="00646207"/>
    <w:rsid w:val="0065124E"/>
    <w:rsid w:val="00663B88"/>
    <w:rsid w:val="00667E75"/>
    <w:rsid w:val="00675C35"/>
    <w:rsid w:val="006774F5"/>
    <w:rsid w:val="006A325F"/>
    <w:rsid w:val="006C3EC7"/>
    <w:rsid w:val="006C6029"/>
    <w:rsid w:val="006C6D6C"/>
    <w:rsid w:val="006C6F5A"/>
    <w:rsid w:val="006F1A5C"/>
    <w:rsid w:val="006F473A"/>
    <w:rsid w:val="006F4C4E"/>
    <w:rsid w:val="006F4F21"/>
    <w:rsid w:val="007300D2"/>
    <w:rsid w:val="00736341"/>
    <w:rsid w:val="00747897"/>
    <w:rsid w:val="00752B6F"/>
    <w:rsid w:val="00753A6F"/>
    <w:rsid w:val="00763ADF"/>
    <w:rsid w:val="007648A5"/>
    <w:rsid w:val="00767A79"/>
    <w:rsid w:val="0077409E"/>
    <w:rsid w:val="0078058A"/>
    <w:rsid w:val="007868E8"/>
    <w:rsid w:val="007A5F05"/>
    <w:rsid w:val="007C4032"/>
    <w:rsid w:val="007C6DEA"/>
    <w:rsid w:val="007D0C8E"/>
    <w:rsid w:val="007E2222"/>
    <w:rsid w:val="007E4C5F"/>
    <w:rsid w:val="007F2122"/>
    <w:rsid w:val="008265E0"/>
    <w:rsid w:val="0083293B"/>
    <w:rsid w:val="0085545A"/>
    <w:rsid w:val="008555FD"/>
    <w:rsid w:val="008600C5"/>
    <w:rsid w:val="00860EEE"/>
    <w:rsid w:val="00863F27"/>
    <w:rsid w:val="00870091"/>
    <w:rsid w:val="00885B84"/>
    <w:rsid w:val="00890D15"/>
    <w:rsid w:val="008B0CFC"/>
    <w:rsid w:val="008B45A1"/>
    <w:rsid w:val="008C6DED"/>
    <w:rsid w:val="008D701B"/>
    <w:rsid w:val="008F704F"/>
    <w:rsid w:val="008F7B7F"/>
    <w:rsid w:val="009000D1"/>
    <w:rsid w:val="009007FE"/>
    <w:rsid w:val="009014B3"/>
    <w:rsid w:val="009147ED"/>
    <w:rsid w:val="00931095"/>
    <w:rsid w:val="0093706F"/>
    <w:rsid w:val="009445E0"/>
    <w:rsid w:val="009606DB"/>
    <w:rsid w:val="00962475"/>
    <w:rsid w:val="00966166"/>
    <w:rsid w:val="00966E2B"/>
    <w:rsid w:val="009763E7"/>
    <w:rsid w:val="00983676"/>
    <w:rsid w:val="009836D0"/>
    <w:rsid w:val="009A7A86"/>
    <w:rsid w:val="009D062D"/>
    <w:rsid w:val="009D56E4"/>
    <w:rsid w:val="009E7D9E"/>
    <w:rsid w:val="009F74E8"/>
    <w:rsid w:val="00A03360"/>
    <w:rsid w:val="00A063D3"/>
    <w:rsid w:val="00A06ABB"/>
    <w:rsid w:val="00A1674E"/>
    <w:rsid w:val="00A25B2D"/>
    <w:rsid w:val="00A32D35"/>
    <w:rsid w:val="00A4640B"/>
    <w:rsid w:val="00A47ECF"/>
    <w:rsid w:val="00A63D08"/>
    <w:rsid w:val="00A75D92"/>
    <w:rsid w:val="00A82403"/>
    <w:rsid w:val="00A826F9"/>
    <w:rsid w:val="00AB0573"/>
    <w:rsid w:val="00AB13DA"/>
    <w:rsid w:val="00AC5546"/>
    <w:rsid w:val="00AD68E1"/>
    <w:rsid w:val="00AD7F50"/>
    <w:rsid w:val="00AE43A7"/>
    <w:rsid w:val="00AF2E78"/>
    <w:rsid w:val="00AF676C"/>
    <w:rsid w:val="00B00238"/>
    <w:rsid w:val="00B07084"/>
    <w:rsid w:val="00B10276"/>
    <w:rsid w:val="00B11D09"/>
    <w:rsid w:val="00B25DE7"/>
    <w:rsid w:val="00B368F2"/>
    <w:rsid w:val="00B53B4F"/>
    <w:rsid w:val="00B542DA"/>
    <w:rsid w:val="00B56C2F"/>
    <w:rsid w:val="00B61270"/>
    <w:rsid w:val="00B66F43"/>
    <w:rsid w:val="00B7734D"/>
    <w:rsid w:val="00B82424"/>
    <w:rsid w:val="00B91331"/>
    <w:rsid w:val="00B9230C"/>
    <w:rsid w:val="00BA14AA"/>
    <w:rsid w:val="00BB2D55"/>
    <w:rsid w:val="00BB5428"/>
    <w:rsid w:val="00BB71F7"/>
    <w:rsid w:val="00BC0565"/>
    <w:rsid w:val="00BC12AE"/>
    <w:rsid w:val="00BD1BA6"/>
    <w:rsid w:val="00BD29C9"/>
    <w:rsid w:val="00BE7CD9"/>
    <w:rsid w:val="00C0022E"/>
    <w:rsid w:val="00C03BDD"/>
    <w:rsid w:val="00C05C07"/>
    <w:rsid w:val="00C25AE6"/>
    <w:rsid w:val="00C3197B"/>
    <w:rsid w:val="00C33CF7"/>
    <w:rsid w:val="00C51B7F"/>
    <w:rsid w:val="00C6196E"/>
    <w:rsid w:val="00C870E4"/>
    <w:rsid w:val="00CB429B"/>
    <w:rsid w:val="00CD2689"/>
    <w:rsid w:val="00CD4DA3"/>
    <w:rsid w:val="00D0142C"/>
    <w:rsid w:val="00D07BDA"/>
    <w:rsid w:val="00D14BDA"/>
    <w:rsid w:val="00D37E7C"/>
    <w:rsid w:val="00D4229D"/>
    <w:rsid w:val="00D64568"/>
    <w:rsid w:val="00D71169"/>
    <w:rsid w:val="00D93994"/>
    <w:rsid w:val="00DB086D"/>
    <w:rsid w:val="00DD0095"/>
    <w:rsid w:val="00DD1B6B"/>
    <w:rsid w:val="00DD3EF4"/>
    <w:rsid w:val="00DE5CB8"/>
    <w:rsid w:val="00DF0888"/>
    <w:rsid w:val="00E106AF"/>
    <w:rsid w:val="00E10B5B"/>
    <w:rsid w:val="00E17ADC"/>
    <w:rsid w:val="00E321BF"/>
    <w:rsid w:val="00E33B34"/>
    <w:rsid w:val="00E40F5A"/>
    <w:rsid w:val="00E44087"/>
    <w:rsid w:val="00E44C9F"/>
    <w:rsid w:val="00E55D67"/>
    <w:rsid w:val="00E64623"/>
    <w:rsid w:val="00E8421F"/>
    <w:rsid w:val="00E90DA8"/>
    <w:rsid w:val="00E93965"/>
    <w:rsid w:val="00E965C9"/>
    <w:rsid w:val="00EA3EBD"/>
    <w:rsid w:val="00EB2E24"/>
    <w:rsid w:val="00EE04D9"/>
    <w:rsid w:val="00EE088A"/>
    <w:rsid w:val="00EE208A"/>
    <w:rsid w:val="00EF495B"/>
    <w:rsid w:val="00F0661A"/>
    <w:rsid w:val="00F25641"/>
    <w:rsid w:val="00F2730D"/>
    <w:rsid w:val="00F33062"/>
    <w:rsid w:val="00F4615E"/>
    <w:rsid w:val="00F76A2C"/>
    <w:rsid w:val="00F8725C"/>
    <w:rsid w:val="00F92BD6"/>
    <w:rsid w:val="00F969B7"/>
    <w:rsid w:val="00FA25C5"/>
    <w:rsid w:val="00FA25E9"/>
    <w:rsid w:val="00FA26F7"/>
    <w:rsid w:val="00FB0487"/>
    <w:rsid w:val="00FB7AF0"/>
    <w:rsid w:val="00FC076D"/>
    <w:rsid w:val="00FC6A11"/>
    <w:rsid w:val="00FD3485"/>
    <w:rsid w:val="00FE0929"/>
    <w:rsid w:val="00FE1AD8"/>
    <w:rsid w:val="00FE363C"/>
    <w:rsid w:val="00FF1480"/>
    <w:rsid w:val="016A6281"/>
    <w:rsid w:val="02AC38A5"/>
    <w:rsid w:val="04BB007D"/>
    <w:rsid w:val="05250B93"/>
    <w:rsid w:val="06D22031"/>
    <w:rsid w:val="06F55595"/>
    <w:rsid w:val="071D689A"/>
    <w:rsid w:val="07CF6FE0"/>
    <w:rsid w:val="07D2567A"/>
    <w:rsid w:val="093D31BF"/>
    <w:rsid w:val="098827B8"/>
    <w:rsid w:val="0A0C21A4"/>
    <w:rsid w:val="0A36472B"/>
    <w:rsid w:val="0B2E0A4D"/>
    <w:rsid w:val="0CBB210D"/>
    <w:rsid w:val="0D292884"/>
    <w:rsid w:val="0D8D66AA"/>
    <w:rsid w:val="0DB37F58"/>
    <w:rsid w:val="0DD51C7C"/>
    <w:rsid w:val="0F1467D4"/>
    <w:rsid w:val="0F550FE0"/>
    <w:rsid w:val="107A1149"/>
    <w:rsid w:val="10F7475B"/>
    <w:rsid w:val="12F80267"/>
    <w:rsid w:val="13173947"/>
    <w:rsid w:val="13227691"/>
    <w:rsid w:val="13E76BAD"/>
    <w:rsid w:val="13E829C1"/>
    <w:rsid w:val="14B4206E"/>
    <w:rsid w:val="14D44714"/>
    <w:rsid w:val="1503519F"/>
    <w:rsid w:val="156F6E5A"/>
    <w:rsid w:val="1586199A"/>
    <w:rsid w:val="16985C80"/>
    <w:rsid w:val="180E47E3"/>
    <w:rsid w:val="18736C61"/>
    <w:rsid w:val="1A33760F"/>
    <w:rsid w:val="1AC8120F"/>
    <w:rsid w:val="1B5E6CE5"/>
    <w:rsid w:val="1D952BCB"/>
    <w:rsid w:val="1D966831"/>
    <w:rsid w:val="1DD26DCC"/>
    <w:rsid w:val="1F1F71FB"/>
    <w:rsid w:val="1FF16DE9"/>
    <w:rsid w:val="20582A63"/>
    <w:rsid w:val="208A4B48"/>
    <w:rsid w:val="213D0FD6"/>
    <w:rsid w:val="24107A5A"/>
    <w:rsid w:val="244A1032"/>
    <w:rsid w:val="248734EA"/>
    <w:rsid w:val="25F72C80"/>
    <w:rsid w:val="27196C26"/>
    <w:rsid w:val="27F356C9"/>
    <w:rsid w:val="280E7ABB"/>
    <w:rsid w:val="2C6170A5"/>
    <w:rsid w:val="32A36377"/>
    <w:rsid w:val="34665EFD"/>
    <w:rsid w:val="35021552"/>
    <w:rsid w:val="361F7F47"/>
    <w:rsid w:val="36206572"/>
    <w:rsid w:val="36677BCA"/>
    <w:rsid w:val="366C6D72"/>
    <w:rsid w:val="37CA69BC"/>
    <w:rsid w:val="386A108F"/>
    <w:rsid w:val="39E13DBD"/>
    <w:rsid w:val="39E75962"/>
    <w:rsid w:val="3B1E6C7B"/>
    <w:rsid w:val="3B702E61"/>
    <w:rsid w:val="3DCD2EF4"/>
    <w:rsid w:val="3EA551D7"/>
    <w:rsid w:val="3FDA2F9E"/>
    <w:rsid w:val="4036521E"/>
    <w:rsid w:val="40556A92"/>
    <w:rsid w:val="40CA6468"/>
    <w:rsid w:val="43283616"/>
    <w:rsid w:val="453B09A0"/>
    <w:rsid w:val="46F80C5B"/>
    <w:rsid w:val="48734414"/>
    <w:rsid w:val="4CAE23B0"/>
    <w:rsid w:val="4D0000A2"/>
    <w:rsid w:val="4D8E53C8"/>
    <w:rsid w:val="4FA92E02"/>
    <w:rsid w:val="50A75C4F"/>
    <w:rsid w:val="51E93115"/>
    <w:rsid w:val="5281374D"/>
    <w:rsid w:val="53F57ADE"/>
    <w:rsid w:val="54C9521B"/>
    <w:rsid w:val="54DA326F"/>
    <w:rsid w:val="55B81DF7"/>
    <w:rsid w:val="56220DA3"/>
    <w:rsid w:val="57066B19"/>
    <w:rsid w:val="581D0FF3"/>
    <w:rsid w:val="592355CE"/>
    <w:rsid w:val="5C0A7F51"/>
    <w:rsid w:val="5CD8609B"/>
    <w:rsid w:val="5E015742"/>
    <w:rsid w:val="5F683CCB"/>
    <w:rsid w:val="5FBB029F"/>
    <w:rsid w:val="60775C1E"/>
    <w:rsid w:val="61BA4EB8"/>
    <w:rsid w:val="61C15914"/>
    <w:rsid w:val="6372363C"/>
    <w:rsid w:val="63F06720"/>
    <w:rsid w:val="6416272A"/>
    <w:rsid w:val="656C01D4"/>
    <w:rsid w:val="65915880"/>
    <w:rsid w:val="66A973CB"/>
    <w:rsid w:val="68D06A0D"/>
    <w:rsid w:val="69465932"/>
    <w:rsid w:val="69E12C0F"/>
    <w:rsid w:val="6A1762EA"/>
    <w:rsid w:val="6A6C6E15"/>
    <w:rsid w:val="6AB272B2"/>
    <w:rsid w:val="6B2347E2"/>
    <w:rsid w:val="6D8617C0"/>
    <w:rsid w:val="6F4605A5"/>
    <w:rsid w:val="6F6F7D2B"/>
    <w:rsid w:val="70231548"/>
    <w:rsid w:val="70546656"/>
    <w:rsid w:val="70805BFB"/>
    <w:rsid w:val="71F53DEB"/>
    <w:rsid w:val="72F44417"/>
    <w:rsid w:val="73C51565"/>
    <w:rsid w:val="7423781D"/>
    <w:rsid w:val="77400C32"/>
    <w:rsid w:val="785830AA"/>
    <w:rsid w:val="7AEC6717"/>
    <w:rsid w:val="7B477CF9"/>
    <w:rsid w:val="7BF70459"/>
    <w:rsid w:val="7C4B225A"/>
    <w:rsid w:val="7CAC0E59"/>
    <w:rsid w:val="7DC221CB"/>
    <w:rsid w:val="7E410F5F"/>
    <w:rsid w:val="7E4902CC"/>
    <w:rsid w:val="7F8E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A557"/>
  <w15:docId w15:val="{B0474CBB-FCBA-463E-962C-9EB3892A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rPr>
  </w:style>
  <w:style w:type="paragraph" w:styleId="4">
    <w:name w:val="heading 4"/>
    <w:basedOn w:val="a"/>
    <w:next w:val="a"/>
    <w:autoRedefine/>
    <w:semiHidden/>
    <w:unhideWhenUsed/>
    <w:qFormat/>
    <w:pPr>
      <w:spacing w:beforeAutospacing="1" w:afterAutospacing="1"/>
      <w:outlineLvl w:val="3"/>
    </w:pPr>
    <w:rPr>
      <w:rFonts w:ascii="宋体" w:eastAsia="宋体" w:hAnsi="宋体" w:cs="Times New Roman" w:hint="eastAs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alloon Text"/>
    <w:basedOn w:val="a"/>
    <w:link w:val="a6"/>
    <w:autoRedefine/>
    <w:qFormat/>
    <w:rPr>
      <w:sz w:val="18"/>
      <w:szCs w:val="18"/>
    </w:rPr>
  </w:style>
  <w:style w:type="paragraph" w:styleId="a7">
    <w:name w:val="footer"/>
    <w:basedOn w:val="a"/>
    <w:autoRedefine/>
    <w:qFormat/>
    <w:pPr>
      <w:tabs>
        <w:tab w:val="center" w:pos="4153"/>
        <w:tab w:val="right" w:pos="8306"/>
      </w:tabs>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autoRedefine/>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9">
    <w:name w:val="Normal (Web)"/>
    <w:basedOn w:val="a"/>
    <w:autoRedefine/>
    <w:semiHidden/>
    <w:unhideWhenUsed/>
    <w:qFormat/>
    <w:pPr>
      <w:spacing w:beforeAutospacing="1" w:afterAutospacing="1"/>
    </w:pPr>
    <w:rPr>
      <w:rFonts w:cs="Times New Roman"/>
      <w:sz w:val="24"/>
    </w:rPr>
  </w:style>
  <w:style w:type="paragraph" w:styleId="aa">
    <w:name w:val="annotation subject"/>
    <w:basedOn w:val="a3"/>
    <w:next w:val="a3"/>
    <w:link w:val="ab"/>
    <w:autoRedefine/>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styleId="ae">
    <w:name w:val="List Paragraph"/>
    <w:basedOn w:val="a"/>
    <w:autoRedefine/>
    <w:uiPriority w:val="34"/>
    <w:qFormat/>
    <w:pPr>
      <w:ind w:firstLineChars="200" w:firstLine="420"/>
    </w:pPr>
  </w:style>
  <w:style w:type="character" w:customStyle="1" w:styleId="a4">
    <w:name w:val="批注文字 字符"/>
    <w:basedOn w:val="a0"/>
    <w:link w:val="a3"/>
    <w:autoRedefine/>
    <w:qFormat/>
    <w:rPr>
      <w:rFonts w:ascii="Arial" w:eastAsia="Arial" w:hAnsi="Arial" w:cs="Arial"/>
      <w:snapToGrid w:val="0"/>
      <w:color w:val="000000"/>
      <w:sz w:val="21"/>
      <w:szCs w:val="21"/>
    </w:rPr>
  </w:style>
  <w:style w:type="character" w:customStyle="1" w:styleId="ab">
    <w:name w:val="批注主题 字符"/>
    <w:basedOn w:val="a4"/>
    <w:link w:val="aa"/>
    <w:autoRedefine/>
    <w:qFormat/>
    <w:rPr>
      <w:rFonts w:ascii="Arial" w:eastAsia="Arial" w:hAnsi="Arial" w:cs="Arial"/>
      <w:b/>
      <w:bCs/>
      <w:snapToGrid w:val="0"/>
      <w:color w:val="000000"/>
      <w:sz w:val="21"/>
      <w:szCs w:val="21"/>
    </w:rPr>
  </w:style>
  <w:style w:type="character" w:customStyle="1" w:styleId="a6">
    <w:name w:val="批注框文本 字符"/>
    <w:basedOn w:val="a0"/>
    <w:link w:val="a5"/>
    <w:autoRedefine/>
    <w:qFormat/>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013158">
      <w:bodyDiv w:val="1"/>
      <w:marLeft w:val="0"/>
      <w:marRight w:val="0"/>
      <w:marTop w:val="0"/>
      <w:marBottom w:val="0"/>
      <w:divBdr>
        <w:top w:val="none" w:sz="0" w:space="0" w:color="auto"/>
        <w:left w:val="none" w:sz="0" w:space="0" w:color="auto"/>
        <w:bottom w:val="none" w:sz="0" w:space="0" w:color="auto"/>
        <w:right w:val="none" w:sz="0" w:space="0" w:color="auto"/>
      </w:divBdr>
    </w:div>
    <w:div w:id="1663118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91357</dc:creator>
  <cp:lastModifiedBy>朱一丹</cp:lastModifiedBy>
  <cp:revision>10</cp:revision>
  <dcterms:created xsi:type="dcterms:W3CDTF">2023-11-07T05:48:00Z</dcterms:created>
  <dcterms:modified xsi:type="dcterms:W3CDTF">2025-05-14T07:17:00Z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2022-01-18T10:27:02Z</vt:filetime>
  </property>
  <property fmtid="{D5CDD505-2E9C-101B-9397-08002B2CF9AE}" pid="4" name="KSOProductBuildVer">
    <vt:lpwstr>2052-12.1.0.16729</vt:lpwstr>
  </property>
  <property fmtid="{D5CDD505-2E9C-101B-9397-08002B2CF9AE}" pid="5" name="ICV">
    <vt:lpwstr>BC861D94807042C78B45C5D82F45FF7D</vt:lpwstr>
  </property>
</Properties>
</file>