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5</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w:t>
      </w:r>
      <w:r>
        <w:rPr>
          <w:rFonts w:hint="eastAsia"/>
          <w:sz w:val="24"/>
          <w:szCs w:val="28"/>
          <w:highlight w:val="none"/>
          <w:lang w:val="en-US" w:eastAsia="zh-CN"/>
        </w:rPr>
        <w:t>7</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52"/>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A3"/>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1D525856">
            <w:pPr>
              <w:pStyle w:val="8"/>
              <w:spacing w:before="156" w:line="242" w:lineRule="auto"/>
              <w:ind w:right="-29"/>
              <w:jc w:val="both"/>
              <w:rPr>
                <w:rFonts w:hint="default"/>
                <w:sz w:val="24"/>
                <w:lang w:val="en-US" w:eastAsia="zh-CN"/>
              </w:rPr>
            </w:pPr>
            <w:r>
              <w:rPr>
                <w:rFonts w:hint="eastAsia"/>
                <w:sz w:val="24"/>
                <w:lang w:val="en-US" w:eastAsia="zh-CN"/>
              </w:rPr>
              <w:t xml:space="preserve">   长城证券、赢舟资本</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2025</w:t>
            </w:r>
            <w:r>
              <w:rPr>
                <w:sz w:val="24"/>
              </w:rPr>
              <w:t>年</w:t>
            </w:r>
            <w:r>
              <w:rPr>
                <w:rFonts w:hint="eastAsia"/>
                <w:sz w:val="24"/>
                <w:lang w:val="en-US" w:eastAsia="zh-CN"/>
              </w:rPr>
              <w:t>5</w:t>
            </w:r>
            <w:r>
              <w:rPr>
                <w:sz w:val="24"/>
              </w:rPr>
              <w:t>月</w:t>
            </w:r>
            <w:r>
              <w:rPr>
                <w:rFonts w:hint="eastAsia"/>
                <w:sz w:val="24"/>
                <w:lang w:val="en-US" w:eastAsia="zh-CN"/>
              </w:rPr>
              <w:t>15日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深圳</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董事会秘书、财务总监：吴新元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6DA65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1.公司一季度毛利率同比大幅提升的原因？</w:t>
            </w:r>
          </w:p>
          <w:p w14:paraId="4E48C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答：毛利率大幅提升大致有两方面原因：一是公司入库晶圆价格下降，摊薄在销产品成本；二是持续研发推出的新产品更具有成本优势。</w:t>
            </w:r>
          </w:p>
          <w:p w14:paraId="662E9A8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公司第二代车规与第一代车规MCU的区别？</w:t>
            </w:r>
          </w:p>
          <w:p w14:paraId="4DB99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答：公司这两代车规级MCU均是M0+内核，应用在车身控制领域。与第一代产品相比，第二代产品在主频、接口、资源上有变化，性能有提升，性价比更好，会更具有竞争力。</w:t>
            </w:r>
          </w:p>
          <w:p w14:paraId="4DC832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3.谈谈车规级产品未来规划？</w:t>
            </w:r>
          </w:p>
          <w:p w14:paraId="57CA2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车规级控制芯片分两条线布局，一是通用产品，一是专用产品。对于通用产品，从小资源的以M0+内核的节点控制产品向大资源以M4、M5内核的域控制方面拓展，持续研发，扩充和丰富产品线，做到产品系列化；对于专用产品，公司会针对电机、车灯、电池管理等方面设计一些高集成度、高性能的SoC产品，增加产品丰富度。</w:t>
            </w:r>
          </w:p>
          <w:p w14:paraId="78E21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4.目前车规产品导入情况如何？</w:t>
            </w:r>
          </w:p>
          <w:p w14:paraId="515AC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答：公司车规级芯片已经导入不少车企，从近期订单来看，车规MCU在持续放量。</w:t>
            </w:r>
          </w:p>
          <w:p w14:paraId="7F1BB2A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有哪些车企在使用公司产品？</w:t>
            </w:r>
          </w:p>
          <w:p w14:paraId="16C5D3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答：目前有长安、赛力斯、红旗、吉利等知名车企在使用公司芯片。</w:t>
            </w:r>
          </w:p>
          <w:p w14:paraId="70517E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6.公司工控领域增长如何？增长点主要在哪些方面？</w:t>
            </w:r>
          </w:p>
          <w:p w14:paraId="58CC9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答：工业控制领域应用的增长主要来自无刷电机驱动控制产品的持续放量。</w:t>
            </w:r>
          </w:p>
          <w:p w14:paraId="4832E4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7.公司在机器人领域有给宇树供货吗？</w:t>
            </w:r>
          </w:p>
          <w:p w14:paraId="1A2D9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答：宇树是公司终端客户。</w:t>
            </w:r>
          </w:p>
          <w:p w14:paraId="1667D2B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今年代工价格情况？公司是否与代工厂签订长单？</w:t>
            </w:r>
          </w:p>
          <w:p w14:paraId="79BE88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答：目前公司没有收到代工厂的价格调整通知，没有与代工厂签订长单。公司与主要供应商的合作关系比较密切和稳定，产能有保证，价格也会相对合理。</w:t>
            </w:r>
          </w:p>
          <w:p w14:paraId="66FE975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40" w:leftChars="200" w:right="0" w:rightChars="0" w:firstLine="0" w:firstLine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对今年营收有何指引？</w:t>
            </w:r>
          </w:p>
          <w:p w14:paraId="7500F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答：公司今年希望保持、甚至超过历史平均增长速度。如果市场环境没有大变化，保守估计，今年营收也会超过2021年的历史最高水平。</w:t>
            </w:r>
            <w:bookmarkStart w:id="0" w:name="_GoBack"/>
            <w:bookmarkEnd w:id="0"/>
          </w:p>
        </w:tc>
      </w:tr>
    </w:tbl>
    <w:p w14:paraId="4E79A505">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05B36"/>
    <w:multiLevelType w:val="singleLevel"/>
    <w:tmpl w:val="AE005B36"/>
    <w:lvl w:ilvl="0" w:tentative="0">
      <w:start w:val="8"/>
      <w:numFmt w:val="decimal"/>
      <w:lvlText w:val="%1."/>
      <w:lvlJc w:val="left"/>
      <w:pPr>
        <w:tabs>
          <w:tab w:val="left" w:pos="312"/>
        </w:tabs>
      </w:pPr>
    </w:lvl>
  </w:abstractNum>
  <w:abstractNum w:abstractNumId="1">
    <w:nsid w:val="D6EEA721"/>
    <w:multiLevelType w:val="singleLevel"/>
    <w:tmpl w:val="D6EEA721"/>
    <w:lvl w:ilvl="0" w:tentative="0">
      <w:start w:val="5"/>
      <w:numFmt w:val="decimal"/>
      <w:lvlText w:val="%1."/>
      <w:lvlJc w:val="left"/>
      <w:pPr>
        <w:tabs>
          <w:tab w:val="left" w:pos="312"/>
        </w:tabs>
      </w:pPr>
    </w:lvl>
  </w:abstractNum>
  <w:abstractNum w:abstractNumId="2">
    <w:nsid w:val="4C193B56"/>
    <w:multiLevelType w:val="singleLevel"/>
    <w:tmpl w:val="4C193B56"/>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34E33FD"/>
    <w:rsid w:val="049B5140"/>
    <w:rsid w:val="04B97099"/>
    <w:rsid w:val="062260D2"/>
    <w:rsid w:val="06B7310D"/>
    <w:rsid w:val="0BCE5827"/>
    <w:rsid w:val="0DDA5BAA"/>
    <w:rsid w:val="0E561013"/>
    <w:rsid w:val="0E842633"/>
    <w:rsid w:val="103109BE"/>
    <w:rsid w:val="1047628F"/>
    <w:rsid w:val="10CC52F7"/>
    <w:rsid w:val="140D0007"/>
    <w:rsid w:val="144018FC"/>
    <w:rsid w:val="1BA42A8E"/>
    <w:rsid w:val="1E491273"/>
    <w:rsid w:val="1E6B5B60"/>
    <w:rsid w:val="1F0D324E"/>
    <w:rsid w:val="204505AD"/>
    <w:rsid w:val="20E85DAE"/>
    <w:rsid w:val="23EE6D8C"/>
    <w:rsid w:val="24E24D18"/>
    <w:rsid w:val="24EC5A02"/>
    <w:rsid w:val="26CB631A"/>
    <w:rsid w:val="275135B6"/>
    <w:rsid w:val="28064645"/>
    <w:rsid w:val="296C29CE"/>
    <w:rsid w:val="2D600F4C"/>
    <w:rsid w:val="2E567099"/>
    <w:rsid w:val="2ED94800"/>
    <w:rsid w:val="302C44F1"/>
    <w:rsid w:val="32954240"/>
    <w:rsid w:val="337066A2"/>
    <w:rsid w:val="33CF2630"/>
    <w:rsid w:val="36CF10AF"/>
    <w:rsid w:val="37B625EF"/>
    <w:rsid w:val="380A05F1"/>
    <w:rsid w:val="39F5707E"/>
    <w:rsid w:val="3A0A3E69"/>
    <w:rsid w:val="3B073DC4"/>
    <w:rsid w:val="3CC11A84"/>
    <w:rsid w:val="402D334F"/>
    <w:rsid w:val="417A669A"/>
    <w:rsid w:val="42417305"/>
    <w:rsid w:val="437368FD"/>
    <w:rsid w:val="44E37ACA"/>
    <w:rsid w:val="46DB063D"/>
    <w:rsid w:val="4F3A3B86"/>
    <w:rsid w:val="51CD61A5"/>
    <w:rsid w:val="58B36C53"/>
    <w:rsid w:val="58B91A1A"/>
    <w:rsid w:val="5E056C86"/>
    <w:rsid w:val="60593A44"/>
    <w:rsid w:val="61AB2679"/>
    <w:rsid w:val="64360FA4"/>
    <w:rsid w:val="645218B2"/>
    <w:rsid w:val="64E10284"/>
    <w:rsid w:val="65864EAB"/>
    <w:rsid w:val="65AC0BA1"/>
    <w:rsid w:val="684E7F52"/>
    <w:rsid w:val="6860573C"/>
    <w:rsid w:val="69007D35"/>
    <w:rsid w:val="69814922"/>
    <w:rsid w:val="6A8F2D01"/>
    <w:rsid w:val="6AA221E0"/>
    <w:rsid w:val="6AFE35FB"/>
    <w:rsid w:val="6BF33738"/>
    <w:rsid w:val="6C060AF4"/>
    <w:rsid w:val="6E5114E1"/>
    <w:rsid w:val="6F441EB0"/>
    <w:rsid w:val="6F8659FF"/>
    <w:rsid w:val="70852816"/>
    <w:rsid w:val="73187DD2"/>
    <w:rsid w:val="78471C35"/>
    <w:rsid w:val="79213DD0"/>
    <w:rsid w:val="7A117945"/>
    <w:rsid w:val="7BC17493"/>
    <w:rsid w:val="7D2045FF"/>
    <w:rsid w:val="7E652935"/>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830</Words>
  <Characters>868</Characters>
  <TotalTime>55</TotalTime>
  <ScaleCrop>false</ScaleCrop>
  <LinksUpToDate>false</LinksUpToDate>
  <CharactersWithSpaces>1084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Zhaoyj</cp:lastModifiedBy>
  <cp:lastPrinted>2022-09-29T09:35:00Z</cp:lastPrinted>
  <dcterms:modified xsi:type="dcterms:W3CDTF">2025-05-16T06:07:03Z</dcterms:modified>
  <dc:title>证券代码：300327                      证券简称：中颖电子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2052-12.1.0.20784</vt:lpwstr>
  </property>
  <property fmtid="{D5CDD505-2E9C-101B-9397-08002B2CF9AE}" pid="6" name="ICV">
    <vt:lpwstr>6A1E485C496248409F5FE879374101AC_13</vt:lpwstr>
  </property>
  <property fmtid="{D5CDD505-2E9C-101B-9397-08002B2CF9AE}" pid="7" name="KSOTemplateDocerSaveRecord">
    <vt:lpwstr>eyJoZGlkIjoiZTQ4ODQwNThiYTg4YTBlNDhkZDRmNGNiNWM5NWE1YzAiLCJ1c2VySWQiOiIyNDk3MTA2NDYifQ==</vt:lpwstr>
  </property>
</Properties>
</file>