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794F1">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中国电器科学研究院股份有限公司</w:t>
      </w:r>
    </w:p>
    <w:p w14:paraId="6F3624BA">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投资者</w:t>
      </w:r>
      <w:r>
        <w:rPr>
          <w:rFonts w:hint="eastAsia" w:ascii="黑体" w:hAnsi="黑体" w:eastAsia="黑体" w:cs="黑体"/>
          <w:b/>
          <w:bCs/>
          <w:sz w:val="36"/>
          <w:szCs w:val="36"/>
          <w:lang w:val="en-US" w:eastAsia="zh-CN"/>
        </w:rPr>
        <w:t>关系活动</w:t>
      </w:r>
      <w:r>
        <w:rPr>
          <w:rFonts w:hint="eastAsia" w:ascii="黑体" w:hAnsi="黑体" w:eastAsia="黑体" w:cs="黑体"/>
          <w:b/>
          <w:bCs/>
          <w:sz w:val="36"/>
          <w:szCs w:val="36"/>
        </w:rPr>
        <w:t>记录</w:t>
      </w:r>
    </w:p>
    <w:p w14:paraId="7CE52675">
      <w:pPr>
        <w:spacing w:line="360" w:lineRule="auto"/>
        <w:rPr>
          <w:rFonts w:ascii="宋体" w:hAnsi="宋体" w:cs="宋体"/>
          <w:b/>
          <w:bCs/>
          <w:sz w:val="24"/>
        </w:rPr>
      </w:pPr>
    </w:p>
    <w:p w14:paraId="009FE6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中国电器科学研究院股份有限公司于202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16</w:t>
      </w:r>
      <w:r>
        <w:rPr>
          <w:rFonts w:hint="eastAsia" w:ascii="宋体" w:hAnsi="宋体"/>
          <w:sz w:val="24"/>
        </w:rPr>
        <w:t>日</w:t>
      </w:r>
      <w:r>
        <w:rPr>
          <w:rFonts w:hint="eastAsia" w:ascii="宋体" w:hAnsi="宋体"/>
          <w:sz w:val="24"/>
          <w:lang w:val="en-US" w:eastAsia="zh-CN"/>
        </w:rPr>
        <w:t>下</w:t>
      </w:r>
      <w:r>
        <w:rPr>
          <w:rFonts w:hint="eastAsia" w:ascii="宋体" w:hAnsi="宋体"/>
          <w:sz w:val="24"/>
        </w:rPr>
        <w:t>午</w:t>
      </w:r>
      <w:r>
        <w:rPr>
          <w:rFonts w:hint="default" w:ascii="宋体" w:hAnsi="宋体"/>
          <w:sz w:val="24"/>
          <w:lang w:val="en-US"/>
        </w:rPr>
        <w:t>1</w:t>
      </w:r>
      <w:r>
        <w:rPr>
          <w:rFonts w:hint="eastAsia" w:ascii="宋体" w:hAnsi="宋体"/>
          <w:sz w:val="24"/>
          <w:lang w:val="en-US" w:eastAsia="zh-CN"/>
        </w:rPr>
        <w:t>3</w:t>
      </w:r>
      <w:r>
        <w:rPr>
          <w:rFonts w:hint="default" w:ascii="宋体" w:hAnsi="宋体"/>
          <w:sz w:val="24"/>
          <w:lang w:val="en-US"/>
        </w:rPr>
        <w:t>:00-1</w:t>
      </w:r>
      <w:r>
        <w:rPr>
          <w:rFonts w:hint="eastAsia" w:ascii="宋体" w:hAnsi="宋体"/>
          <w:sz w:val="24"/>
          <w:lang w:val="en-US" w:eastAsia="zh-CN"/>
        </w:rPr>
        <w:t>4</w:t>
      </w:r>
      <w:r>
        <w:rPr>
          <w:rFonts w:hint="default" w:ascii="宋体" w:hAnsi="宋体"/>
          <w:sz w:val="24"/>
          <w:lang w:val="en-US"/>
        </w:rPr>
        <w:t>:30</w:t>
      </w:r>
      <w:r>
        <w:rPr>
          <w:rFonts w:hint="eastAsia" w:ascii="宋体" w:hAnsi="宋体"/>
          <w:sz w:val="24"/>
        </w:rPr>
        <w:t>在上证路演中心（http://roadshow.sseinfo.com）以视频录播和网络文字互动的方式召开了公司202</w:t>
      </w:r>
      <w:r>
        <w:rPr>
          <w:rFonts w:hint="eastAsia" w:ascii="宋体" w:hAnsi="宋体"/>
          <w:sz w:val="24"/>
          <w:lang w:val="en-US" w:eastAsia="zh-CN"/>
        </w:rPr>
        <w:t>4</w:t>
      </w:r>
      <w:r>
        <w:rPr>
          <w:rFonts w:hint="eastAsia" w:ascii="宋体" w:hAnsi="宋体"/>
          <w:sz w:val="24"/>
        </w:rPr>
        <w:t>年度暨202</w:t>
      </w:r>
      <w:r>
        <w:rPr>
          <w:rFonts w:hint="eastAsia" w:ascii="宋体" w:hAnsi="宋体"/>
          <w:sz w:val="24"/>
          <w:lang w:val="en-US" w:eastAsia="zh-CN"/>
        </w:rPr>
        <w:t>5</w:t>
      </w:r>
      <w:r>
        <w:rPr>
          <w:rFonts w:hint="eastAsia" w:ascii="宋体" w:hAnsi="宋体"/>
          <w:sz w:val="24"/>
        </w:rPr>
        <w:t>年第一季度业绩说明会。公司董事长秦汉军先生，</w:t>
      </w:r>
      <w:r>
        <w:rPr>
          <w:rFonts w:hint="eastAsia" w:ascii="宋体" w:hAnsi="宋体"/>
          <w:sz w:val="24"/>
          <w:lang w:val="en-US" w:eastAsia="zh-CN"/>
        </w:rPr>
        <w:t>副</w:t>
      </w:r>
      <w:r>
        <w:rPr>
          <w:rFonts w:hint="eastAsia" w:ascii="宋体" w:hAnsi="宋体"/>
          <w:sz w:val="24"/>
        </w:rPr>
        <w:t>总经理</w:t>
      </w:r>
      <w:r>
        <w:rPr>
          <w:rFonts w:hint="eastAsia" w:ascii="宋体" w:hAnsi="宋体"/>
          <w:sz w:val="24"/>
          <w:lang w:val="en-US" w:eastAsia="zh-CN"/>
        </w:rPr>
        <w:t>孙君光</w:t>
      </w:r>
      <w:r>
        <w:rPr>
          <w:rFonts w:hint="eastAsia" w:ascii="宋体" w:hAnsi="宋体"/>
          <w:sz w:val="24"/>
        </w:rPr>
        <w:t>先生，独立董事</w:t>
      </w:r>
      <w:r>
        <w:rPr>
          <w:rFonts w:hint="eastAsia" w:ascii="宋体" w:hAnsi="宋体"/>
          <w:sz w:val="24"/>
          <w:lang w:val="en-US" w:eastAsia="zh-CN"/>
        </w:rPr>
        <w:t>陈贤凯</w:t>
      </w:r>
      <w:r>
        <w:rPr>
          <w:rFonts w:hint="eastAsia" w:ascii="宋体" w:hAnsi="宋体"/>
          <w:sz w:val="24"/>
        </w:rPr>
        <w:t>先生</w:t>
      </w:r>
      <w:r>
        <w:rPr>
          <w:rFonts w:hint="eastAsia" w:ascii="宋体" w:hAnsi="宋体"/>
          <w:sz w:val="24"/>
          <w:lang w:eastAsia="zh-CN"/>
        </w:rPr>
        <w:t>，</w:t>
      </w:r>
      <w:r>
        <w:rPr>
          <w:rFonts w:hint="eastAsia" w:ascii="宋体" w:hAnsi="宋体"/>
          <w:sz w:val="24"/>
        </w:rPr>
        <w:t>财务总监韩保进先生</w:t>
      </w:r>
      <w:r>
        <w:rPr>
          <w:rFonts w:hint="eastAsia" w:ascii="宋体" w:hAnsi="宋体"/>
          <w:sz w:val="24"/>
          <w:lang w:val="en-US" w:eastAsia="zh-CN"/>
        </w:rPr>
        <w:t>及董事会秘书王柳女士</w:t>
      </w:r>
      <w:r>
        <w:rPr>
          <w:rFonts w:hint="eastAsia" w:ascii="宋体" w:hAnsi="宋体"/>
          <w:sz w:val="24"/>
        </w:rPr>
        <w:t>出席了本次业绩说明会。公司就投资者关心</w:t>
      </w:r>
      <w:r>
        <w:rPr>
          <w:rFonts w:hint="eastAsia" w:ascii="宋体" w:hAnsi="宋体"/>
          <w:sz w:val="24"/>
          <w:lang w:val="en-US" w:eastAsia="zh-CN"/>
        </w:rPr>
        <w:t>的问题</w:t>
      </w:r>
      <w:r>
        <w:rPr>
          <w:rFonts w:hint="eastAsia" w:ascii="宋体" w:hAnsi="宋体"/>
          <w:sz w:val="24"/>
        </w:rPr>
        <w:t>在信息披露允许的范围内进行了认真的回复。</w:t>
      </w:r>
      <w:bookmarkStart w:id="0" w:name="_GoBack"/>
      <w:bookmarkEnd w:id="0"/>
    </w:p>
    <w:p w14:paraId="5E7979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p>
    <w:p w14:paraId="5283E3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2" w:firstLineChars="200"/>
        <w:jc w:val="both"/>
        <w:textAlignment w:val="auto"/>
        <w:rPr>
          <w:rFonts w:hint="eastAsia" w:ascii="宋体" w:hAnsi="宋体" w:cs="宋体"/>
          <w:b/>
          <w:bCs/>
          <w:sz w:val="24"/>
          <w:lang w:val="en-US" w:eastAsia="zh-CN"/>
        </w:rPr>
      </w:pPr>
      <w:r>
        <w:rPr>
          <w:rFonts w:hint="eastAsia" w:ascii="宋体" w:hAnsi="宋体" w:cs="宋体"/>
          <w:b/>
          <w:bCs/>
          <w:sz w:val="24"/>
          <w:lang w:val="en-US" w:eastAsia="zh-CN"/>
        </w:rPr>
        <w:t>问题及公司回复：</w:t>
      </w:r>
    </w:p>
    <w:p w14:paraId="3F67179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问题1：公司在推动新质生产力培育与运用过程中，如何将其与市值管理相结合，实现公司内在价值与市场价值的协同增长？</w:t>
      </w:r>
    </w:p>
    <w:p w14:paraId="4A4D98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答：</w:t>
      </w:r>
      <w:r>
        <w:rPr>
          <w:rFonts w:hint="eastAsia" w:ascii="宋体" w:hAnsi="宋体" w:eastAsia="宋体" w:cs="宋体"/>
          <w:b w:val="0"/>
          <w:bCs w:val="0"/>
          <w:color w:val="auto"/>
          <w:sz w:val="24"/>
          <w:szCs w:val="24"/>
          <w:highlight w:val="none"/>
          <w:lang w:val="en-US" w:eastAsia="zh-CN"/>
        </w:rPr>
        <w:t>新质生产力是公司构建核心竞争力、实现可持续发展的战略引擎，而市值管理的本质是通过提升内在价值并引导市场认知，实现公司价值的合理体现。我们将从以下三个维度推动两者深度融合，强化联动效应：</w:t>
      </w:r>
    </w:p>
    <w:p w14:paraId="47DB9A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一、以新质生产力筑牢内在价值“护城河”，夯实市值管理根基。</w:t>
      </w:r>
    </w:p>
    <w:p w14:paraId="34D927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聚焦“硬科技”研发，打造差异化优势。一方面公司将围绕主业和发展主航道，以市场为导向，大力研发对公司自主创新能力具有重大提升作用的核心技术，培育发展新质生产力的新动能。另一方面，公司将围绕国家战略、政策重点支持领域、行业发展趋势，强化科技平台建设，着重推进工业产品环境适应性全国重点实验室高质量建设，大力开展基础性、紧迫性、前沿性、变革性“四性”技术研究，产出更多的原创性技术成果。</w:t>
      </w:r>
    </w:p>
    <w:p w14:paraId="042EE8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推动“场景化”应用，加速技术商业化落地。通过“技术研发+场景适配+市场拓展”模式，将新质生产力成果运用到四大主营业务上，通过科技创新对老产业赋予新优势，同时培育壮大新兴产业，向新产业挖掘新动能，转化为营收增长点。</w:t>
      </w:r>
    </w:p>
    <w:p w14:paraId="0EBFA5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二、以信息披露与投资者关系管理构建市场价值“认知桥梁”，实现价值发现。</w:t>
      </w:r>
    </w:p>
    <w:p w14:paraId="7DFAC5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公司始终将信息披露作为市值管理的核心纽带，以投资者关系管理为重要抓手，通过“规范披露、多元沟通”，推动新质生产力的技术价值与市场认知共振。一方面夯实信息披露质量，聚焦投资者关切，传递新质生产力在技术研发、成果转化、市场拓展等方面的进展及在ESG层面的具体实践。另一方面，构建全方位沟通体系，通过业绩说明会等形式，解答新质生产力相关问题，形成互动机制；创新沟通场景，通过“走进实验室”“参观生产基地”等实地调研活动，邀请投资者近距离感受新质生产力的研发与产业化进程，以沉浸式体验增强价值认同感。</w:t>
      </w:r>
    </w:p>
    <w:p w14:paraId="18C7BF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三、以稳定分红与持续回报凝聚长期价值认同</w:t>
      </w:r>
    </w:p>
    <w:p w14:paraId="11DAC2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公司坚守“股东回报”导向，自上市以来，累计分红金额已超7.2亿元。在新质生产力培育期，公司将兼顾长期投入与短期回报，继续保持稳定分红政策，通过“业绩增长+分红提升”，吸引价值投资者长期持有，形成市值与内在价值的正向循环。</w:t>
      </w:r>
    </w:p>
    <w:p w14:paraId="76997A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总体而言，新质生产力是“内驱”，市值管理的</w:t>
      </w:r>
      <w:r>
        <w:rPr>
          <w:rFonts w:hint="eastAsia" w:ascii="宋体" w:hAnsi="宋体" w:cs="宋体"/>
          <w:b w:val="0"/>
          <w:bCs w:val="0"/>
          <w:color w:val="auto"/>
          <w:sz w:val="24"/>
          <w:szCs w:val="24"/>
          <w:highlight w:val="none"/>
          <w:lang w:val="en-US" w:eastAsia="zh-CN"/>
        </w:rPr>
        <w:t>具体</w:t>
      </w:r>
      <w:r>
        <w:rPr>
          <w:rFonts w:hint="eastAsia" w:ascii="宋体" w:hAnsi="宋体" w:eastAsia="宋体" w:cs="宋体"/>
          <w:b w:val="0"/>
          <w:bCs w:val="0"/>
          <w:color w:val="auto"/>
          <w:sz w:val="24"/>
          <w:szCs w:val="24"/>
          <w:highlight w:val="none"/>
          <w:lang w:val="en-US" w:eastAsia="zh-CN"/>
        </w:rPr>
        <w:t>方式是“外引”。我们相信，当公司在质量技术服务、智能制造、环保</w:t>
      </w:r>
      <w:r>
        <w:rPr>
          <w:rFonts w:hint="eastAsia" w:ascii="宋体" w:hAnsi="宋体" w:cs="宋体"/>
          <w:b w:val="0"/>
          <w:bCs w:val="0"/>
          <w:color w:val="auto"/>
          <w:sz w:val="24"/>
          <w:szCs w:val="24"/>
          <w:highlight w:val="none"/>
          <w:lang w:val="en-US" w:eastAsia="zh-CN"/>
        </w:rPr>
        <w:t>涂料及树脂</w:t>
      </w:r>
      <w:r>
        <w:rPr>
          <w:rFonts w:hint="eastAsia" w:ascii="宋体" w:hAnsi="宋体" w:eastAsia="宋体" w:cs="宋体"/>
          <w:b w:val="0"/>
          <w:bCs w:val="0"/>
          <w:color w:val="auto"/>
          <w:sz w:val="24"/>
          <w:szCs w:val="24"/>
          <w:highlight w:val="none"/>
          <w:lang w:val="en-US" w:eastAsia="zh-CN"/>
        </w:rPr>
        <w:t>等领域的技术突破持续转化为营收增长、行业话语权和竞争力时，市场价值必然会反映内在价值。谢谢！</w:t>
      </w:r>
    </w:p>
    <w:p w14:paraId="4168A4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default" w:ascii="宋体" w:hAnsi="宋体" w:eastAsia="宋体" w:cs="宋体"/>
          <w:sz w:val="24"/>
          <w:szCs w:val="24"/>
          <w:lang w:val="en-US" w:eastAsia="zh-CN"/>
        </w:rPr>
      </w:pPr>
    </w:p>
    <w:p w14:paraId="0DC5924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问题2：您好，请问公司去年业绩整体上涨有哪些原因？</w:t>
      </w:r>
    </w:p>
    <w:p w14:paraId="3B732B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答：尊敬的投资者，您好！2024年公司业绩的整体提升，主要源于四大主营业务板块的协同发力与差异化突破。</w:t>
      </w:r>
    </w:p>
    <w:p w14:paraId="323D57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质量技术服务业务通过“资质扩容、能力建设、服务创新、强化海外运营及管理提效”实现稳步增长，其中智能家居检测等优势业务业绩贡献稳健，新能源等新兴领域检测业务、认证业务规模逐步扩大，业绩贡献占比持续提升，驱动业务结构优化。</w:t>
      </w:r>
    </w:p>
    <w:p w14:paraId="010BB8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电气装备业务在技术攻坚与降本增效中整体业绩趋于平稳，为后续新增长动能奠定基础。新能源电池后处理系统业务通过深化核心客户战略合作，突破固态电池试验产线，成功中标海外订单实现国际市场破冰。励磁装备业务在巩固常规水电励磁市场优势地位的同时，实现抽蓄励磁市场的有效拓展，成功签订中核云霄抽蓄等多个项目，SFC(自主可控静止变频装置)取得市场业绩，为未来发展奠定基础。工业电源业务保持良好发展态势，在电子铝箔行业成功承接多个项目巩固市场占有率，同步加速渗透电解制氢领域，斩获多个制氢电源项目，同时在大功率电源领域，承接了火炬工程相关大功率变流器项目，多应用领域协同发展势能进一步积蓄。</w:t>
      </w:r>
    </w:p>
    <w:p w14:paraId="2A8A8D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成套装备业务聚焦“项目履约、市场开发、管理提效、技术研发"协同发力。 公司高质量交付土耳其、巴西、北非等重大项目，新开发土耳其博世、巴西伊莱克斯等国际高端客户；国内市场中，热管理业务继续保持稳定增长，签订了华为、比亚迪、法雷奥、邦迪等多个头部企业订单，涂装表面业务多项突破，首次承接比亚迪汽车零部件涂装业务，开辟增量市场通道。管理端成立采购委员会，加强采购管理，同步数字化管理矩阵构建，提升效能保障盈利空间。研发端高端装备设计研究陆续开展，MES系统持续升级迭代，并在不同品类项目中得到应用，挖掘成长新潜力。</w:t>
      </w:r>
    </w:p>
    <w:p w14:paraId="5FCC47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环保涂料及树脂业务一方面持续加大传统优势领域及行业头部客户的市场开拓，另一方面不断加强新客户、新产品、新项目、新领域等“四新”市场开拓，销量、收入、利润均实现增长。 </w:t>
      </w:r>
    </w:p>
    <w:p w14:paraId="36AA77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此外，科技创新始终是公司发展的核心驱动力。过去一年，公司围绕"平台强基-项目攻坚-标准引领-机制护航-人才驱动-生态协同"六位一体推进创新体系建设，研发投入约为3.58亿元，同比增长10.97%，新增67件发明专利，4项科技成果通过外部技术鉴定，整体达到国际先进水平并在国内头部企业转化应用；主持和参与制修订并发布国际标准3项、国家标准71项、行业标准19项，共计93项标准，构筑起可持续的竞争优势。</w:t>
      </w:r>
    </w:p>
    <w:p w14:paraId="251BD7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感谢您的关注！</w:t>
      </w:r>
    </w:p>
    <w:p w14:paraId="6EE3CA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p>
    <w:p w14:paraId="4A717D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问题3：2024年报中提到的‘智能家居检测技术’‘氢能设备研发’等进展如何？何时能贡献规模化收入？</w:t>
      </w:r>
    </w:p>
    <w:p w14:paraId="503E0D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答：</w:t>
      </w:r>
      <w:r>
        <w:rPr>
          <w:rFonts w:hint="eastAsia" w:ascii="宋体" w:hAnsi="宋体" w:cs="宋体"/>
          <w:sz w:val="24"/>
          <w:szCs w:val="24"/>
          <w:lang w:val="en-US" w:eastAsia="zh-CN"/>
        </w:rPr>
        <w:t>尊敬的投资者，您好！2024年度，智能家居检测等优势业务对于公司质量技术服务业务的业绩贡献一如既往的稳健，工业电源业务加速渗透电解制氢领域，斩获多个制氢电源项目。感谢您的关注。</w:t>
      </w:r>
    </w:p>
    <w:p w14:paraId="5750A0D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问题4：请问公司在新能源领域的订单占比是否提升？2025年在该领域的研发投入和市场拓展计划如何？</w:t>
      </w:r>
    </w:p>
    <w:p w14:paraId="1A467CA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答：尊敬的投资者，您好！近年来，公司围绕智能家居、新能源和智能汽车两大产业链，聚焦智能、绿色健康及数字化三个方向，沿创新链和产业链拓展，新能源业务收入占比及研发投入占比持续提升。2025年，公司将着力突破关键核心技术瓶颈，培育战新产业发展，加快发展新质生产力，打造高质量发展新引擎；扎实推进布局优化和结构调整，加大前瞻性、战略性新兴产业的布局比重，实现量的合理增长和质的稳步提升；探索AI+具体应用场景的落地，加快推进数智化转型升级，强化精品质量、高附加值产品及系统解决方案能力；立足国内大循环，紧抓扩大内需的战略基点，大力开拓国内市场，加快国际化经营步伐，强化海外市场发展战略，进一步优化提升海外市场本地化服务能力，提升海外营销响应速度和服务水平。感谢您的关注。</w:t>
      </w:r>
    </w:p>
    <w:p w14:paraId="488E693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p>
    <w:p w14:paraId="7062DE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NWZmNWQzYjY4MjYyOTgyZjBhMTg3NGUzYTYzYzIifQ=="/>
  </w:docVars>
  <w:rsids>
    <w:rsidRoot w:val="74051C81"/>
    <w:rsid w:val="00696F16"/>
    <w:rsid w:val="007B53E5"/>
    <w:rsid w:val="00A1017A"/>
    <w:rsid w:val="00AE3D92"/>
    <w:rsid w:val="012C0D40"/>
    <w:rsid w:val="015462E8"/>
    <w:rsid w:val="01634913"/>
    <w:rsid w:val="02250530"/>
    <w:rsid w:val="02305889"/>
    <w:rsid w:val="02393045"/>
    <w:rsid w:val="02A231A2"/>
    <w:rsid w:val="02CB1CF7"/>
    <w:rsid w:val="03065D3F"/>
    <w:rsid w:val="034675D0"/>
    <w:rsid w:val="035903B5"/>
    <w:rsid w:val="048605CC"/>
    <w:rsid w:val="048839C8"/>
    <w:rsid w:val="04930DF6"/>
    <w:rsid w:val="049802FF"/>
    <w:rsid w:val="04CE6802"/>
    <w:rsid w:val="04DA7371"/>
    <w:rsid w:val="050711C1"/>
    <w:rsid w:val="05731586"/>
    <w:rsid w:val="06652463"/>
    <w:rsid w:val="069B5C91"/>
    <w:rsid w:val="07242397"/>
    <w:rsid w:val="07C136C9"/>
    <w:rsid w:val="08102255"/>
    <w:rsid w:val="08B92DCD"/>
    <w:rsid w:val="08BA2604"/>
    <w:rsid w:val="090221EB"/>
    <w:rsid w:val="0982598E"/>
    <w:rsid w:val="0A7D38F6"/>
    <w:rsid w:val="0A7F6B2A"/>
    <w:rsid w:val="0AA97660"/>
    <w:rsid w:val="0AD5676B"/>
    <w:rsid w:val="0B1E4F61"/>
    <w:rsid w:val="0B480549"/>
    <w:rsid w:val="0C561A60"/>
    <w:rsid w:val="0C69738F"/>
    <w:rsid w:val="0CAF48F4"/>
    <w:rsid w:val="0CF13E79"/>
    <w:rsid w:val="0D054574"/>
    <w:rsid w:val="0D0855A3"/>
    <w:rsid w:val="0D666D0A"/>
    <w:rsid w:val="0D67364B"/>
    <w:rsid w:val="0E254FC2"/>
    <w:rsid w:val="0E4244D5"/>
    <w:rsid w:val="0EC17061"/>
    <w:rsid w:val="10F50840"/>
    <w:rsid w:val="11245CF7"/>
    <w:rsid w:val="114E2471"/>
    <w:rsid w:val="12026003"/>
    <w:rsid w:val="12412F69"/>
    <w:rsid w:val="12F901BB"/>
    <w:rsid w:val="130848A2"/>
    <w:rsid w:val="13314B71"/>
    <w:rsid w:val="13405DEA"/>
    <w:rsid w:val="13CD7229"/>
    <w:rsid w:val="14DD19FD"/>
    <w:rsid w:val="150F4227"/>
    <w:rsid w:val="156D6631"/>
    <w:rsid w:val="15B30AF5"/>
    <w:rsid w:val="16443E43"/>
    <w:rsid w:val="169C0850"/>
    <w:rsid w:val="19732343"/>
    <w:rsid w:val="19C16E81"/>
    <w:rsid w:val="19DE3818"/>
    <w:rsid w:val="1A873CE0"/>
    <w:rsid w:val="1A8C5DB8"/>
    <w:rsid w:val="1AA255DC"/>
    <w:rsid w:val="1AD003D6"/>
    <w:rsid w:val="1ADA6B24"/>
    <w:rsid w:val="1B6B0D73"/>
    <w:rsid w:val="1B9E3FF5"/>
    <w:rsid w:val="1BAF763E"/>
    <w:rsid w:val="1BD66CCC"/>
    <w:rsid w:val="1CA507C5"/>
    <w:rsid w:val="1CD858DF"/>
    <w:rsid w:val="1D061C37"/>
    <w:rsid w:val="1D465E85"/>
    <w:rsid w:val="1E285DF8"/>
    <w:rsid w:val="1E4C12E5"/>
    <w:rsid w:val="1E51534F"/>
    <w:rsid w:val="1F1A3993"/>
    <w:rsid w:val="1F551979"/>
    <w:rsid w:val="204004F3"/>
    <w:rsid w:val="20983E6D"/>
    <w:rsid w:val="20C7662B"/>
    <w:rsid w:val="212154AC"/>
    <w:rsid w:val="21265C88"/>
    <w:rsid w:val="213E6453"/>
    <w:rsid w:val="21E604A4"/>
    <w:rsid w:val="21EB7868"/>
    <w:rsid w:val="22713BA0"/>
    <w:rsid w:val="22B303EE"/>
    <w:rsid w:val="22BD072A"/>
    <w:rsid w:val="22F652F0"/>
    <w:rsid w:val="23060FC3"/>
    <w:rsid w:val="23425BAE"/>
    <w:rsid w:val="234E24DE"/>
    <w:rsid w:val="23866999"/>
    <w:rsid w:val="23BB3BD0"/>
    <w:rsid w:val="24460214"/>
    <w:rsid w:val="244E5CD5"/>
    <w:rsid w:val="245A0281"/>
    <w:rsid w:val="24C3584B"/>
    <w:rsid w:val="25EA28D5"/>
    <w:rsid w:val="268A6BC2"/>
    <w:rsid w:val="268D5392"/>
    <w:rsid w:val="26AC3A6A"/>
    <w:rsid w:val="27554102"/>
    <w:rsid w:val="276C4EE5"/>
    <w:rsid w:val="27B0452F"/>
    <w:rsid w:val="282D0BDB"/>
    <w:rsid w:val="283763F6"/>
    <w:rsid w:val="28B60685"/>
    <w:rsid w:val="29143F6C"/>
    <w:rsid w:val="29566261"/>
    <w:rsid w:val="298D3715"/>
    <w:rsid w:val="29C36672"/>
    <w:rsid w:val="2A9F5694"/>
    <w:rsid w:val="2AFD4D90"/>
    <w:rsid w:val="2B6A3EF4"/>
    <w:rsid w:val="2B8D3682"/>
    <w:rsid w:val="2BAE0753"/>
    <w:rsid w:val="2C081646"/>
    <w:rsid w:val="2C187212"/>
    <w:rsid w:val="2C3A0591"/>
    <w:rsid w:val="2C3D700C"/>
    <w:rsid w:val="2C4329E5"/>
    <w:rsid w:val="2C5C7EAC"/>
    <w:rsid w:val="2C9A7102"/>
    <w:rsid w:val="2DB24988"/>
    <w:rsid w:val="2E516CA5"/>
    <w:rsid w:val="2E7262F4"/>
    <w:rsid w:val="2EAE5EA6"/>
    <w:rsid w:val="2F431760"/>
    <w:rsid w:val="2FB725D1"/>
    <w:rsid w:val="307712A0"/>
    <w:rsid w:val="30C016F6"/>
    <w:rsid w:val="311B2C29"/>
    <w:rsid w:val="313E7B6B"/>
    <w:rsid w:val="31AC2DAC"/>
    <w:rsid w:val="32207CB1"/>
    <w:rsid w:val="32352542"/>
    <w:rsid w:val="32A61CB5"/>
    <w:rsid w:val="32B67A1F"/>
    <w:rsid w:val="32F67AAB"/>
    <w:rsid w:val="33A15FD9"/>
    <w:rsid w:val="33F739F8"/>
    <w:rsid w:val="3463188B"/>
    <w:rsid w:val="34DA57ED"/>
    <w:rsid w:val="34EF0FC6"/>
    <w:rsid w:val="354E2190"/>
    <w:rsid w:val="36015455"/>
    <w:rsid w:val="361167D6"/>
    <w:rsid w:val="36213401"/>
    <w:rsid w:val="36613811"/>
    <w:rsid w:val="366C1BC2"/>
    <w:rsid w:val="368261C0"/>
    <w:rsid w:val="368443C0"/>
    <w:rsid w:val="368A544A"/>
    <w:rsid w:val="37941808"/>
    <w:rsid w:val="37A4253C"/>
    <w:rsid w:val="37F232A7"/>
    <w:rsid w:val="38010A6E"/>
    <w:rsid w:val="38455ACD"/>
    <w:rsid w:val="389472BE"/>
    <w:rsid w:val="38F10CF7"/>
    <w:rsid w:val="39171BD8"/>
    <w:rsid w:val="395F36CB"/>
    <w:rsid w:val="39BE5967"/>
    <w:rsid w:val="3A463D63"/>
    <w:rsid w:val="3ACD3236"/>
    <w:rsid w:val="3AE6304E"/>
    <w:rsid w:val="3B4E4D87"/>
    <w:rsid w:val="3D267147"/>
    <w:rsid w:val="3D2C39F4"/>
    <w:rsid w:val="3E413934"/>
    <w:rsid w:val="3E7069E6"/>
    <w:rsid w:val="3E8C051C"/>
    <w:rsid w:val="3E8D3D29"/>
    <w:rsid w:val="3E993785"/>
    <w:rsid w:val="3EBF2BE7"/>
    <w:rsid w:val="3F2033BA"/>
    <w:rsid w:val="3F781034"/>
    <w:rsid w:val="3F966C0E"/>
    <w:rsid w:val="3FEFC426"/>
    <w:rsid w:val="3FF83425"/>
    <w:rsid w:val="40100B72"/>
    <w:rsid w:val="401B7113"/>
    <w:rsid w:val="408625A7"/>
    <w:rsid w:val="40B515D6"/>
    <w:rsid w:val="41F91DD4"/>
    <w:rsid w:val="425A3ABE"/>
    <w:rsid w:val="432B30A1"/>
    <w:rsid w:val="4379487C"/>
    <w:rsid w:val="449A614F"/>
    <w:rsid w:val="449B41EB"/>
    <w:rsid w:val="45904571"/>
    <w:rsid w:val="45EE12AA"/>
    <w:rsid w:val="45F34DBA"/>
    <w:rsid w:val="46007017"/>
    <w:rsid w:val="463D4287"/>
    <w:rsid w:val="468B5A27"/>
    <w:rsid w:val="46AA2F9F"/>
    <w:rsid w:val="46E26BDC"/>
    <w:rsid w:val="47413A33"/>
    <w:rsid w:val="47490A0A"/>
    <w:rsid w:val="476A598A"/>
    <w:rsid w:val="479A54D9"/>
    <w:rsid w:val="480077D8"/>
    <w:rsid w:val="48985DF3"/>
    <w:rsid w:val="49FE5D18"/>
    <w:rsid w:val="4A7C0DFC"/>
    <w:rsid w:val="4A881849"/>
    <w:rsid w:val="4A9055C1"/>
    <w:rsid w:val="4ACD1071"/>
    <w:rsid w:val="4AE2446F"/>
    <w:rsid w:val="4AE927A4"/>
    <w:rsid w:val="4BFE0015"/>
    <w:rsid w:val="4CD07C03"/>
    <w:rsid w:val="4CF803E4"/>
    <w:rsid w:val="4D043409"/>
    <w:rsid w:val="4D5325E2"/>
    <w:rsid w:val="4D91572A"/>
    <w:rsid w:val="4E293331"/>
    <w:rsid w:val="4E5E6A77"/>
    <w:rsid w:val="4E946A0E"/>
    <w:rsid w:val="4EC23B63"/>
    <w:rsid w:val="4F557D65"/>
    <w:rsid w:val="4F7B2A3B"/>
    <w:rsid w:val="50633E69"/>
    <w:rsid w:val="50D03E52"/>
    <w:rsid w:val="51151B21"/>
    <w:rsid w:val="51556929"/>
    <w:rsid w:val="51700D9C"/>
    <w:rsid w:val="51A13D93"/>
    <w:rsid w:val="51C07CD4"/>
    <w:rsid w:val="526F0E9F"/>
    <w:rsid w:val="5276195F"/>
    <w:rsid w:val="52D11605"/>
    <w:rsid w:val="531C1103"/>
    <w:rsid w:val="537A3B28"/>
    <w:rsid w:val="53801F48"/>
    <w:rsid w:val="53D23456"/>
    <w:rsid w:val="543F566E"/>
    <w:rsid w:val="54C372D7"/>
    <w:rsid w:val="54DC16D9"/>
    <w:rsid w:val="5505696E"/>
    <w:rsid w:val="5531145B"/>
    <w:rsid w:val="55EA236F"/>
    <w:rsid w:val="55FB670D"/>
    <w:rsid w:val="560B178E"/>
    <w:rsid w:val="56C439F1"/>
    <w:rsid w:val="57022763"/>
    <w:rsid w:val="57F24ED2"/>
    <w:rsid w:val="58353010"/>
    <w:rsid w:val="589C308F"/>
    <w:rsid w:val="58DB73AF"/>
    <w:rsid w:val="58E87418"/>
    <w:rsid w:val="58F20F01"/>
    <w:rsid w:val="5919648E"/>
    <w:rsid w:val="5928537F"/>
    <w:rsid w:val="599124C8"/>
    <w:rsid w:val="5A2A46CB"/>
    <w:rsid w:val="5A427C66"/>
    <w:rsid w:val="5A9247E9"/>
    <w:rsid w:val="5ABE2120"/>
    <w:rsid w:val="5AC9275A"/>
    <w:rsid w:val="5B0A49B9"/>
    <w:rsid w:val="5B5F3C40"/>
    <w:rsid w:val="5C7E485A"/>
    <w:rsid w:val="5CFC46A8"/>
    <w:rsid w:val="5D351234"/>
    <w:rsid w:val="5D66733F"/>
    <w:rsid w:val="5D881647"/>
    <w:rsid w:val="5D9B1B67"/>
    <w:rsid w:val="5DB36382"/>
    <w:rsid w:val="5DC50992"/>
    <w:rsid w:val="5E277097"/>
    <w:rsid w:val="5E55500A"/>
    <w:rsid w:val="5E802729"/>
    <w:rsid w:val="5F4A295C"/>
    <w:rsid w:val="5F5F5287"/>
    <w:rsid w:val="6033122B"/>
    <w:rsid w:val="609B2827"/>
    <w:rsid w:val="6114634D"/>
    <w:rsid w:val="6142054C"/>
    <w:rsid w:val="61457C35"/>
    <w:rsid w:val="620B370A"/>
    <w:rsid w:val="62C96F2C"/>
    <w:rsid w:val="631F0366"/>
    <w:rsid w:val="639037F0"/>
    <w:rsid w:val="639D4327"/>
    <w:rsid w:val="647F336D"/>
    <w:rsid w:val="64B6122E"/>
    <w:rsid w:val="6502071E"/>
    <w:rsid w:val="6525440C"/>
    <w:rsid w:val="654F4FE5"/>
    <w:rsid w:val="658C7FE7"/>
    <w:rsid w:val="65D26342"/>
    <w:rsid w:val="661419CD"/>
    <w:rsid w:val="663631F1"/>
    <w:rsid w:val="66944B5D"/>
    <w:rsid w:val="66D25ECE"/>
    <w:rsid w:val="66E9560E"/>
    <w:rsid w:val="670379FC"/>
    <w:rsid w:val="67762CFD"/>
    <w:rsid w:val="67AE37BC"/>
    <w:rsid w:val="67B24472"/>
    <w:rsid w:val="67E807C9"/>
    <w:rsid w:val="67FB4368"/>
    <w:rsid w:val="687141A6"/>
    <w:rsid w:val="68D128E1"/>
    <w:rsid w:val="68D414EA"/>
    <w:rsid w:val="68D8248E"/>
    <w:rsid w:val="696B0C31"/>
    <w:rsid w:val="69BE2739"/>
    <w:rsid w:val="6A040A94"/>
    <w:rsid w:val="6A0D7D8F"/>
    <w:rsid w:val="6A190A85"/>
    <w:rsid w:val="6A955B90"/>
    <w:rsid w:val="6B150FC9"/>
    <w:rsid w:val="6B76151E"/>
    <w:rsid w:val="6BF3491C"/>
    <w:rsid w:val="6C0905E4"/>
    <w:rsid w:val="6C1825D5"/>
    <w:rsid w:val="6C3311BD"/>
    <w:rsid w:val="6C4C3C16"/>
    <w:rsid w:val="6C861C34"/>
    <w:rsid w:val="6C8D525F"/>
    <w:rsid w:val="6D0A2CBD"/>
    <w:rsid w:val="6D162FB8"/>
    <w:rsid w:val="6D25144D"/>
    <w:rsid w:val="6D9B1AE6"/>
    <w:rsid w:val="6D9E6B0A"/>
    <w:rsid w:val="6DA97B06"/>
    <w:rsid w:val="6DC821B0"/>
    <w:rsid w:val="6DE154F3"/>
    <w:rsid w:val="6E061737"/>
    <w:rsid w:val="6E0B21C7"/>
    <w:rsid w:val="6E135F7A"/>
    <w:rsid w:val="6E201C15"/>
    <w:rsid w:val="6E4F49FF"/>
    <w:rsid w:val="6EC17EEE"/>
    <w:rsid w:val="6F1E7F02"/>
    <w:rsid w:val="6FCD0EA0"/>
    <w:rsid w:val="70CD245B"/>
    <w:rsid w:val="70F4004C"/>
    <w:rsid w:val="7139125F"/>
    <w:rsid w:val="7164445F"/>
    <w:rsid w:val="71760C01"/>
    <w:rsid w:val="71931713"/>
    <w:rsid w:val="71F26BFF"/>
    <w:rsid w:val="727424D1"/>
    <w:rsid w:val="729D55E2"/>
    <w:rsid w:val="72A83F15"/>
    <w:rsid w:val="72AC0501"/>
    <w:rsid w:val="72E37031"/>
    <w:rsid w:val="73A05043"/>
    <w:rsid w:val="73C062BD"/>
    <w:rsid w:val="74051C81"/>
    <w:rsid w:val="749018A2"/>
    <w:rsid w:val="753219FC"/>
    <w:rsid w:val="75AF3FAA"/>
    <w:rsid w:val="75D270BD"/>
    <w:rsid w:val="7665536D"/>
    <w:rsid w:val="76850B8A"/>
    <w:rsid w:val="76B936A0"/>
    <w:rsid w:val="774D6EF6"/>
    <w:rsid w:val="77AD276B"/>
    <w:rsid w:val="77C04036"/>
    <w:rsid w:val="7819395D"/>
    <w:rsid w:val="78A36BF5"/>
    <w:rsid w:val="78CE3E0F"/>
    <w:rsid w:val="78DD6EF1"/>
    <w:rsid w:val="790172B1"/>
    <w:rsid w:val="794762A8"/>
    <w:rsid w:val="7A1556BE"/>
    <w:rsid w:val="7A37631C"/>
    <w:rsid w:val="7AD24297"/>
    <w:rsid w:val="7ADA606C"/>
    <w:rsid w:val="7AE7650B"/>
    <w:rsid w:val="7B6C1433"/>
    <w:rsid w:val="7B723FDB"/>
    <w:rsid w:val="7CC96FB5"/>
    <w:rsid w:val="7D032E2D"/>
    <w:rsid w:val="7D25035B"/>
    <w:rsid w:val="7D692BE4"/>
    <w:rsid w:val="7DBD60A0"/>
    <w:rsid w:val="7DF81912"/>
    <w:rsid w:val="7E136A82"/>
    <w:rsid w:val="7E150C4C"/>
    <w:rsid w:val="7F3834E8"/>
    <w:rsid w:val="7FB613D5"/>
    <w:rsid w:val="BEF30C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2680</Words>
  <Characters>2764</Characters>
  <Lines>0</Lines>
  <Paragraphs>0</Paragraphs>
  <TotalTime>0</TotalTime>
  <ScaleCrop>false</ScaleCrop>
  <LinksUpToDate>false</LinksUpToDate>
  <CharactersWithSpaces>2796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2021-09-22T22:44:00Z</dcterms:created>
  <dc:creator>大头娃SUN</dc:creator>
  <cp:lastModifiedBy>大头娃SUN</cp:lastModifiedBy>
  <cp:lastPrinted>2023-09-05T09:34:00Z</cp:lastPrinted>
  <dcterms:modified xsi:type="dcterms:W3CDTF">2025-05-16T08:26:00Z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93B8E48A3CFE40A19CE815B9D4877B5B_13</vt:lpwstr>
  </property>
  <property fmtid="{D5CDD505-2E9C-101B-9397-08002B2CF9AE}" pid="4" name="KSOTemplateDocerSaveRecord">
    <vt:lpwstr>eyJoZGlkIjoiNDc4NWZmNWQzYjY4MjYyOTgyZjBhMTg3NGUzYTYzYzIiLCJ1c2VySWQiOiI1OTg5MjA2NzAifQ==</vt:lpwstr>
  </property>
</Properties>
</file>