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02" w:rsidRDefault="00F910ED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5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95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 xml:space="preserve">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证券简称：芯海科技</w:t>
      </w:r>
    </w:p>
    <w:p w:rsidR="00607D02" w:rsidRDefault="00F910ED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/>
          <w:bCs/>
          <w:iCs/>
          <w:color w:val="000000"/>
          <w:sz w:val="28"/>
        </w:rPr>
        <w:t>债券代码：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 xml:space="preserve">118015                        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债券简称：芯海转债</w:t>
      </w:r>
    </w:p>
    <w:p w:rsidR="00607D02" w:rsidRDefault="00607D02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:rsidR="00607D02" w:rsidRDefault="00F910ED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芯海科技（深圳）股份有限公司</w:t>
      </w:r>
    </w:p>
    <w:p w:rsidR="00607D02" w:rsidRDefault="00F910ED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607D02" w:rsidRDefault="00F910ED">
      <w:pPr>
        <w:spacing w:line="400" w:lineRule="exac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编号：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2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025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00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4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3994"/>
        <w:gridCol w:w="2346"/>
        <w:gridCol w:w="2902"/>
      </w:tblGrid>
      <w:tr w:rsidR="00607D02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02" w:rsidRDefault="00F910ED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02" w:rsidRDefault="00F910ED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607D02" w:rsidRDefault="00F910ED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607D02" w:rsidRDefault="00F910ED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:rsidR="00607D02" w:rsidRDefault="00F910ED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□电话会议</w:t>
            </w:r>
          </w:p>
          <w:p w:rsidR="00607D02" w:rsidRDefault="00F910ED">
            <w:pPr>
              <w:tabs>
                <w:tab w:val="left" w:pos="2808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□其他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07D02">
        <w:trPr>
          <w:trHeight w:val="60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02" w:rsidRDefault="00F910ED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02" w:rsidRDefault="00F910ED" w:rsidP="004E705A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4E705A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02" w:rsidRDefault="00F910ED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02" w:rsidRDefault="00F910ED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会议室</w:t>
            </w:r>
          </w:p>
        </w:tc>
      </w:tr>
      <w:tr w:rsidR="00607D02">
        <w:trPr>
          <w:trHeight w:val="444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02" w:rsidRDefault="00F910ED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02" w:rsidRDefault="00F910ED">
            <w:pPr>
              <w:pStyle w:val="a5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一季度</w:t>
            </w: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毛利率提升至</w:t>
            </w: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7.19</w:t>
            </w: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%</w:t>
            </w: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，主要驱动因素是什么？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年一季度毛利率同比提升约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个百分点，主要原因是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随着前几年的战略布局，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产品结构发生了变化，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2-5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PPG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新产品出货量较上年同期翻番增长，传统业务占比较上期有所下降，产品结构优化使得毛利率同比增长。</w:t>
            </w:r>
          </w:p>
          <w:p w:rsidR="00607D02" w:rsidRDefault="00F910ED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请问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公司在人形机器人或电子皮肤相关产品中具有什么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布局吗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公司回答：人形机器人对半导体的集成度、智能化和感知水平提出了更高要求。在机器人领域，围绕电子皮肤、六维力传感器等关键应用，公司已与相关客户展开探索与合作。例如，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是电子皮肤的底层技术之一，高精度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能将微小压力变化精准数字化，避免信号模糊。芯海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具有高精度、高线性度、低温漂等特性，且布局广泛、应用场景众多。机器人的感知、决策、执行等动作需要电子皮肤、六维力传感器、空心杯电机等设备作为基础桥梁，而这些设备的精确运转离不开对应的高精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、触觉反馈芯片、传感器调理芯片、压力触控芯片等硬件的支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持。</w:t>
            </w:r>
          </w:p>
          <w:p w:rsidR="00607D02" w:rsidRDefault="00F910ED">
            <w:pPr>
              <w:pStyle w:val="a5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公司在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业务的布局规划？产品的核心竞争力来自于哪里？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带来算力需求迅猛增长，带来了满足海量数据计算的高性能处理器芯片需求，公司基于自身深厚的技术积累，已实现了以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为核心，覆盖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HapticPad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USB 3.0 HUB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的横向产品布局；同时，也完成了从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 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、笔记本电脑到台式机、工控机、边缘计算及服务器的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SIO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的纵向产品布局。公司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是大陆首个通过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Intel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国际认证的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产品，同时也通过了计算机全球龙头企业验证，打破了海外产品对于此市场的垄断，能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够满足各种品类计算机的需求，目前已经完成和国内外各大主流笔记本厂家的适配工作。荣耀首款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 PC MagicBook Pro 16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已于报告期内发布，该产品搭载了芯海科技高性能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芯片；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USB 3.0 HUB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产品已在客户端实现量产；应用于台式计算机的第一代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Super IO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产品已经导入客户端。截至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年年末，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累计出货量近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000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万颗。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随着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大模型的衍生应用不断推出，许多终端开始升级智能化体验，从而产生了海量的终端数据分析处理需求。企业的业务部署场景和数据产生正在向端侧、边缘侧“迁移”。公司针对边缘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计算及服务器市场的轻量级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edge BMC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管理芯片，已经上市并开始导入客户端。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公司凭借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余年高精度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技术积累及高可靠性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技术壁垒，构建了覆盖从计算机到服务器领域的全系列产品，并进入荣耀、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Intel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国内及全球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头部客户供应链。通过“感知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计算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连接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算法”全栈技术整合和生态协同，形成深度客户黏性。未来，公司仍将坚持以“驱动计算、服务计算”为方向，助力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从“生产力工具”进化为“智能伙伴”，与行业伙伴共同开启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AI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时代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的无限可能。</w:t>
            </w:r>
          </w:p>
          <w:p w:rsidR="00607D02" w:rsidRDefault="00F910ED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公司目前产品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中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哪些具备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国产替代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能力？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公司回答：公司一直积极拓展符合公司战略发展方向的国内外客户。公司多款芯片成功实现了国产替代，比如高精度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系列芯片，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芯片，传感器调理芯片等。公司从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2003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年成立以来，一直聚焦在信号链领域的设计研发，拥有高精度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、高可靠性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等核心技术。</w:t>
            </w:r>
          </w:p>
          <w:p w:rsidR="00607D02" w:rsidRDefault="00F910ED">
            <w:pPr>
              <w:pStyle w:val="a5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用于手机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侧边按键的触觉反馈芯片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目前实现了向哪些手机品牌的销售</w:t>
            </w: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公司回答：自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2016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年开始进行压力触控芯片及应用研发，芯海压感产品历经初代到第四代，不断突破技术瓶颈，为用户带来了更加卓越的交互体验。目前公司压力触控芯片已经在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OPPO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Fin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d X8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vivo X200 Ultra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系列实现销售。</w:t>
            </w:r>
          </w:p>
          <w:p w:rsidR="00607D02" w:rsidRDefault="00F910ED">
            <w:pPr>
              <w:pStyle w:val="a5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鸿蒙生态布局是否带来增量？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鸿蒙是芯海的生态合作伙伴。芯海注重技术创新和研发投入，在能力、产品、商业布局上的突出亮点包括强大的模拟芯片和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设计能力，以及针对物联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网市场的全面解决方案，基于此，公司持续向轻量级设备领域厂商提供具有市场竞争力的创新产品。此外，作为轻量级设备领域与鸿蒙生态互联互通的桥梁，公司不仅提供产品，还提供使能服务，帮助中小企业更好地融入鸿蒙生态。通过软硬服务一体化与鸿蒙合作，在开源鸿蒙中参与标准建设及共创，例如智能仪表产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的出货量稳定上升。随着鸿蒙连接数和品类的不断增长和扩展，我们看到鸿蒙生态系统正在不断壮大和完善。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截至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2024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年末，公司已成功导入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300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余个鸿蒙智联项目商机，完成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115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个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SKU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的产品接入，终端产品累计出货量近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 xml:space="preserve"> 4,000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万台。在电力细分市场，公司通过了电鸿模组认证。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年，公司成功进入“鸿蒙智联推荐模组”名单。</w:t>
            </w:r>
          </w:p>
          <w:p w:rsidR="00607D02" w:rsidRDefault="00F910ED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公司在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落地方面有什么新的战略布局吗？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公司回答：在云端，芯海科技和子公司康柚健康希望与合作伙伴一起，以芯片与算法为核心优势，借助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大模型进行数据分析，预测和评估千万用户的健康状况，为用户推送健康信息前瞻提示，助力运动与饮食干预，推动健康生活方式养成。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在边缘端，智能边缘设备与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技术逐步融合。边缘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离客户更近，出于数据隐私与资产保护考量，众多企业用户不愿将数据传至云端，倾向私有化部署数据中心，边缘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正好契合这一需求。能实现定制化、个性化，以低时延、高响应特性，更好匹配场景要求。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在应用终端，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技术赋予了各种终端设备更智能化的特性，作为重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要的生产力工具，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应用的落地需要硬件的承载，与各行各业结合，赋能千行百业。在智能汽车、人形机器人、工业物联网、医疗健康等领域，行业应用爆发，从“万物互联”迈向“万物智联”。各类新型智能终端的快速发展，催生了万亿级芯片增量市场，芯片功能从“通用化”转向“场景定制化”。</w:t>
            </w:r>
          </w:p>
          <w:p w:rsidR="00607D02" w:rsidRDefault="00F910ED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公司将加大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技术方面投入，结合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双平台优势，围绕通信与计算机、机器人、工业高精度测量和汽车等方向布局。公司积极配合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AI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技术落地不断创新，围绕“云边端”协同和落地，与下游生态深度绑定，为垂直场景提供“芯片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算法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数据”全栈方案，力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求在市场中占据领先地位，实现企业的快速发展。</w:t>
            </w:r>
          </w:p>
          <w:p w:rsidR="00607D02" w:rsidRDefault="00607D02">
            <w:pPr>
              <w:pStyle w:val="a5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607D02">
        <w:trPr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02" w:rsidRDefault="00F910ED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:rsidR="00607D02" w:rsidRDefault="00F910ED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02" w:rsidRDefault="00F910ED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607D02">
        <w:trPr>
          <w:jc w:val="center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02" w:rsidRDefault="00F910ED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以下为本次活动参与人员签字页</w:t>
            </w:r>
          </w:p>
        </w:tc>
      </w:tr>
      <w:tr w:rsidR="00607D02">
        <w:trPr>
          <w:trHeight w:hRule="exact" w:val="169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02" w:rsidRDefault="00F910ED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02" w:rsidRDefault="00F910ED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天风证券、国投证券、华龙证券、太平洋资产管理、国泰基金、招商基金、西部利得基金、工银瑞信基金、兴银理财、华泰资管、和君资本、国鸣投资</w:t>
            </w:r>
          </w:p>
        </w:tc>
      </w:tr>
      <w:tr w:rsidR="00607D02">
        <w:trPr>
          <w:trHeight w:hRule="exact" w:val="195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02" w:rsidRDefault="00F910ED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02" w:rsidRDefault="00F910ED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董事会秘书：张娟苓女士</w:t>
            </w:r>
          </w:p>
        </w:tc>
      </w:tr>
    </w:tbl>
    <w:p w:rsidR="00607D02" w:rsidRDefault="00607D02"/>
    <w:p w:rsidR="00607D02" w:rsidRDefault="00607D02"/>
    <w:p w:rsidR="00607D02" w:rsidRDefault="00607D02"/>
    <w:p w:rsidR="00607D02" w:rsidRDefault="00607D02"/>
    <w:sectPr w:rsidR="00607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ED" w:rsidRDefault="00F910ED" w:rsidP="004E705A">
      <w:r>
        <w:separator/>
      </w:r>
    </w:p>
  </w:endnote>
  <w:endnote w:type="continuationSeparator" w:id="0">
    <w:p w:rsidR="00F910ED" w:rsidRDefault="00F910ED" w:rsidP="004E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ED" w:rsidRDefault="00F910ED" w:rsidP="004E705A">
      <w:r>
        <w:separator/>
      </w:r>
    </w:p>
  </w:footnote>
  <w:footnote w:type="continuationSeparator" w:id="0">
    <w:p w:rsidR="00F910ED" w:rsidRDefault="00F910ED" w:rsidP="004E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42B47"/>
    <w:multiLevelType w:val="multilevel"/>
    <w:tmpl w:val="59F42B47"/>
    <w:lvl w:ilvl="0">
      <w:start w:val="1"/>
      <w:numFmt w:val="decimal"/>
      <w:lvlText w:val="%1、"/>
      <w:lvlJc w:val="left"/>
      <w:pPr>
        <w:ind w:left="9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872BF"/>
    <w:rsid w:val="004E705A"/>
    <w:rsid w:val="00607D02"/>
    <w:rsid w:val="007C49EE"/>
    <w:rsid w:val="00B23929"/>
    <w:rsid w:val="00F910ED"/>
    <w:rsid w:val="01CB4D22"/>
    <w:rsid w:val="02D01988"/>
    <w:rsid w:val="03BC2B91"/>
    <w:rsid w:val="04DE4B12"/>
    <w:rsid w:val="04E34DC8"/>
    <w:rsid w:val="066602B0"/>
    <w:rsid w:val="0B4F0759"/>
    <w:rsid w:val="0BCD51F8"/>
    <w:rsid w:val="0E640E73"/>
    <w:rsid w:val="0E97168B"/>
    <w:rsid w:val="13F9184E"/>
    <w:rsid w:val="142C44D2"/>
    <w:rsid w:val="160D5DEB"/>
    <w:rsid w:val="18972E24"/>
    <w:rsid w:val="198A7F57"/>
    <w:rsid w:val="1B2E094C"/>
    <w:rsid w:val="1B5A6223"/>
    <w:rsid w:val="1E533EAD"/>
    <w:rsid w:val="21473D75"/>
    <w:rsid w:val="21A803FA"/>
    <w:rsid w:val="25B74971"/>
    <w:rsid w:val="26667125"/>
    <w:rsid w:val="29617926"/>
    <w:rsid w:val="2B5C0BE8"/>
    <w:rsid w:val="2BEC1477"/>
    <w:rsid w:val="2C150B22"/>
    <w:rsid w:val="2C50584E"/>
    <w:rsid w:val="2C80321E"/>
    <w:rsid w:val="2D3B2FA2"/>
    <w:rsid w:val="33AA18C5"/>
    <w:rsid w:val="348B3080"/>
    <w:rsid w:val="35BF1F81"/>
    <w:rsid w:val="362B6FD0"/>
    <w:rsid w:val="367630D9"/>
    <w:rsid w:val="36AE35D2"/>
    <w:rsid w:val="38462D56"/>
    <w:rsid w:val="38762E80"/>
    <w:rsid w:val="39133BA7"/>
    <w:rsid w:val="39AE7F3A"/>
    <w:rsid w:val="3BD44332"/>
    <w:rsid w:val="3E53165B"/>
    <w:rsid w:val="3ED74F9B"/>
    <w:rsid w:val="3F9C6863"/>
    <w:rsid w:val="411A31F1"/>
    <w:rsid w:val="413A353A"/>
    <w:rsid w:val="417C2021"/>
    <w:rsid w:val="432A4F26"/>
    <w:rsid w:val="43ED1E24"/>
    <w:rsid w:val="44026277"/>
    <w:rsid w:val="449C0461"/>
    <w:rsid w:val="44B95A35"/>
    <w:rsid w:val="45515741"/>
    <w:rsid w:val="48195BEB"/>
    <w:rsid w:val="492D2BAA"/>
    <w:rsid w:val="4AF15204"/>
    <w:rsid w:val="4CAD2C16"/>
    <w:rsid w:val="4E5300A7"/>
    <w:rsid w:val="4F005079"/>
    <w:rsid w:val="4F81082D"/>
    <w:rsid w:val="4F8C2664"/>
    <w:rsid w:val="504B66F6"/>
    <w:rsid w:val="505E0AEC"/>
    <w:rsid w:val="517D5722"/>
    <w:rsid w:val="51852684"/>
    <w:rsid w:val="52D535AB"/>
    <w:rsid w:val="56230B49"/>
    <w:rsid w:val="57B305DF"/>
    <w:rsid w:val="59692302"/>
    <w:rsid w:val="5A5F540D"/>
    <w:rsid w:val="5A6A4BF7"/>
    <w:rsid w:val="5A896945"/>
    <w:rsid w:val="5AD31534"/>
    <w:rsid w:val="5C6C631E"/>
    <w:rsid w:val="60697C3E"/>
    <w:rsid w:val="614743B7"/>
    <w:rsid w:val="6200526F"/>
    <w:rsid w:val="64972AC5"/>
    <w:rsid w:val="665D27CA"/>
    <w:rsid w:val="670E0286"/>
    <w:rsid w:val="67DF78C7"/>
    <w:rsid w:val="6A552A1A"/>
    <w:rsid w:val="6C0E0771"/>
    <w:rsid w:val="6C5F0D02"/>
    <w:rsid w:val="6C6815CE"/>
    <w:rsid w:val="6F392DCD"/>
    <w:rsid w:val="6FA872BF"/>
    <w:rsid w:val="70985C36"/>
    <w:rsid w:val="71A269BD"/>
    <w:rsid w:val="71A44749"/>
    <w:rsid w:val="73A66CA6"/>
    <w:rsid w:val="74387A6F"/>
    <w:rsid w:val="753405C8"/>
    <w:rsid w:val="76276195"/>
    <w:rsid w:val="77042394"/>
    <w:rsid w:val="77106333"/>
    <w:rsid w:val="777A671F"/>
    <w:rsid w:val="77CF6BFC"/>
    <w:rsid w:val="792B3D86"/>
    <w:rsid w:val="7A117749"/>
    <w:rsid w:val="7B4502EF"/>
    <w:rsid w:val="7C4C1562"/>
    <w:rsid w:val="7CF70AD2"/>
    <w:rsid w:val="7D0C35F4"/>
    <w:rsid w:val="7D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20E4E4"/>
  <w15:docId w15:val="{31D9BF21-DF72-40F6-96A7-DB1A04B8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4E7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E70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E7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E70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1273</Words>
  <Characters>1606</Characters>
  <Application>Microsoft Office Word</Application>
  <DocSecurity>0</DocSecurity>
  <Lines>178</Lines>
  <Paragraphs>169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zhoujy</dc:creator>
  <cp:lastModifiedBy>吴元</cp:lastModifiedBy>
  <cp:revision>3</cp:revision>
  <dcterms:created xsi:type="dcterms:W3CDTF">2023-09-21T08:04:00Z</dcterms:created>
  <dcterms:modified xsi:type="dcterms:W3CDTF">2025-05-16T08:40:00Z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195F7E2973FC4C798E398449E02F4798</vt:lpwstr>
  </property>
</Properties>
</file>