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34A4C500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91447">
        <w:rPr>
          <w:rFonts w:ascii="宋体" w:hAnsi="宋体"/>
          <w:b/>
          <w:bCs/>
          <w:iCs/>
          <w:sz w:val="32"/>
          <w:szCs w:val="32"/>
        </w:rPr>
        <w:t>5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4F07D0">
        <w:rPr>
          <w:rFonts w:ascii="宋体" w:hAnsi="宋体"/>
          <w:b/>
          <w:bCs/>
          <w:iCs/>
          <w:sz w:val="32"/>
          <w:szCs w:val="32"/>
        </w:rPr>
        <w:t>15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355707">
        <w:rPr>
          <w:rFonts w:ascii="宋体" w:hAnsi="宋体"/>
          <w:b/>
          <w:bCs/>
          <w:iCs/>
          <w:sz w:val="32"/>
          <w:szCs w:val="32"/>
        </w:rPr>
        <w:t>16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投资者交流会纪要</w:t>
      </w:r>
    </w:p>
    <w:p w14:paraId="7FC29C83" w14:textId="64C41800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024</w:t>
      </w:r>
      <w:r>
        <w:rPr>
          <w:rFonts w:ascii="宋体" w:hAnsi="宋体" w:hint="eastAsia"/>
          <w:sz w:val="24"/>
        </w:rPr>
        <w:t>年</w:t>
      </w:r>
      <w:r w:rsidR="0009144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4F07D0">
        <w:rPr>
          <w:rFonts w:ascii="宋体" w:hAnsi="宋体"/>
          <w:sz w:val="24"/>
        </w:rPr>
        <w:t>15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355707">
        <w:rPr>
          <w:rFonts w:ascii="宋体" w:hAnsi="宋体"/>
          <w:sz w:val="24"/>
        </w:rPr>
        <w:t>16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4B75CB26" w14:textId="2DAAD302" w:rsidR="00592D9A" w:rsidRDefault="00592D9A" w:rsidP="00F0216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17CF5348" w14:textId="00FF506B" w:rsidR="00F0216A" w:rsidRDefault="00F0216A" w:rsidP="00F0216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308FD055" w14:textId="2D95F26D" w:rsidR="00355707" w:rsidRDefault="00091447" w:rsidP="00355707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bookmarkStart w:id="0" w:name="OLE_LINK11"/>
      <w:bookmarkStart w:id="1" w:name="OLE_LINK12"/>
      <w:bookmarkStart w:id="2" w:name="OLE_LINK1"/>
      <w:bookmarkStart w:id="3" w:name="OLE_LINK2"/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</w:t>
      </w:r>
      <w:r>
        <w:rPr>
          <w:rFonts w:hAnsi="宋体" w:hint="eastAsia"/>
          <w:sz w:val="24"/>
        </w:rPr>
        <w:t>5月</w:t>
      </w:r>
      <w:r w:rsidR="00355707">
        <w:rPr>
          <w:rFonts w:hAnsi="宋体"/>
          <w:sz w:val="24"/>
        </w:rPr>
        <w:t>15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bookmarkStart w:id="4" w:name="OLE_LINK3"/>
      <w:bookmarkEnd w:id="0"/>
      <w:bookmarkEnd w:id="1"/>
      <w:r w:rsidR="00355707" w:rsidRPr="00946087">
        <w:rPr>
          <w:rFonts w:hAnsi="宋体"/>
          <w:sz w:val="24"/>
        </w:rPr>
        <w:t>ARIOSE CAPITAL, HK</w:t>
      </w:r>
      <w:r w:rsidR="00355707">
        <w:rPr>
          <w:rFonts w:hAnsi="宋体" w:hint="eastAsia"/>
          <w:sz w:val="24"/>
        </w:rPr>
        <w:t>、</w:t>
      </w:r>
      <w:r w:rsidR="00355707" w:rsidRPr="00946087">
        <w:rPr>
          <w:rFonts w:hAnsi="宋体"/>
          <w:sz w:val="24"/>
        </w:rPr>
        <w:t>POLUNIN CAPITAL PARTNERS</w:t>
      </w:r>
      <w:bookmarkEnd w:id="4"/>
      <w:r w:rsidR="00355707">
        <w:rPr>
          <w:rFonts w:hAnsi="宋体" w:hint="eastAsia"/>
          <w:sz w:val="24"/>
        </w:rPr>
        <w:t>、</w:t>
      </w:r>
      <w:r w:rsidR="00355707">
        <w:rPr>
          <w:rFonts w:hAnsi="宋体"/>
          <w:sz w:val="24"/>
        </w:rPr>
        <w:t>麦格里证券</w:t>
      </w:r>
    </w:p>
    <w:p w14:paraId="21F486AA" w14:textId="7B941250" w:rsidR="00091447" w:rsidRDefault="00091447" w:rsidP="00091447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</w:t>
      </w:r>
      <w:r>
        <w:rPr>
          <w:rFonts w:hAnsi="宋体" w:hint="eastAsia"/>
          <w:sz w:val="24"/>
        </w:rPr>
        <w:t>5月</w:t>
      </w:r>
      <w:r w:rsidR="00355707">
        <w:rPr>
          <w:rFonts w:hAnsi="宋体"/>
          <w:sz w:val="24"/>
        </w:rPr>
        <w:t>16</w:t>
      </w:r>
      <w:r>
        <w:rPr>
          <w:rFonts w:hAnsi="宋体"/>
          <w:sz w:val="24"/>
        </w:rPr>
        <w:t>日</w:t>
      </w:r>
      <w:r w:rsidR="004F07D0">
        <w:rPr>
          <w:rFonts w:hAnsi="宋体" w:hint="eastAsia"/>
          <w:sz w:val="24"/>
        </w:rPr>
        <w:t xml:space="preserve"> 华夏基金、建信理财、</w:t>
      </w:r>
      <w:bookmarkStart w:id="5" w:name="OLE_LINK4"/>
      <w:bookmarkStart w:id="6" w:name="OLE_LINK5"/>
      <w:r w:rsidR="004F07D0">
        <w:rPr>
          <w:rFonts w:hAnsi="宋体" w:hint="eastAsia"/>
          <w:sz w:val="24"/>
        </w:rPr>
        <w:t>前海开源</w:t>
      </w:r>
      <w:bookmarkEnd w:id="5"/>
      <w:bookmarkEnd w:id="6"/>
      <w:r w:rsidR="004F07D0">
        <w:rPr>
          <w:rFonts w:hAnsi="宋体" w:hint="eastAsia"/>
          <w:sz w:val="24"/>
        </w:rPr>
        <w:t>、</w:t>
      </w:r>
      <w:r w:rsidR="004F07D0" w:rsidRPr="00372455">
        <w:rPr>
          <w:rFonts w:hAnsi="宋体" w:hint="eastAsia"/>
          <w:sz w:val="24"/>
        </w:rPr>
        <w:t>合丰资本</w:t>
      </w:r>
      <w:r w:rsidR="004F07D0">
        <w:rPr>
          <w:rFonts w:hAnsi="宋体" w:hint="eastAsia"/>
          <w:sz w:val="24"/>
        </w:rPr>
        <w:t>、</w:t>
      </w:r>
      <w:r w:rsidR="004F07D0" w:rsidRPr="00372455">
        <w:rPr>
          <w:rFonts w:hAnsi="宋体" w:hint="eastAsia"/>
          <w:sz w:val="24"/>
        </w:rPr>
        <w:t>宝弘资产</w:t>
      </w:r>
      <w:r w:rsidR="004F07D0">
        <w:rPr>
          <w:rFonts w:hAnsi="宋体" w:hint="eastAsia"/>
          <w:sz w:val="24"/>
        </w:rPr>
        <w:t>、</w:t>
      </w:r>
      <w:r w:rsidR="004F07D0" w:rsidRPr="00372455">
        <w:rPr>
          <w:rFonts w:hAnsi="宋体" w:hint="eastAsia"/>
          <w:sz w:val="24"/>
        </w:rPr>
        <w:t>融</w:t>
      </w:r>
      <w:proofErr w:type="gramStart"/>
      <w:r w:rsidR="004F07D0" w:rsidRPr="00372455">
        <w:rPr>
          <w:rFonts w:hAnsi="宋体" w:hint="eastAsia"/>
          <w:sz w:val="24"/>
        </w:rPr>
        <w:t>煜</w:t>
      </w:r>
      <w:proofErr w:type="gramEnd"/>
      <w:r w:rsidR="004F07D0" w:rsidRPr="00372455">
        <w:rPr>
          <w:rFonts w:hAnsi="宋体" w:hint="eastAsia"/>
          <w:sz w:val="24"/>
        </w:rPr>
        <w:t>创投</w:t>
      </w:r>
      <w:r w:rsidR="004F07D0">
        <w:rPr>
          <w:rFonts w:hAnsi="宋体" w:hint="eastAsia"/>
          <w:sz w:val="24"/>
        </w:rPr>
        <w:t>投资、</w:t>
      </w:r>
      <w:r w:rsidR="004F07D0" w:rsidRPr="00372455">
        <w:rPr>
          <w:rFonts w:hAnsi="宋体" w:hint="eastAsia"/>
          <w:sz w:val="24"/>
        </w:rPr>
        <w:t>诚朴资产</w:t>
      </w:r>
      <w:r w:rsidR="004F07D0">
        <w:rPr>
          <w:rFonts w:hAnsi="宋体" w:hint="eastAsia"/>
          <w:sz w:val="24"/>
        </w:rPr>
        <w:t>、华熙投资、国金证券、中信建投、</w:t>
      </w:r>
      <w:r w:rsidR="00355707">
        <w:rPr>
          <w:rFonts w:hAnsi="宋体" w:hint="eastAsia"/>
          <w:sz w:val="24"/>
        </w:rPr>
        <w:t>兴银基金、国泰海通</w:t>
      </w:r>
      <w:r w:rsidR="00191D34">
        <w:rPr>
          <w:rFonts w:hAnsi="宋体" w:hint="eastAsia"/>
          <w:sz w:val="24"/>
        </w:rPr>
        <w:t>证券</w:t>
      </w:r>
    </w:p>
    <w:bookmarkEnd w:id="2"/>
    <w:bookmarkEnd w:id="3"/>
    <w:p w14:paraId="2EF3A47C" w14:textId="77777777" w:rsidR="004E4F03" w:rsidRPr="00091447" w:rsidRDefault="004E4F03" w:rsidP="00683B52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6C0B40FD" w14:textId="026A4438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>
        <w:rPr>
          <w:rFonts w:hAnsi="宋体"/>
          <w:b/>
          <w:bCs/>
          <w:sz w:val="24"/>
        </w:rPr>
        <w:t>年一季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2D2DFA9B" w14:textId="1E0F2E24" w:rsidR="00091447" w:rsidRDefault="00091447" w:rsidP="00FA08E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营业收入达 5.55 亿元，同比增长 24%；净利润 1.39 亿元，同比增长 25%，延续上市以来定期报告收入和净利润双增长态势。一季度经营现金净流入 7986 万元，同比增长 38%</w:t>
      </w:r>
      <w:r w:rsidR="00FA08E3">
        <w:rPr>
          <w:rFonts w:ascii="宋体" w:hAnsi="宋体"/>
          <w:bCs/>
          <w:sz w:val="24"/>
        </w:rPr>
        <w:t>，</w:t>
      </w:r>
      <w:bookmarkStart w:id="7" w:name="_GoBack"/>
      <w:bookmarkEnd w:id="7"/>
      <w:r>
        <w:rPr>
          <w:rFonts w:ascii="宋体" w:hAnsi="宋体"/>
          <w:bCs/>
          <w:sz w:val="24"/>
        </w:rPr>
        <w:t>新签合同 7.77 亿元，同比增长 30%；季末在手订单结余 41 亿元，为后续业绩提升奠定基础。</w:t>
      </w:r>
    </w:p>
    <w:p w14:paraId="57F3DAE8" w14:textId="08EA6E4A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国内市场营收 4.55 亿元，同比增长 22.6%；海外市场营收 9692 万元，同比增长 31%。海外市场聚焦 “一带一路” 沿线，已设立超十家境外子公司和销售代表处，4 月 10 日印尼首家境外工厂投产，具备全工序先进制造能力，沙特工厂也在有序推进。</w:t>
      </w:r>
    </w:p>
    <w:p w14:paraId="4A6F9968" w14:textId="2495C9CD" w:rsidR="00091447" w:rsidRP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已完成 2024 年度分红派息，每 10 股派发现金红利 0.52 元，上市至今累计派发现金红利 9.58 亿元，回购注销股份约 2 亿元，两者累计达 11.6 亿元，远超募集资金 6.1 亿元。2025 年 1 </w:t>
      </w:r>
      <w:proofErr w:type="gramStart"/>
      <w:r>
        <w:rPr>
          <w:rFonts w:ascii="宋体" w:hAnsi="宋体"/>
          <w:bCs/>
          <w:sz w:val="24"/>
        </w:rPr>
        <w:t>月推出</w:t>
      </w:r>
      <w:proofErr w:type="gramEnd"/>
      <w:r>
        <w:rPr>
          <w:rFonts w:ascii="宋体" w:hAnsi="宋体"/>
          <w:bCs/>
          <w:sz w:val="24"/>
        </w:rPr>
        <w:t>第二次回购计划，一季度末已回购 214.65 万股，金额 7880 万元，上市以来累计回购 1446 万股，金额 3.8 亿元。公司还承诺未来五年保持 40% 基准现金分红派息率。</w:t>
      </w:r>
    </w:p>
    <w:p w14:paraId="51B3FB82" w14:textId="4123A828" w:rsidR="00641C8C" w:rsidRPr="00091447" w:rsidRDefault="006A22C2" w:rsidP="00091447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投资者问答</w:t>
      </w:r>
    </w:p>
    <w:p w14:paraId="52410EDF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:</w:t>
      </w:r>
      <w:r>
        <w:rPr>
          <w:rFonts w:ascii="宋体" w:hAnsi="宋体" w:hint="eastAsia"/>
          <w:b/>
          <w:bCs/>
          <w:sz w:val="24"/>
        </w:rPr>
        <w:t>公司目前已有哪些A</w:t>
      </w:r>
      <w:r>
        <w:rPr>
          <w:rFonts w:ascii="宋体" w:hAnsi="宋体"/>
          <w:b/>
          <w:bCs/>
          <w:sz w:val="24"/>
        </w:rPr>
        <w:t>I</w:t>
      </w:r>
      <w:r>
        <w:rPr>
          <w:rFonts w:ascii="宋体" w:hAnsi="宋体" w:hint="eastAsia"/>
          <w:b/>
          <w:bCs/>
          <w:sz w:val="24"/>
        </w:rPr>
        <w:t>的应用技术和业务场景？</w:t>
      </w:r>
    </w:p>
    <w:p w14:paraId="24E46A37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:威</w:t>
      </w:r>
      <w:proofErr w:type="gramStart"/>
      <w:r>
        <w:rPr>
          <w:rFonts w:ascii="宋体" w:hAnsi="宋体"/>
          <w:bCs/>
          <w:sz w:val="24"/>
        </w:rPr>
        <w:t>胜信息</w:t>
      </w:r>
      <w:proofErr w:type="gramEnd"/>
      <w:r>
        <w:rPr>
          <w:rFonts w:ascii="宋体" w:hAnsi="宋体"/>
          <w:bCs/>
          <w:sz w:val="24"/>
        </w:rPr>
        <w:t>在人工智能领域积极布局，已取得诸多成果，在应用技术与业务场景方面亮点突出，商业化应用前景也十分广阔。</w:t>
      </w:r>
    </w:p>
    <w:p w14:paraId="69CB745A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（1）</w:t>
      </w:r>
      <w:r>
        <w:rPr>
          <w:rFonts w:ascii="宋体" w:hAnsi="宋体"/>
          <w:bCs/>
          <w:sz w:val="24"/>
        </w:rPr>
        <w:t>自有人工智能应用技术</w:t>
      </w:r>
    </w:p>
    <w:p w14:paraId="3D3B9FA0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智能算法与模型：公司深入研究负荷预测、光伏发电功率预测技术，通过对海量历史数据和实时数据的分析，运用机器学习、深度学习等算法构建精准预测模型。这些模型能够为电网调度提供准确的数据支持，帮助合理安排发电计划，提升电网运行效率，减少能源浪费 。例如，在分布式光</w:t>
      </w:r>
      <w:proofErr w:type="gramStart"/>
      <w:r>
        <w:rPr>
          <w:rFonts w:ascii="宋体" w:hAnsi="宋体"/>
          <w:bCs/>
          <w:sz w:val="24"/>
        </w:rPr>
        <w:t>伏项目</w:t>
      </w:r>
      <w:proofErr w:type="gramEnd"/>
      <w:r>
        <w:rPr>
          <w:rFonts w:ascii="宋体" w:hAnsi="宋体"/>
          <w:bCs/>
          <w:sz w:val="24"/>
        </w:rPr>
        <w:t>中，利用该技术提前预测光伏发电量，使电网提前做好接纳和调配准备。</w:t>
      </w:r>
    </w:p>
    <w:p w14:paraId="33678B6D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视觉图像处理技术：基于计算机视觉技术，公司实现对环境和设备状态的智能监测。在电网设施运维场景中，通过摄像头采集图像，运用图像识别、目标检测等技术，实时监控电网设施的运行状态，及时发现设备故障、异常行为等情况，如识别电力设备的过热、破损、放电等问题，实现设备的及时维护，提升电网运行的安全性 。</w:t>
      </w:r>
    </w:p>
    <w:p w14:paraId="265CA752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人工智能和大数据的台区拓扑识别技术：研究利用人工智能和大数据分析技术，对台区拓扑结构进行精准识别，提升台区精细化管理水平。通过分析台区内电力设备之间的连接关系、用电数据等信息，准确掌握台区内电力传输路径和设备运行情况，优化电网运行效率，为电力故障排查和电力资源分配提供有力支持。</w:t>
      </w:r>
    </w:p>
    <w:p w14:paraId="4B8BBCA5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有源配电网接地故障智能识别和保护技术：针对有源配电网的特点，研发出接地故障智能识别和保护技术。当配电网发生接地故障时，能够快速准确地识别故障位置和类型，并及时采取保护措施，如切断故障线路，保障电力系统安全运行，减少因故障导致的停电时间和范围 。</w:t>
      </w:r>
    </w:p>
    <w:p w14:paraId="4AD0E733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（2）</w:t>
      </w:r>
      <w:r>
        <w:rPr>
          <w:rFonts w:ascii="宋体" w:hAnsi="宋体"/>
          <w:bCs/>
          <w:sz w:val="24"/>
        </w:rPr>
        <w:t>业务场景</w:t>
      </w:r>
    </w:p>
    <w:p w14:paraId="4B426086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新型电力系统建设：在新型电力系统中，从发电、输电、变电、配电到用电各个环节均有 AI 技术的应用。在发电侧，通过对新能源发电设备的运行数据进行分析，运用 AI 技术实现设备的智能运维和发电效率优化；在输电环节，利用 AI 技术对输电线路进行智能巡检，及时发现线路故障和安全隐患；在配电侧，通过智能拓扑识别和接地故障保护等 AI 技术，提升配电网的运行效率与可靠性；在用电侧，运用负荷预测技术，实现对用户用电需求的精准预测，帮助电网企业合理安排电力供应 。</w:t>
      </w:r>
    </w:p>
    <w:p w14:paraId="1ADEF7B2" w14:textId="77777777" w:rsidR="003F77DF" w:rsidRDefault="00091447" w:rsidP="003F77D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proofErr w:type="gramStart"/>
      <w:r>
        <w:rPr>
          <w:rFonts w:ascii="宋体" w:hAnsi="宋体"/>
          <w:bCs/>
          <w:sz w:val="24"/>
        </w:rPr>
        <w:lastRenderedPageBreak/>
        <w:t>数智城市</w:t>
      </w:r>
      <w:proofErr w:type="gramEnd"/>
      <w:r>
        <w:rPr>
          <w:rFonts w:ascii="宋体" w:hAnsi="宋体"/>
          <w:bCs/>
          <w:sz w:val="24"/>
        </w:rPr>
        <w:t xml:space="preserve">领域：研发了 AI 边缘计算网关和智慧安防管理平台。AI 边缘计算网关能够在靠近数据源的边缘侧进行数据处理和分析，减少数据传输量和延迟，提高数据处理效率，为城市中的各类智能设备提供高效的数据处理支持；智慧安防管理平台利用 </w:t>
      </w:r>
      <w:proofErr w:type="spellStart"/>
      <w:r>
        <w:rPr>
          <w:rFonts w:ascii="宋体" w:hAnsi="宋体"/>
          <w:bCs/>
          <w:sz w:val="24"/>
        </w:rPr>
        <w:t>AI</w:t>
      </w:r>
      <w:proofErr w:type="spellEnd"/>
      <w:r>
        <w:rPr>
          <w:rFonts w:ascii="宋体" w:hAnsi="宋体"/>
          <w:bCs/>
          <w:sz w:val="24"/>
        </w:rPr>
        <w:t xml:space="preserve"> 技术对城市中的安防数据进行分析，实现对城市安全风险的实时监测和预警，如人员入侵检测、火灾预警等，显著提升城市安全管理能力 。</w:t>
      </w:r>
    </w:p>
    <w:p w14:paraId="56F62ED8" w14:textId="76D131D7" w:rsidR="00091447" w:rsidRDefault="00091447" w:rsidP="003F77DF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ab/>
      </w:r>
    </w:p>
    <w:p w14:paraId="3D6FF893" w14:textId="77777777" w:rsidR="00091447" w:rsidRDefault="00091447" w:rsidP="00091447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：海外业务在外部环境不确定的情况下如何展望，公司</w:t>
      </w:r>
      <w:r>
        <w:rPr>
          <w:rFonts w:ascii="宋体" w:hAnsi="宋体" w:hint="eastAsia"/>
          <w:b/>
          <w:bCs/>
          <w:sz w:val="24"/>
        </w:rPr>
        <w:t>在海外布局考虑？</w:t>
      </w:r>
    </w:p>
    <w:p w14:paraId="0B9FECA8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A：海外业务可持续发展是公司坚定的战略方向。海外市场公司重点布局东盟十国、中东海湾六国和非洲政治稳定经济活跃的新兴市场国家。受全球能源短缺和制造业重构的影响，这些新兴国家在</w:t>
      </w:r>
      <w:proofErr w:type="gramStart"/>
      <w:r>
        <w:rPr>
          <w:rFonts w:ascii="宋体" w:hAnsi="宋体"/>
          <w:bCs/>
          <w:sz w:val="24"/>
        </w:rPr>
        <w:t>能源电水气</w:t>
      </w:r>
      <w:proofErr w:type="gramEnd"/>
      <w:r>
        <w:rPr>
          <w:rFonts w:ascii="宋体" w:hAnsi="宋体"/>
          <w:bCs/>
          <w:sz w:val="24"/>
        </w:rPr>
        <w:t>基础设施的数字化和智能化是趋势和刚需，对此，公司有丰富而成熟的解决方案，技术路线和产品成熟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。</w:t>
      </w:r>
    </w:p>
    <w:p w14:paraId="1146A6ED" w14:textId="77777777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1686C2D5" w14:textId="2EC07386" w:rsidR="00FE69A1" w:rsidRPr="00FE69A1" w:rsidRDefault="00FE69A1" w:rsidP="00FE69A1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bookmarkStart w:id="8" w:name="OLE_LINK10"/>
      <w:bookmarkStart w:id="9" w:name="OLE_LINK13"/>
      <w:r w:rsidRPr="005071C2">
        <w:rPr>
          <w:rFonts w:ascii="宋体" w:hAnsi="宋体" w:hint="eastAsia"/>
          <w:b/>
          <w:bCs/>
          <w:sz w:val="24"/>
        </w:rPr>
        <w:t>Q</w:t>
      </w:r>
      <w:r w:rsidRPr="005071C2">
        <w:rPr>
          <w:rFonts w:ascii="宋体" w:hAnsi="宋体"/>
          <w:b/>
          <w:bCs/>
          <w:sz w:val="24"/>
        </w:rPr>
        <w:t>：</w:t>
      </w:r>
      <w:r w:rsidR="001904BB" w:rsidRPr="005071C2">
        <w:rPr>
          <w:rFonts w:ascii="宋体" w:hAnsi="宋体" w:hint="eastAsia"/>
          <w:b/>
          <w:bCs/>
          <w:sz w:val="24"/>
        </w:rPr>
        <w:t>公司</w:t>
      </w:r>
      <w:r w:rsidR="001904BB" w:rsidRPr="005071C2">
        <w:rPr>
          <w:rFonts w:ascii="宋体" w:hAnsi="宋体"/>
          <w:b/>
          <w:bCs/>
          <w:sz w:val="24"/>
        </w:rPr>
        <w:t>近期</w:t>
      </w:r>
      <w:r w:rsidR="001904BB" w:rsidRPr="005071C2">
        <w:rPr>
          <w:rFonts w:ascii="宋体" w:hAnsi="宋体" w:hint="eastAsia"/>
          <w:b/>
          <w:bCs/>
          <w:sz w:val="24"/>
        </w:rPr>
        <w:t>（4-</w:t>
      </w:r>
      <w:r w:rsidR="001904BB" w:rsidRPr="005071C2">
        <w:rPr>
          <w:rFonts w:ascii="宋体" w:hAnsi="宋体"/>
          <w:b/>
          <w:bCs/>
          <w:sz w:val="24"/>
        </w:rPr>
        <w:t>6月</w:t>
      </w:r>
      <w:r w:rsidR="001904BB" w:rsidRPr="005071C2">
        <w:rPr>
          <w:rFonts w:ascii="宋体" w:hAnsi="宋体" w:hint="eastAsia"/>
          <w:b/>
          <w:bCs/>
          <w:sz w:val="24"/>
        </w:rPr>
        <w:t>）</w:t>
      </w:r>
      <w:r w:rsidR="001904BB" w:rsidRPr="005071C2">
        <w:rPr>
          <w:rFonts w:ascii="宋体" w:hAnsi="宋体"/>
          <w:b/>
          <w:bCs/>
          <w:sz w:val="24"/>
        </w:rPr>
        <w:t>参加中东能源展</w:t>
      </w:r>
      <w:r w:rsidR="001904BB" w:rsidRPr="005071C2">
        <w:rPr>
          <w:rFonts w:ascii="宋体" w:hAnsi="宋体" w:hint="eastAsia"/>
          <w:b/>
          <w:bCs/>
          <w:sz w:val="24"/>
        </w:rPr>
        <w:t>、</w:t>
      </w:r>
      <w:r w:rsidR="001904BB" w:rsidRPr="005071C2">
        <w:rPr>
          <w:rFonts w:ascii="宋体" w:hAnsi="宋体"/>
          <w:b/>
          <w:bCs/>
          <w:sz w:val="24"/>
        </w:rPr>
        <w:t>东盟电力论坛</w:t>
      </w:r>
      <w:r w:rsidR="001904BB" w:rsidRPr="005071C2">
        <w:rPr>
          <w:rFonts w:ascii="宋体" w:hAnsi="宋体" w:hint="eastAsia"/>
          <w:b/>
          <w:bCs/>
          <w:sz w:val="24"/>
        </w:rPr>
        <w:t>以及</w:t>
      </w:r>
      <w:bookmarkStart w:id="10" w:name="OLE_LINK16"/>
      <w:bookmarkStart w:id="11" w:name="OLE_LINK17"/>
      <w:r w:rsidR="001904BB" w:rsidRPr="005071C2">
        <w:rPr>
          <w:rFonts w:ascii="宋体" w:hAnsi="宋体" w:hint="eastAsia"/>
          <w:b/>
          <w:bCs/>
          <w:sz w:val="24"/>
        </w:rPr>
        <w:t>中拉能源投资论坛</w:t>
      </w:r>
      <w:bookmarkEnd w:id="10"/>
      <w:bookmarkEnd w:id="11"/>
      <w:r w:rsidR="001904BB" w:rsidRPr="005071C2">
        <w:rPr>
          <w:rFonts w:ascii="宋体" w:hAnsi="宋体" w:hint="eastAsia"/>
          <w:b/>
          <w:bCs/>
          <w:sz w:val="24"/>
        </w:rPr>
        <w:t>等活动，</w:t>
      </w:r>
      <w:r w:rsidRPr="00FE69A1">
        <w:rPr>
          <w:rFonts w:ascii="MS Gothic" w:eastAsia="MS Gothic" w:hAnsi="MS Gothic" w:cs="MS Gothic" w:hint="eastAsia"/>
          <w:b/>
          <w:bCs/>
          <w:sz w:val="24"/>
        </w:rPr>
        <w:t>​</w:t>
      </w:r>
      <w:r w:rsidR="001904BB" w:rsidRPr="005071C2">
        <w:rPr>
          <w:rFonts w:ascii="宋体" w:hAnsi="宋体" w:hint="eastAsia"/>
          <w:b/>
          <w:bCs/>
          <w:sz w:val="24"/>
        </w:rPr>
        <w:t>对</w:t>
      </w:r>
      <w:r w:rsidR="005900D8" w:rsidRPr="005071C2">
        <w:rPr>
          <w:rFonts w:ascii="宋体" w:hAnsi="宋体" w:hint="eastAsia"/>
          <w:b/>
          <w:bCs/>
          <w:sz w:val="24"/>
        </w:rPr>
        <w:t>公司</w:t>
      </w:r>
      <w:r w:rsidR="001904BB" w:rsidRPr="005071C2">
        <w:rPr>
          <w:rFonts w:ascii="宋体" w:hAnsi="宋体" w:hint="eastAsia"/>
          <w:b/>
          <w:bCs/>
          <w:sz w:val="24"/>
        </w:rPr>
        <w:t>未来的海外布局和海外发展</w:t>
      </w:r>
      <w:r w:rsidR="005900D8" w:rsidRPr="005071C2">
        <w:rPr>
          <w:rFonts w:ascii="宋体" w:hAnsi="宋体" w:hint="eastAsia"/>
          <w:b/>
          <w:bCs/>
          <w:sz w:val="24"/>
        </w:rPr>
        <w:t>有哪些</w:t>
      </w:r>
      <w:r w:rsidR="005071C2" w:rsidRPr="005071C2">
        <w:rPr>
          <w:rFonts w:ascii="宋体" w:hAnsi="宋体" w:hint="eastAsia"/>
          <w:b/>
          <w:bCs/>
          <w:sz w:val="24"/>
        </w:rPr>
        <w:t>战略</w:t>
      </w:r>
      <w:r w:rsidR="001904BB" w:rsidRPr="005071C2">
        <w:rPr>
          <w:rFonts w:ascii="宋体" w:hAnsi="宋体" w:hint="eastAsia"/>
          <w:b/>
          <w:bCs/>
          <w:sz w:val="24"/>
        </w:rPr>
        <w:t>助力</w:t>
      </w:r>
      <w:r w:rsidR="005900D8" w:rsidRPr="005071C2">
        <w:rPr>
          <w:rFonts w:ascii="宋体" w:hAnsi="宋体" w:hint="eastAsia"/>
          <w:b/>
          <w:bCs/>
          <w:sz w:val="24"/>
        </w:rPr>
        <w:t>？</w:t>
      </w:r>
    </w:p>
    <w:p w14:paraId="4AED2165" w14:textId="7F03C9B7" w:rsidR="00FE69A1" w:rsidRPr="00FE69A1" w:rsidRDefault="00FE69A1" w:rsidP="00053E85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 w:rsidR="00053E85">
        <w:rPr>
          <w:rFonts w:ascii="宋体" w:hAnsi="宋体"/>
          <w:bCs/>
          <w:sz w:val="24"/>
        </w:rPr>
        <w:t>：在中东地区，公司持续</w:t>
      </w:r>
      <w:r w:rsidR="00053E85" w:rsidRPr="00053E85">
        <w:rPr>
          <w:rFonts w:ascii="宋体" w:hAnsi="宋体"/>
          <w:bCs/>
          <w:sz w:val="24"/>
        </w:rPr>
        <w:t>深化合作，加速本地化产能落地</w:t>
      </w:r>
      <w:r w:rsidR="00053E85">
        <w:rPr>
          <w:rFonts w:ascii="宋体" w:hAnsi="宋体" w:hint="eastAsia"/>
          <w:bCs/>
          <w:sz w:val="24"/>
        </w:rPr>
        <w:t>。</w:t>
      </w:r>
      <w:r w:rsidR="001904BB">
        <w:rPr>
          <w:rFonts w:ascii="宋体" w:hAnsi="宋体" w:hint="eastAsia"/>
          <w:bCs/>
          <w:sz w:val="24"/>
        </w:rPr>
        <w:t>4月</w:t>
      </w:r>
      <w:r w:rsidRPr="00FE69A1">
        <w:rPr>
          <w:rFonts w:ascii="宋体" w:hAnsi="宋体"/>
          <w:bCs/>
          <w:sz w:val="24"/>
        </w:rPr>
        <w:t xml:space="preserve">参加中东能源展，期间与来自阿联酋、沙特、卡塔尔、阿曼、科威特等国家的能源部门代表、公用事业公司及国际投资者展开密集交流，并与沙特 ACWA Power、阿联酋 DEWA </w:t>
      </w:r>
      <w:r w:rsidR="001904BB">
        <w:rPr>
          <w:rFonts w:ascii="宋体" w:hAnsi="宋体"/>
          <w:bCs/>
          <w:sz w:val="24"/>
        </w:rPr>
        <w:t>等龙头企业探讨项目合作机会。之前已</w:t>
      </w:r>
      <w:r w:rsidRPr="00FE69A1">
        <w:rPr>
          <w:rFonts w:ascii="宋体" w:hAnsi="宋体"/>
          <w:bCs/>
          <w:sz w:val="24"/>
        </w:rPr>
        <w:t>与阿联酋能源部签署合作备忘录，将在智慧建筑、配电网、智能水电管理领域开展深度合作，进一步拓展绿色能源和智能水电管理市场。</w:t>
      </w:r>
      <w:r w:rsidRPr="00FE69A1">
        <w:rPr>
          <w:rFonts w:ascii="MS Gothic" w:eastAsia="MS Gothic" w:hAnsi="MS Gothic" w:cs="MS Gothic" w:hint="eastAsia"/>
          <w:bCs/>
          <w:sz w:val="24"/>
        </w:rPr>
        <w:t>​</w:t>
      </w:r>
      <w:r w:rsidR="001904BB" w:rsidRPr="001904BB">
        <w:rPr>
          <w:rFonts w:ascii="宋体" w:hAnsi="宋体" w:hint="eastAsia"/>
          <w:bCs/>
          <w:sz w:val="24"/>
        </w:rPr>
        <w:t>公司沙特工厂也在建设当中</w:t>
      </w:r>
      <w:r w:rsidR="005900D8">
        <w:rPr>
          <w:rFonts w:ascii="宋体" w:hAnsi="宋体" w:hint="eastAsia"/>
          <w:bCs/>
          <w:sz w:val="24"/>
        </w:rPr>
        <w:t>，</w:t>
      </w:r>
      <w:r w:rsidR="005900D8" w:rsidRPr="005900D8">
        <w:rPr>
          <w:rFonts w:ascii="宋体" w:hAnsi="宋体"/>
          <w:bCs/>
          <w:sz w:val="24"/>
        </w:rPr>
        <w:t>未来将聚焦本地化生产与服务，辐射海湾六国及周边市场</w:t>
      </w:r>
      <w:r w:rsidR="005900D8">
        <w:rPr>
          <w:rFonts w:ascii="宋体" w:hAnsi="宋体" w:hint="eastAsia"/>
          <w:bCs/>
          <w:sz w:val="24"/>
        </w:rPr>
        <w:t>。</w:t>
      </w:r>
    </w:p>
    <w:p w14:paraId="06270C7E" w14:textId="29BE08D5" w:rsidR="00FE69A1" w:rsidRPr="00FE69A1" w:rsidRDefault="00053E85" w:rsidP="00053E85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在东南亚，</w:t>
      </w:r>
      <w:r w:rsidRPr="00053E85">
        <w:rPr>
          <w:rFonts w:ascii="宋体" w:hAnsi="宋体"/>
          <w:bCs/>
          <w:sz w:val="24"/>
        </w:rPr>
        <w:t>产能落地与产业链协同并进</w:t>
      </w:r>
      <w:r w:rsidR="00FE69A1" w:rsidRPr="00FE69A1">
        <w:rPr>
          <w:rFonts w:ascii="宋体" w:hAnsi="宋体"/>
          <w:bCs/>
          <w:sz w:val="24"/>
        </w:rPr>
        <w:t xml:space="preserve">。4 月 10 </w:t>
      </w:r>
      <w:r w:rsidR="005900D8">
        <w:rPr>
          <w:rFonts w:ascii="宋体" w:hAnsi="宋体"/>
          <w:bCs/>
          <w:sz w:val="24"/>
        </w:rPr>
        <w:t>日，</w:t>
      </w:r>
      <w:r w:rsidR="00FE69A1" w:rsidRPr="00FE69A1">
        <w:rPr>
          <w:rFonts w:ascii="宋体" w:hAnsi="宋体"/>
          <w:bCs/>
          <w:sz w:val="24"/>
        </w:rPr>
        <w:t>印尼工厂正式开业，</w:t>
      </w:r>
      <w:r w:rsidR="005900D8">
        <w:rPr>
          <w:rFonts w:ascii="宋体" w:hAnsi="宋体" w:hint="eastAsia"/>
          <w:bCs/>
          <w:sz w:val="24"/>
        </w:rPr>
        <w:t>印尼工厂是技术出海和本地化运营两轮驱动的成果，聚焦数字电网和数字城市产品研发生产，根据当地需求定制化开发，输出解决方案带动产品销售，</w:t>
      </w:r>
      <w:r w:rsidR="005900D8">
        <w:rPr>
          <w:rFonts w:ascii="宋体" w:hAnsi="宋体" w:hint="eastAsia"/>
          <w:bCs/>
          <w:sz w:val="24"/>
        </w:rPr>
        <w:lastRenderedPageBreak/>
        <w:t>帮助当地产业链升级，辐射东南亚及全球市场。工厂具备全工序制造能力，电力 AMI 产品产能超 100 万台，智慧配电产品超十万台，通信模组上百万台。</w:t>
      </w:r>
      <w:r w:rsidR="005900D8">
        <w:rPr>
          <w:rFonts w:ascii="宋体" w:hAnsi="宋体"/>
          <w:bCs/>
          <w:sz w:val="24"/>
        </w:rPr>
        <w:t>公司</w:t>
      </w:r>
      <w:r w:rsidR="005900D8">
        <w:rPr>
          <w:rFonts w:ascii="宋体" w:hAnsi="宋体" w:hint="eastAsia"/>
          <w:bCs/>
          <w:sz w:val="24"/>
        </w:rPr>
        <w:t>4月底也参加了</w:t>
      </w:r>
      <w:r w:rsidR="005900D8" w:rsidRPr="005900D8">
        <w:rPr>
          <w:rFonts w:ascii="宋体" w:hAnsi="宋体"/>
          <w:bCs/>
          <w:sz w:val="24"/>
        </w:rPr>
        <w:t>2025中国-东盟电力合作与发展论坛</w:t>
      </w:r>
      <w:r w:rsidR="005900D8" w:rsidRPr="005900D8">
        <w:rPr>
          <w:rFonts w:ascii="宋体" w:hAnsi="宋体" w:hint="eastAsia"/>
          <w:bCs/>
          <w:sz w:val="24"/>
        </w:rPr>
        <w:t>，</w:t>
      </w:r>
      <w:r w:rsidR="005900D8" w:rsidRPr="005900D8">
        <w:rPr>
          <w:rFonts w:ascii="宋体" w:hAnsi="宋体"/>
          <w:bCs/>
          <w:sz w:val="24"/>
        </w:rPr>
        <w:t>分享威</w:t>
      </w:r>
      <w:proofErr w:type="gramStart"/>
      <w:r w:rsidR="005900D8" w:rsidRPr="005900D8">
        <w:rPr>
          <w:rFonts w:ascii="宋体" w:hAnsi="宋体"/>
          <w:bCs/>
          <w:sz w:val="24"/>
        </w:rPr>
        <w:t>胜信息</w:t>
      </w:r>
      <w:proofErr w:type="gramEnd"/>
      <w:r w:rsidR="005900D8" w:rsidRPr="005900D8">
        <w:rPr>
          <w:rFonts w:ascii="宋体" w:hAnsi="宋体"/>
          <w:bCs/>
          <w:sz w:val="24"/>
        </w:rPr>
        <w:t>在全球智能电网建设与能源数字化转型的成功经验。同时还与来自老挝、柬埔寨、泰国等东盟国家的新增潜在合作伙伴进行商务洽谈，共同探索区域电力市场机遇。</w:t>
      </w:r>
      <w:proofErr w:type="gramStart"/>
      <w:r w:rsidR="005900D8">
        <w:rPr>
          <w:rFonts w:ascii="宋体" w:hAnsi="宋体" w:hint="eastAsia"/>
          <w:bCs/>
          <w:sz w:val="24"/>
        </w:rPr>
        <w:t>之前</w:t>
      </w:r>
      <w:r w:rsidR="00FE69A1" w:rsidRPr="00FE69A1">
        <w:rPr>
          <w:rFonts w:ascii="宋体" w:hAnsi="宋体"/>
          <w:bCs/>
          <w:sz w:val="24"/>
        </w:rPr>
        <w:t>威胜信息</w:t>
      </w:r>
      <w:proofErr w:type="gramEnd"/>
      <w:r w:rsidR="005900D8">
        <w:rPr>
          <w:rFonts w:ascii="宋体" w:hAnsi="宋体"/>
          <w:bCs/>
          <w:sz w:val="24"/>
        </w:rPr>
        <w:t>已</w:t>
      </w:r>
      <w:r w:rsidR="00FE69A1" w:rsidRPr="00FE69A1">
        <w:rPr>
          <w:rFonts w:ascii="宋体" w:hAnsi="宋体"/>
          <w:bCs/>
          <w:sz w:val="24"/>
        </w:rPr>
        <w:t>与越南自动化协会、</w:t>
      </w:r>
      <w:bookmarkStart w:id="12" w:name="OLE_LINK6"/>
      <w:bookmarkStart w:id="13" w:name="OLE_LINK9"/>
      <w:r w:rsidR="00FE69A1" w:rsidRPr="00FE69A1">
        <w:rPr>
          <w:rFonts w:ascii="宋体" w:hAnsi="宋体"/>
          <w:bCs/>
          <w:sz w:val="24"/>
        </w:rPr>
        <w:t>越南河内自动化协会</w:t>
      </w:r>
      <w:bookmarkEnd w:id="12"/>
      <w:bookmarkEnd w:id="13"/>
      <w:r w:rsidR="00FE69A1" w:rsidRPr="00FE69A1">
        <w:rPr>
          <w:rFonts w:ascii="宋体" w:hAnsi="宋体"/>
          <w:bCs/>
          <w:sz w:val="24"/>
        </w:rPr>
        <w:t>、长江电力集团、乐清投资集团等 4 家企业在智能电网领域签署战略合作协议 。</w:t>
      </w:r>
      <w:r w:rsidR="00FE69A1" w:rsidRPr="00FE69A1">
        <w:rPr>
          <w:rFonts w:ascii="MS Gothic" w:eastAsia="MS Gothic" w:hAnsi="MS Gothic" w:cs="MS Gothic" w:hint="eastAsia"/>
          <w:bCs/>
          <w:sz w:val="24"/>
        </w:rPr>
        <w:t>​</w:t>
      </w:r>
    </w:p>
    <w:p w14:paraId="0FCE1BE5" w14:textId="53C90BE3" w:rsidR="005900D8" w:rsidRPr="00053E85" w:rsidRDefault="005900D8" w:rsidP="00053E85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在北美</w:t>
      </w:r>
      <w:r w:rsidR="00FE69A1" w:rsidRPr="00FE69A1">
        <w:rPr>
          <w:rFonts w:ascii="宋体" w:hAnsi="宋体"/>
          <w:bCs/>
          <w:sz w:val="24"/>
        </w:rPr>
        <w:t>地区，</w:t>
      </w:r>
      <w:r w:rsidR="00053E85" w:rsidRPr="00053E85">
        <w:rPr>
          <w:rFonts w:ascii="宋体" w:hAnsi="宋体"/>
          <w:bCs/>
          <w:sz w:val="24"/>
        </w:rPr>
        <w:t>把握能源转型机遇，切入新兴市场</w:t>
      </w:r>
      <w:r w:rsidR="00053E85" w:rsidRPr="00053E85">
        <w:rPr>
          <w:rFonts w:ascii="宋体" w:hAnsi="宋体" w:hint="eastAsia"/>
          <w:bCs/>
          <w:sz w:val="24"/>
        </w:rPr>
        <w:t>。</w:t>
      </w:r>
      <w:r w:rsidR="00053E85">
        <w:rPr>
          <w:rFonts w:ascii="宋体" w:hAnsi="宋体" w:hint="eastAsia"/>
          <w:bCs/>
          <w:sz w:val="24"/>
        </w:rPr>
        <w:t>公司5月</w:t>
      </w:r>
      <w:r w:rsidR="00FE69A1" w:rsidRPr="00FE69A1">
        <w:rPr>
          <w:rFonts w:ascii="宋体" w:hAnsi="宋体"/>
          <w:bCs/>
          <w:sz w:val="24"/>
        </w:rPr>
        <w:t>参加了</w:t>
      </w:r>
      <w:r w:rsidRPr="005900D8">
        <w:rPr>
          <w:rFonts w:ascii="宋体" w:hAnsi="宋体"/>
          <w:bCs/>
          <w:sz w:val="24"/>
        </w:rPr>
        <w:t>全球能源互联网发展合作组织（GEIDCO）与洪都拉斯能源部</w:t>
      </w:r>
      <w:r>
        <w:rPr>
          <w:rFonts w:ascii="宋体" w:hAnsi="宋体"/>
          <w:bCs/>
          <w:sz w:val="24"/>
        </w:rPr>
        <w:t>联合举办的</w:t>
      </w:r>
      <w:r w:rsidRPr="005900D8">
        <w:rPr>
          <w:rFonts w:ascii="宋体" w:hAnsi="宋体"/>
          <w:bCs/>
          <w:sz w:val="24"/>
        </w:rPr>
        <w:t>能源投资论坛</w:t>
      </w:r>
      <w:r>
        <w:rPr>
          <w:rFonts w:ascii="宋体" w:hAnsi="宋体" w:hint="eastAsia"/>
          <w:bCs/>
          <w:sz w:val="24"/>
        </w:rPr>
        <w:t>。</w:t>
      </w:r>
      <w:r w:rsidRPr="005900D8">
        <w:rPr>
          <w:rFonts w:ascii="宋体" w:hAnsi="宋体"/>
          <w:bCs/>
          <w:sz w:val="24"/>
        </w:rPr>
        <w:t>洪都拉斯能源转型需求与中国在新能源技术、智能电网等领域的优势高度契合。威</w:t>
      </w:r>
      <w:proofErr w:type="gramStart"/>
      <w:r w:rsidRPr="005900D8">
        <w:rPr>
          <w:rFonts w:ascii="宋体" w:hAnsi="宋体"/>
          <w:bCs/>
          <w:sz w:val="24"/>
        </w:rPr>
        <w:t>胜信息</w:t>
      </w:r>
      <w:proofErr w:type="gramEnd"/>
      <w:r w:rsidRPr="005900D8">
        <w:rPr>
          <w:rFonts w:ascii="宋体" w:hAnsi="宋体"/>
          <w:bCs/>
          <w:sz w:val="24"/>
        </w:rPr>
        <w:t>深耕能源数字化与物联网技术，将以智能化解决方案助力洪都拉斯构建安全、高效、绿色的能源体系</w:t>
      </w:r>
      <w:r>
        <w:rPr>
          <w:rFonts w:ascii="宋体" w:hAnsi="宋体" w:hint="eastAsia"/>
          <w:bCs/>
          <w:sz w:val="24"/>
        </w:rPr>
        <w:t>。</w:t>
      </w:r>
    </w:p>
    <w:p w14:paraId="78203108" w14:textId="5BF16963" w:rsidR="005900D8" w:rsidRPr="00FE69A1" w:rsidRDefault="005900D8" w:rsidP="005900D8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5900D8">
        <w:rPr>
          <w:rFonts w:ascii="宋体" w:hAnsi="宋体" w:hint="eastAsia"/>
          <w:bCs/>
          <w:sz w:val="24"/>
        </w:rPr>
        <w:t>公司</w:t>
      </w:r>
      <w:r>
        <w:rPr>
          <w:rFonts w:ascii="宋体" w:hAnsi="宋体" w:hint="eastAsia"/>
          <w:bCs/>
          <w:sz w:val="24"/>
        </w:rPr>
        <w:t>未来将</w:t>
      </w:r>
      <w:r w:rsidR="005071C2">
        <w:rPr>
          <w:rFonts w:ascii="宋体" w:hAnsi="宋体" w:hint="eastAsia"/>
          <w:bCs/>
          <w:sz w:val="24"/>
        </w:rPr>
        <w:t>凭借在技术研发、市场拓展、产业协同等多方面的深厚积累与创新突破，</w:t>
      </w:r>
      <w:r w:rsidR="005071C2" w:rsidRPr="005900D8">
        <w:rPr>
          <w:rFonts w:ascii="宋体" w:hAnsi="宋体" w:hint="eastAsia"/>
          <w:bCs/>
          <w:sz w:val="24"/>
        </w:rPr>
        <w:t>持续拓展海外布局</w:t>
      </w:r>
      <w:r w:rsidR="005071C2">
        <w:rPr>
          <w:rFonts w:ascii="宋体" w:hAnsi="宋体" w:hint="eastAsia"/>
          <w:bCs/>
          <w:sz w:val="24"/>
        </w:rPr>
        <w:t>。</w:t>
      </w:r>
    </w:p>
    <w:bookmarkEnd w:id="8"/>
    <w:bookmarkEnd w:id="9"/>
    <w:p w14:paraId="2316E75C" w14:textId="269FE690" w:rsidR="00FE69A1" w:rsidRPr="00FE69A1" w:rsidRDefault="00FE69A1" w:rsidP="00FE69A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5271FE90" w14:textId="77777777" w:rsidR="003F77DF" w:rsidRPr="005071C2" w:rsidRDefault="003F77DF" w:rsidP="003F77DF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bookmarkStart w:id="14" w:name="OLE_LINK14"/>
      <w:bookmarkStart w:id="15" w:name="OLE_LINK15"/>
      <w:r w:rsidRPr="005071C2">
        <w:rPr>
          <w:rFonts w:ascii="宋体" w:hAnsi="宋体"/>
          <w:b/>
          <w:bCs/>
          <w:sz w:val="24"/>
        </w:rPr>
        <w:t>Q</w:t>
      </w:r>
      <w:r w:rsidRPr="005071C2">
        <w:rPr>
          <w:rFonts w:ascii="宋体" w:hAnsi="宋体" w:hint="eastAsia"/>
          <w:b/>
          <w:bCs/>
          <w:sz w:val="24"/>
        </w:rPr>
        <w:t>：</w:t>
      </w:r>
      <w:r w:rsidRPr="005071C2">
        <w:rPr>
          <w:rFonts w:ascii="宋体" w:hAnsi="宋体"/>
          <w:b/>
          <w:bCs/>
          <w:sz w:val="24"/>
        </w:rPr>
        <w:t>公司于 5 月 14 日发布的减持公告，</w:t>
      </w:r>
      <w:r>
        <w:rPr>
          <w:rFonts w:ascii="宋体" w:hAnsi="宋体"/>
          <w:b/>
          <w:bCs/>
          <w:sz w:val="24"/>
        </w:rPr>
        <w:t>是存在公司</w:t>
      </w:r>
      <w:r w:rsidRPr="005071C2">
        <w:rPr>
          <w:rFonts w:ascii="宋体" w:hAnsi="宋体"/>
          <w:b/>
          <w:bCs/>
          <w:sz w:val="24"/>
        </w:rPr>
        <w:t>方面的</w:t>
      </w:r>
      <w:r>
        <w:rPr>
          <w:rFonts w:ascii="宋体" w:hAnsi="宋体"/>
          <w:b/>
          <w:bCs/>
          <w:sz w:val="24"/>
        </w:rPr>
        <w:t>什么</w:t>
      </w:r>
      <w:r w:rsidRPr="005071C2">
        <w:rPr>
          <w:rFonts w:ascii="宋体" w:hAnsi="宋体"/>
          <w:b/>
          <w:bCs/>
          <w:sz w:val="24"/>
        </w:rPr>
        <w:t>考虑</w:t>
      </w:r>
      <w:r>
        <w:rPr>
          <w:rFonts w:ascii="宋体" w:hAnsi="宋体" w:hint="eastAsia"/>
          <w:b/>
          <w:bCs/>
          <w:sz w:val="24"/>
        </w:rPr>
        <w:t>，还</w:t>
      </w:r>
      <w:r>
        <w:rPr>
          <w:rFonts w:ascii="宋体" w:hAnsi="宋体"/>
          <w:b/>
          <w:bCs/>
          <w:sz w:val="24"/>
        </w:rPr>
        <w:t>是基于股东个人财务需求</w:t>
      </w:r>
      <w:r w:rsidRPr="005071C2">
        <w:rPr>
          <w:rFonts w:ascii="宋体" w:hAnsi="宋体"/>
          <w:b/>
          <w:bCs/>
          <w:sz w:val="24"/>
        </w:rPr>
        <w:t>？</w:t>
      </w:r>
    </w:p>
    <w:p w14:paraId="7A3FC515" w14:textId="241E104B" w:rsidR="003F77DF" w:rsidRPr="008D16F0" w:rsidRDefault="003F77DF" w:rsidP="003F77D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</w:t>
      </w:r>
      <w:r w:rsidR="00067C47">
        <w:rPr>
          <w:rFonts w:ascii="宋体" w:hAnsi="宋体" w:hint="eastAsia"/>
          <w:bCs/>
          <w:sz w:val="24"/>
        </w:rPr>
        <w:t>邹启明先生此次发布的减持计划</w:t>
      </w:r>
      <w:r w:rsidRPr="008D16F0">
        <w:rPr>
          <w:rFonts w:ascii="宋体" w:hAnsi="宋体" w:hint="eastAsia"/>
          <w:bCs/>
          <w:sz w:val="24"/>
        </w:rPr>
        <w:t>为2024年12月发布的其上一轮减持计划的未执行完部分。邹启明先生的减</w:t>
      </w:r>
      <w:proofErr w:type="gramStart"/>
      <w:r w:rsidRPr="008D16F0">
        <w:rPr>
          <w:rFonts w:ascii="宋体" w:hAnsi="宋体" w:hint="eastAsia"/>
          <w:bCs/>
          <w:sz w:val="24"/>
        </w:rPr>
        <w:t>持计划</w:t>
      </w:r>
      <w:proofErr w:type="gramEnd"/>
      <w:r w:rsidRPr="008D16F0">
        <w:rPr>
          <w:rFonts w:ascii="宋体" w:hAnsi="宋体" w:hint="eastAsia"/>
          <w:bCs/>
          <w:sz w:val="24"/>
        </w:rPr>
        <w:t>系股东根据自身资金安排需要做出的自主决定，减持详情可查阅公司在上海证券交易所网站披露的相关公告，该减</w:t>
      </w:r>
      <w:proofErr w:type="gramStart"/>
      <w:r w:rsidRPr="008D16F0">
        <w:rPr>
          <w:rFonts w:ascii="宋体" w:hAnsi="宋体" w:hint="eastAsia"/>
          <w:bCs/>
          <w:sz w:val="24"/>
        </w:rPr>
        <w:t>持计划</w:t>
      </w:r>
      <w:proofErr w:type="gramEnd"/>
      <w:r w:rsidRPr="008D16F0">
        <w:rPr>
          <w:rFonts w:ascii="宋体" w:hAnsi="宋体" w:hint="eastAsia"/>
          <w:bCs/>
          <w:sz w:val="24"/>
        </w:rPr>
        <w:t>不会对公司治理结构及持续经营情况产生不利影响。未来，公司将始终专注主业发展，持续提升经营业绩与内在价值，以良好的长期回报回馈投资者。</w:t>
      </w:r>
    </w:p>
    <w:bookmarkEnd w:id="14"/>
    <w:bookmarkEnd w:id="15"/>
    <w:p w14:paraId="5963876D" w14:textId="77777777" w:rsidR="008D16F0" w:rsidRPr="003F77DF" w:rsidRDefault="008D16F0" w:rsidP="00FE69A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16A40F16" w14:textId="01A50B94" w:rsidR="00637F8C" w:rsidRPr="008D16F0" w:rsidRDefault="00637F8C" w:rsidP="008D16F0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sectPr w:rsidR="00637F8C" w:rsidRPr="008D16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985E3" w14:textId="77777777" w:rsidR="00101D3B" w:rsidRDefault="00101D3B">
      <w:r>
        <w:separator/>
      </w:r>
    </w:p>
  </w:endnote>
  <w:endnote w:type="continuationSeparator" w:id="0">
    <w:p w14:paraId="5606156A" w14:textId="77777777" w:rsidR="00101D3B" w:rsidRDefault="0010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8E3" w:rsidRPr="00FA08E3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3AB98" w14:textId="77777777" w:rsidR="00101D3B" w:rsidRDefault="00101D3B">
      <w:r>
        <w:separator/>
      </w:r>
    </w:p>
  </w:footnote>
  <w:footnote w:type="continuationSeparator" w:id="0">
    <w:p w14:paraId="1663ED00" w14:textId="77777777" w:rsidR="00101D3B" w:rsidRDefault="0010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9D2"/>
    <w:rsid w:val="0078472D"/>
    <w:rsid w:val="007853E0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3EF55-4734-4E25-ABD0-495492A8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84</cp:revision>
  <cp:lastPrinted>2024-08-21T06:15:00Z</cp:lastPrinted>
  <dcterms:created xsi:type="dcterms:W3CDTF">2025-03-04T08:28:00Z</dcterms:created>
  <dcterms:modified xsi:type="dcterms:W3CDTF">2025-05-19T02:36:00Z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