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shd w:val="clear" w:color="auto" w:fill="auto"/>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shd w:val="clear" w:color="auto" w:fill="auto"/>
          </w:tcPr>
          <w:p w14:paraId="03E1EE1E"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特定对象调研        </w:t>
            </w: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分析师会议</w:t>
            </w:r>
          </w:p>
          <w:p w14:paraId="0D789C8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8A11AF">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22790674"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DC2966">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r>
              <w:rPr>
                <w:rFonts w:ascii="宋体" w:eastAsia="宋体" w:hAnsi="宋体" w:cs="Times New Roman" w:hint="eastAsia"/>
                <w:color w:val="000000" w:themeColor="text1"/>
                <w:sz w:val="24"/>
                <w:szCs w:val="24"/>
                <w:u w:val="single"/>
              </w:rPr>
              <w:t>请文字说明其他活动内容）</w:t>
            </w:r>
          </w:p>
        </w:tc>
      </w:tr>
      <w:tr w:rsidR="00DC2966" w14:paraId="73B783D5" w14:textId="77777777" w:rsidTr="00173FBE">
        <w:tc>
          <w:tcPr>
            <w:tcW w:w="1731" w:type="dxa"/>
            <w:shd w:val="clear" w:color="auto" w:fill="auto"/>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shd w:val="clear" w:color="auto" w:fill="auto"/>
          </w:tcPr>
          <w:p w14:paraId="6507B4FF" w14:textId="6D1DAF77" w:rsidR="00DC2966" w:rsidRPr="00832774" w:rsidRDefault="00185E0B" w:rsidP="00252F50">
            <w:pPr>
              <w:spacing w:line="276" w:lineRule="auto"/>
              <w:rPr>
                <w:rFonts w:ascii="宋体" w:eastAsia="宋体" w:hAnsi="宋体" w:cs="Times New Roman" w:hint="eastAsia"/>
                <w:bCs/>
                <w:iCs/>
                <w:color w:val="000000" w:themeColor="text1"/>
                <w:sz w:val="24"/>
                <w:szCs w:val="24"/>
              </w:rPr>
            </w:pPr>
            <w:r w:rsidRPr="00185E0B">
              <w:rPr>
                <w:rFonts w:ascii="宋体" w:eastAsia="宋体" w:hAnsi="宋体" w:cs="Times New Roman" w:hint="eastAsia"/>
                <w:bCs/>
                <w:iCs/>
                <w:color w:val="000000" w:themeColor="text1"/>
                <w:sz w:val="24"/>
                <w:szCs w:val="24"/>
              </w:rPr>
              <w:t>国盛证券</w:t>
            </w:r>
            <w:r>
              <w:rPr>
                <w:rFonts w:ascii="宋体" w:eastAsia="宋体" w:hAnsi="宋体" w:cs="Times New Roman" w:hint="eastAsia"/>
                <w:bCs/>
                <w:iCs/>
                <w:color w:val="000000" w:themeColor="text1"/>
                <w:sz w:val="24"/>
                <w:szCs w:val="24"/>
              </w:rPr>
              <w:t>、泰康资产、招商证券</w:t>
            </w:r>
          </w:p>
        </w:tc>
      </w:tr>
      <w:tr w:rsidR="00DC2966" w14:paraId="486EEB6C" w14:textId="77777777" w:rsidTr="00173FBE">
        <w:tc>
          <w:tcPr>
            <w:tcW w:w="1731" w:type="dxa"/>
            <w:shd w:val="clear" w:color="auto" w:fill="auto"/>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shd w:val="clear" w:color="auto" w:fill="auto"/>
          </w:tcPr>
          <w:p w14:paraId="3945DE53" w14:textId="6936A6DA"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28252F">
              <w:rPr>
                <w:rFonts w:ascii="宋体" w:eastAsia="宋体" w:hAnsi="宋体" w:cs="Times New Roman" w:hint="eastAsia"/>
                <w:bCs/>
                <w:iCs/>
                <w:color w:val="000000" w:themeColor="text1"/>
                <w:sz w:val="24"/>
                <w:szCs w:val="24"/>
              </w:rPr>
              <w:t>5</w:t>
            </w:r>
            <w:r>
              <w:rPr>
                <w:rFonts w:ascii="宋体" w:eastAsia="宋体" w:hAnsi="宋体" w:cs="Times New Roman" w:hint="eastAsia"/>
                <w:iCs/>
                <w:color w:val="000000" w:themeColor="text1"/>
                <w:sz w:val="24"/>
                <w:szCs w:val="24"/>
              </w:rPr>
              <w:t xml:space="preserve">月 </w:t>
            </w:r>
            <w:r w:rsidR="0028252F">
              <w:rPr>
                <w:rFonts w:ascii="宋体" w:eastAsia="宋体" w:hAnsi="宋体" w:cs="Times New Roman" w:hint="eastAsia"/>
                <w:iCs/>
                <w:color w:val="000000" w:themeColor="text1"/>
                <w:sz w:val="24"/>
                <w:szCs w:val="24"/>
              </w:rPr>
              <w:t>19</w:t>
            </w:r>
            <w:r>
              <w:rPr>
                <w:rFonts w:ascii="宋体" w:eastAsia="宋体" w:hAnsi="宋体" w:cs="Times New Roman" w:hint="eastAsia"/>
                <w:iCs/>
                <w:color w:val="000000" w:themeColor="text1"/>
                <w:sz w:val="24"/>
                <w:szCs w:val="24"/>
              </w:rPr>
              <w:t>日1</w:t>
            </w:r>
            <w:r w:rsidR="0028252F">
              <w:rPr>
                <w:rFonts w:ascii="宋体" w:eastAsia="宋体" w:hAnsi="宋体" w:cs="Times New Roman" w:hint="eastAsia"/>
                <w:iCs/>
                <w:color w:val="000000" w:themeColor="text1"/>
                <w:sz w:val="24"/>
                <w:szCs w:val="24"/>
              </w:rPr>
              <w:t>4</w:t>
            </w:r>
            <w:r>
              <w:rPr>
                <w:rFonts w:ascii="宋体" w:eastAsia="宋体" w:hAnsi="宋体" w:cs="Times New Roman"/>
                <w:iCs/>
                <w:color w:val="000000" w:themeColor="text1"/>
                <w:sz w:val="24"/>
                <w:szCs w:val="24"/>
              </w:rPr>
              <w:t>：</w:t>
            </w:r>
            <w:r w:rsidR="005C48A1">
              <w:rPr>
                <w:rFonts w:ascii="宋体" w:eastAsia="宋体" w:hAnsi="宋体" w:cs="Times New Roman"/>
                <w:iCs/>
                <w:color w:val="000000" w:themeColor="text1"/>
                <w:sz w:val="24"/>
                <w:szCs w:val="24"/>
              </w:rPr>
              <w:t>0</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28252F">
              <w:rPr>
                <w:rFonts w:ascii="宋体" w:eastAsia="宋体" w:hAnsi="宋体" w:cs="Times New Roman" w:hint="eastAsia"/>
                <w:iCs/>
                <w:color w:val="000000" w:themeColor="text1"/>
                <w:sz w:val="24"/>
                <w:szCs w:val="24"/>
              </w:rPr>
              <w:t>6</w:t>
            </w:r>
            <w:r>
              <w:rPr>
                <w:rFonts w:ascii="宋体" w:eastAsia="宋体" w:hAnsi="宋体" w:cs="Times New Roman"/>
                <w:iCs/>
                <w:color w:val="000000" w:themeColor="text1"/>
                <w:sz w:val="24"/>
                <w:szCs w:val="24"/>
              </w:rPr>
              <w:t>：</w:t>
            </w:r>
            <w:r>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p>
        </w:tc>
      </w:tr>
      <w:tr w:rsidR="00DC2966" w14:paraId="59013F31" w14:textId="77777777" w:rsidTr="00173FBE">
        <w:tc>
          <w:tcPr>
            <w:tcW w:w="1731" w:type="dxa"/>
            <w:shd w:val="clear" w:color="auto" w:fill="auto"/>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shd w:val="clear" w:color="auto" w:fill="auto"/>
          </w:tcPr>
          <w:p w14:paraId="59D845F9" w14:textId="2F6BB7D0" w:rsidR="00DC2966" w:rsidRDefault="00D038D8"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现场</w:t>
            </w:r>
          </w:p>
        </w:tc>
      </w:tr>
      <w:tr w:rsidR="00DC2966" w14:paraId="7979417F" w14:textId="77777777" w:rsidTr="00173FBE">
        <w:tc>
          <w:tcPr>
            <w:tcW w:w="1731" w:type="dxa"/>
            <w:shd w:val="clear" w:color="auto" w:fill="auto"/>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shd w:val="clear" w:color="auto" w:fill="auto"/>
          </w:tcPr>
          <w:p w14:paraId="4094B9DC"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董事会秘书：董东峰</w:t>
            </w:r>
          </w:p>
          <w:p w14:paraId="24AB0EA1"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77777777" w:rsidR="00FB226B" w:rsidRDefault="00FB226B"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bCs/>
                <w:iCs/>
                <w:color w:val="000000" w:themeColor="text1"/>
                <w:sz w:val="24"/>
                <w:szCs w:val="24"/>
              </w:rPr>
              <w:t>证券事务专员：张雅婷</w:t>
            </w:r>
          </w:p>
        </w:tc>
      </w:tr>
      <w:tr w:rsidR="00DC2966" w14:paraId="6CF86377" w14:textId="77777777" w:rsidTr="00173FBE">
        <w:trPr>
          <w:trHeight w:val="1125"/>
        </w:trPr>
        <w:tc>
          <w:tcPr>
            <w:tcW w:w="1731" w:type="dxa"/>
            <w:shd w:val="clear" w:color="auto" w:fill="auto"/>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shd w:val="clear" w:color="auto" w:fill="auto"/>
          </w:tcPr>
          <w:p w14:paraId="10BC2B0C" w14:textId="75B7FAEB" w:rsidR="0064156B" w:rsidRPr="00395BCD" w:rsidRDefault="00F35517" w:rsidP="0064156B">
            <w:pPr>
              <w:spacing w:line="360" w:lineRule="auto"/>
              <w:rPr>
                <w:color w:val="000000" w:themeColor="text1"/>
                <w:sz w:val="24"/>
              </w:rPr>
            </w:pPr>
            <w:r>
              <w:rPr>
                <w:rFonts w:hint="eastAsia"/>
                <w:color w:val="000000" w:themeColor="text1"/>
                <w:sz w:val="24"/>
              </w:rPr>
              <w:t>问题一：</w:t>
            </w:r>
            <w:r w:rsidR="0064156B" w:rsidRPr="0064156B">
              <w:rPr>
                <w:rFonts w:hint="eastAsia"/>
                <w:color w:val="000000" w:themeColor="text1"/>
                <w:sz w:val="24"/>
              </w:rPr>
              <w:t>请问公司收购衡所华威有何战略意义？</w:t>
            </w:r>
          </w:p>
          <w:p w14:paraId="3504CEB0" w14:textId="77777777" w:rsidR="0064156B" w:rsidRPr="0064156B" w:rsidRDefault="0064156B" w:rsidP="0064156B">
            <w:pPr>
              <w:spacing w:line="360" w:lineRule="auto"/>
              <w:rPr>
                <w:color w:val="000000" w:themeColor="text1"/>
                <w:sz w:val="24"/>
              </w:rPr>
            </w:pPr>
            <w:r>
              <w:rPr>
                <w:rFonts w:hint="eastAsia"/>
                <w:color w:val="000000" w:themeColor="text1"/>
                <w:sz w:val="24"/>
              </w:rPr>
              <w:t>回复：</w:t>
            </w:r>
            <w:r w:rsidRPr="0064156B">
              <w:rPr>
                <w:rFonts w:hint="eastAsia"/>
                <w:color w:val="000000" w:themeColor="text1"/>
                <w:sz w:val="24"/>
              </w:rPr>
              <w:t>公司和衡所华威均从事半导体芯片封装材料的研发、生产和销售，主要产品均为环氧塑封料，是半导体封装的关键材料。双方在以下多方面均有协同效应，具体如下：</w:t>
            </w:r>
          </w:p>
          <w:p w14:paraId="147A0A3C"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w:t>
            </w:r>
            <w:r w:rsidRPr="0064156B">
              <w:rPr>
                <w:rFonts w:hint="eastAsia"/>
                <w:color w:val="000000" w:themeColor="text1"/>
                <w:sz w:val="24"/>
              </w:rPr>
              <w:t>1</w:t>
            </w:r>
            <w:r w:rsidRPr="0064156B">
              <w:rPr>
                <w:rFonts w:hint="eastAsia"/>
                <w:color w:val="000000" w:themeColor="text1"/>
                <w:sz w:val="24"/>
              </w:rPr>
              <w:t>）加速国际化布局，扩大海外优质市场份额</w:t>
            </w:r>
            <w:r w:rsidRPr="0064156B">
              <w:rPr>
                <w:rFonts w:hint="eastAsia"/>
                <w:color w:val="000000" w:themeColor="text1"/>
                <w:sz w:val="24"/>
              </w:rPr>
              <w:t xml:space="preserve"> </w:t>
            </w:r>
          </w:p>
          <w:p w14:paraId="28E76089" w14:textId="69D0D48C" w:rsidR="0064156B" w:rsidRPr="0064156B" w:rsidRDefault="0064156B" w:rsidP="0064156B">
            <w:pPr>
              <w:spacing w:line="360" w:lineRule="auto"/>
              <w:rPr>
                <w:color w:val="000000" w:themeColor="text1"/>
                <w:sz w:val="24"/>
              </w:rPr>
            </w:pPr>
            <w:r w:rsidRPr="0064156B">
              <w:rPr>
                <w:rFonts w:hint="eastAsia"/>
                <w:color w:val="000000" w:themeColor="text1"/>
                <w:sz w:val="24"/>
              </w:rPr>
              <w:t>公司和衡所华威主要产品均为环氧塑封料，目标客户一致。衡所华威及其前身已深耕半导体封装材料领域四十余年，品牌知名度高，积累了一批全球知名的半导体客户。优质客户对环氧塑封料供应商的筛选和考核标准严格，合格供应商认证周期较长，认证程序复杂。本次收购完成后，公司将借助衡所华威的国际客户资源，加速国际化布局，扩大海外优质市场份额。</w:t>
            </w:r>
          </w:p>
          <w:p w14:paraId="4F6F3F36"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w:t>
            </w:r>
            <w:r w:rsidRPr="0064156B">
              <w:rPr>
                <w:rFonts w:hint="eastAsia"/>
                <w:color w:val="000000" w:themeColor="text1"/>
                <w:sz w:val="24"/>
              </w:rPr>
              <w:t>2</w:t>
            </w:r>
            <w:r w:rsidRPr="0064156B">
              <w:rPr>
                <w:rFonts w:hint="eastAsia"/>
                <w:color w:val="000000" w:themeColor="text1"/>
                <w:sz w:val="24"/>
              </w:rPr>
              <w:t>）补强产品矩阵，提升客户服务能力</w:t>
            </w:r>
            <w:r w:rsidRPr="0064156B">
              <w:rPr>
                <w:rFonts w:hint="eastAsia"/>
                <w:color w:val="000000" w:themeColor="text1"/>
                <w:sz w:val="24"/>
              </w:rPr>
              <w:t xml:space="preserve"> </w:t>
            </w:r>
          </w:p>
          <w:p w14:paraId="79D8D37B"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lastRenderedPageBreak/>
              <w:t>基于下游封装技术、应用场景以及性能特征的不同，环氧塑封料分为基础、高性能、先进封装等三类。在当下的行业格局中，高性能占据主流地位，而先进封装是未来的行业发展方向。本次收购完成后，公司借助衡所华威在先进封装方面所积累的研发优势，迅速推动先进封装材料的研发及量产进度，打破该领域“卡脖子”局面，逐步实现国产替代，打造世界级半导体封装材料企业。</w:t>
            </w:r>
          </w:p>
          <w:p w14:paraId="0E35FFDC"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w:t>
            </w:r>
            <w:r w:rsidRPr="0064156B">
              <w:rPr>
                <w:rFonts w:hint="eastAsia"/>
                <w:color w:val="000000" w:themeColor="text1"/>
                <w:sz w:val="24"/>
              </w:rPr>
              <w:t>3</w:t>
            </w:r>
            <w:r w:rsidRPr="0064156B">
              <w:rPr>
                <w:rFonts w:hint="eastAsia"/>
                <w:color w:val="000000" w:themeColor="text1"/>
                <w:sz w:val="24"/>
              </w:rPr>
              <w:t>）供应链整合，优化采购与运输成本</w:t>
            </w:r>
            <w:r w:rsidRPr="0064156B">
              <w:rPr>
                <w:rFonts w:hint="eastAsia"/>
                <w:color w:val="000000" w:themeColor="text1"/>
                <w:sz w:val="24"/>
              </w:rPr>
              <w:t xml:space="preserve"> </w:t>
            </w:r>
          </w:p>
          <w:p w14:paraId="48A55D3C"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公司与衡所华威主要产品原材料具有高度的重合性。本次并购整合完成后，双方集中采购规模上升，优化供应链及运输管理能力，在采购端与运输方面将获得更高的议价能力及资源支持。衡所华威长期积累的满足海外客户要求的供应链，将为公司产品和市场全球化拓展提供强有力的补充和支持，提高公司国际竞争力。</w:t>
            </w:r>
          </w:p>
          <w:p w14:paraId="0AF69720"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w:t>
            </w:r>
            <w:r w:rsidRPr="0064156B">
              <w:rPr>
                <w:rFonts w:hint="eastAsia"/>
                <w:color w:val="000000" w:themeColor="text1"/>
                <w:sz w:val="24"/>
              </w:rPr>
              <w:t>4</w:t>
            </w:r>
            <w:r w:rsidRPr="0064156B">
              <w:rPr>
                <w:rFonts w:hint="eastAsia"/>
                <w:color w:val="000000" w:themeColor="text1"/>
                <w:sz w:val="24"/>
              </w:rPr>
              <w:t>）优化产线布局，提高生产效率</w:t>
            </w:r>
            <w:r w:rsidRPr="0064156B">
              <w:rPr>
                <w:rFonts w:hint="eastAsia"/>
                <w:color w:val="000000" w:themeColor="text1"/>
                <w:sz w:val="24"/>
              </w:rPr>
              <w:t xml:space="preserve"> </w:t>
            </w:r>
          </w:p>
          <w:p w14:paraId="31104F50"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环氧塑封料属于配方型产品，根据客户的定制化需求，产品型号较多。本次交易完成后，公司将对不同生产基地的优势产品进行明确分工，各个生产基地更加专注从事细分型号产品的生产，降低生产成本，提高产线的利用效率和生产效率，提高盈利水平。</w:t>
            </w:r>
          </w:p>
          <w:p w14:paraId="59BF7BBD" w14:textId="77777777" w:rsidR="0064156B" w:rsidRPr="0064156B" w:rsidRDefault="0064156B" w:rsidP="0064156B">
            <w:pPr>
              <w:spacing w:line="360" w:lineRule="auto"/>
              <w:rPr>
                <w:color w:val="000000" w:themeColor="text1"/>
                <w:sz w:val="24"/>
              </w:rPr>
            </w:pPr>
            <w:r w:rsidRPr="0064156B">
              <w:rPr>
                <w:rFonts w:hint="eastAsia"/>
                <w:color w:val="000000" w:themeColor="text1"/>
                <w:sz w:val="24"/>
              </w:rPr>
              <w:t>（</w:t>
            </w:r>
            <w:r w:rsidRPr="0064156B">
              <w:rPr>
                <w:rFonts w:hint="eastAsia"/>
                <w:color w:val="000000" w:themeColor="text1"/>
                <w:sz w:val="24"/>
              </w:rPr>
              <w:t>5</w:t>
            </w:r>
            <w:r w:rsidRPr="0064156B">
              <w:rPr>
                <w:rFonts w:hint="eastAsia"/>
                <w:color w:val="000000" w:themeColor="text1"/>
                <w:sz w:val="24"/>
              </w:rPr>
              <w:t>）整合研发资源，提高高性能和先进封装用环氧塑封料研发投入</w:t>
            </w:r>
          </w:p>
          <w:p w14:paraId="564FF790" w14:textId="21FAED09" w:rsidR="00395BCD" w:rsidRDefault="0064156B" w:rsidP="0064156B">
            <w:pPr>
              <w:spacing w:line="360" w:lineRule="auto"/>
              <w:rPr>
                <w:color w:val="000000" w:themeColor="text1"/>
                <w:sz w:val="24"/>
              </w:rPr>
            </w:pPr>
            <w:r w:rsidRPr="0064156B">
              <w:rPr>
                <w:rFonts w:hint="eastAsia"/>
                <w:color w:val="000000" w:themeColor="text1"/>
                <w:sz w:val="24"/>
              </w:rPr>
              <w:t>公司与衡所华威同属于环氧塑封料行业，在产品研发、工艺路线上具有较强的互补性和协同效应。本次交易完成后，双方研发充分整合，优势互补，提高研发速度，提升现有成果水平，同时避免重复研发，将节省的研发资源全力投入到高性能和先进封装用环氧塑封料的研发，尽快赶超国际同行水平，打破国外技术垄断。</w:t>
            </w:r>
          </w:p>
          <w:p w14:paraId="6A44529C" w14:textId="0445645B" w:rsidR="0064156B" w:rsidRDefault="0064156B" w:rsidP="0064156B">
            <w:pPr>
              <w:spacing w:line="360" w:lineRule="auto"/>
              <w:rPr>
                <w:color w:val="000000" w:themeColor="text1"/>
                <w:sz w:val="24"/>
              </w:rPr>
            </w:pPr>
            <w:r>
              <w:rPr>
                <w:rFonts w:hint="eastAsia"/>
                <w:color w:val="000000" w:themeColor="text1"/>
                <w:sz w:val="24"/>
              </w:rPr>
              <w:t>问题二：</w:t>
            </w:r>
            <w:r w:rsidRPr="0064156B">
              <w:rPr>
                <w:rFonts w:hint="eastAsia"/>
                <w:color w:val="000000" w:themeColor="text1"/>
                <w:sz w:val="24"/>
              </w:rPr>
              <w:t>公司对衡所华威剩余</w:t>
            </w:r>
            <w:r w:rsidRPr="0064156B">
              <w:rPr>
                <w:rFonts w:hint="eastAsia"/>
                <w:color w:val="000000" w:themeColor="text1"/>
                <w:sz w:val="24"/>
              </w:rPr>
              <w:t>70%</w:t>
            </w:r>
            <w:r w:rsidRPr="0064156B">
              <w:rPr>
                <w:rFonts w:hint="eastAsia"/>
                <w:color w:val="000000" w:themeColor="text1"/>
                <w:sz w:val="24"/>
              </w:rPr>
              <w:t>股权的收购方式</w:t>
            </w:r>
          </w:p>
          <w:p w14:paraId="0DFCB8FD" w14:textId="43DDA723" w:rsidR="0064156B" w:rsidRDefault="0064156B" w:rsidP="0064156B">
            <w:pPr>
              <w:spacing w:line="360" w:lineRule="auto"/>
              <w:rPr>
                <w:color w:val="000000" w:themeColor="text1"/>
                <w:sz w:val="24"/>
              </w:rPr>
            </w:pPr>
            <w:r>
              <w:rPr>
                <w:rFonts w:hint="eastAsia"/>
                <w:color w:val="000000" w:themeColor="text1"/>
                <w:sz w:val="24"/>
              </w:rPr>
              <w:t>回复：</w:t>
            </w:r>
            <w:r w:rsidRPr="0064156B">
              <w:rPr>
                <w:rFonts w:hint="eastAsia"/>
                <w:color w:val="000000" w:themeColor="text1"/>
                <w:sz w:val="24"/>
              </w:rPr>
              <w:t>公司拟通过发行股份、可转换公司债券及支付现金的方式购买绍兴署辉等</w:t>
            </w:r>
            <w:r w:rsidRPr="0064156B">
              <w:rPr>
                <w:rFonts w:hint="eastAsia"/>
                <w:color w:val="000000" w:themeColor="text1"/>
                <w:sz w:val="24"/>
              </w:rPr>
              <w:t>13</w:t>
            </w:r>
            <w:r w:rsidRPr="0064156B">
              <w:rPr>
                <w:rFonts w:hint="eastAsia"/>
                <w:color w:val="000000" w:themeColor="text1"/>
                <w:sz w:val="24"/>
              </w:rPr>
              <w:t>名股东持有的衡所华威</w:t>
            </w:r>
            <w:r w:rsidRPr="0064156B">
              <w:rPr>
                <w:rFonts w:hint="eastAsia"/>
                <w:color w:val="000000" w:themeColor="text1"/>
                <w:sz w:val="24"/>
              </w:rPr>
              <w:t>70%</w:t>
            </w:r>
            <w:r w:rsidRPr="0064156B">
              <w:rPr>
                <w:rFonts w:hint="eastAsia"/>
                <w:color w:val="000000" w:themeColor="text1"/>
                <w:sz w:val="24"/>
              </w:rPr>
              <w:t>股权并募集配套资金。</w:t>
            </w:r>
          </w:p>
          <w:p w14:paraId="25645E19" w14:textId="24CAAAF5" w:rsidR="0064156B" w:rsidRDefault="0064156B" w:rsidP="0064156B">
            <w:pPr>
              <w:spacing w:line="360" w:lineRule="auto"/>
              <w:rPr>
                <w:color w:val="000000" w:themeColor="text1"/>
                <w:sz w:val="24"/>
              </w:rPr>
            </w:pPr>
            <w:r>
              <w:rPr>
                <w:rFonts w:hint="eastAsia"/>
                <w:color w:val="000000" w:themeColor="text1"/>
                <w:sz w:val="24"/>
              </w:rPr>
              <w:t>问题三：</w:t>
            </w:r>
            <w:r w:rsidR="00B134F3" w:rsidRPr="00B134F3">
              <w:rPr>
                <w:rFonts w:hint="eastAsia"/>
                <w:color w:val="000000" w:themeColor="text1"/>
                <w:sz w:val="24"/>
              </w:rPr>
              <w:t>衡所华威在产品体系和技术方面有何优势？</w:t>
            </w:r>
          </w:p>
          <w:p w14:paraId="5EA257F3" w14:textId="77777777" w:rsidR="00B134F3" w:rsidRPr="00B134F3" w:rsidRDefault="00B134F3" w:rsidP="00B134F3">
            <w:pPr>
              <w:spacing w:line="360" w:lineRule="auto"/>
              <w:rPr>
                <w:color w:val="000000" w:themeColor="text1"/>
                <w:sz w:val="24"/>
              </w:rPr>
            </w:pPr>
            <w:r>
              <w:rPr>
                <w:rFonts w:hint="eastAsia"/>
                <w:color w:val="000000" w:themeColor="text1"/>
                <w:sz w:val="24"/>
              </w:rPr>
              <w:lastRenderedPageBreak/>
              <w:t>回复：</w:t>
            </w:r>
            <w:r w:rsidRPr="00B134F3">
              <w:rPr>
                <w:rFonts w:hint="eastAsia"/>
                <w:color w:val="000000" w:themeColor="text1"/>
                <w:sz w:val="24"/>
              </w:rPr>
              <w:t>衡所华威的产品体系全面覆盖基础、高性能、先进封装多个层次，在国内外众多细分应用领域处于领先地位。在国内中高端半导体封装材料被外资厂商垄断的背景下，衡所华威立足于高性能封装的同时，积极布局先进封装领域，推动高端产品的产业化。</w:t>
            </w:r>
            <w:r w:rsidRPr="00B134F3">
              <w:rPr>
                <w:rFonts w:hint="eastAsia"/>
                <w:color w:val="000000" w:themeColor="text1"/>
                <w:sz w:val="24"/>
              </w:rPr>
              <w:t xml:space="preserve"> </w:t>
            </w:r>
          </w:p>
          <w:p w14:paraId="1514F500" w14:textId="0E148092" w:rsidR="00B134F3" w:rsidRPr="00B134F3" w:rsidRDefault="00B134F3" w:rsidP="00B134F3">
            <w:pPr>
              <w:spacing w:line="360" w:lineRule="auto"/>
              <w:rPr>
                <w:color w:val="000000" w:themeColor="text1"/>
                <w:sz w:val="24"/>
              </w:rPr>
            </w:pPr>
            <w:r w:rsidRPr="00B134F3">
              <w:rPr>
                <w:rFonts w:hint="eastAsia"/>
                <w:color w:val="000000" w:themeColor="text1"/>
                <w:sz w:val="24"/>
              </w:rPr>
              <w:t>衡所华威产品结构聚焦于高性能产品的同时，在先进封装领域不断拓展，产品终端应用涉及汽车电子、新能源、第三代半导体、工业领域、消费电子、物联网、光伏等领域，形成了较为显著的产品体系优势。</w:t>
            </w:r>
            <w:r w:rsidRPr="00B134F3">
              <w:rPr>
                <w:rFonts w:hint="eastAsia"/>
                <w:color w:val="000000" w:themeColor="text1"/>
                <w:sz w:val="24"/>
              </w:rPr>
              <w:t xml:space="preserve"> </w:t>
            </w:r>
          </w:p>
          <w:p w14:paraId="2DA9373E" w14:textId="6007ADCE" w:rsidR="00B134F3" w:rsidRDefault="00B134F3" w:rsidP="00B134F3">
            <w:pPr>
              <w:spacing w:line="360" w:lineRule="auto"/>
              <w:rPr>
                <w:color w:val="000000" w:themeColor="text1"/>
                <w:sz w:val="24"/>
              </w:rPr>
            </w:pPr>
            <w:r w:rsidRPr="00B134F3">
              <w:rPr>
                <w:rFonts w:hint="eastAsia"/>
                <w:color w:val="000000" w:themeColor="text1"/>
                <w:sz w:val="24"/>
              </w:rPr>
              <w:t>衡所华威主要以封装技术演进趋势与客户定制化需求为导向，凭借扎实的研发实力与丰富的实践经验，在产品配方与生产工艺等方面进行持续研发与技术攻关，实现从低端到高端产品全面覆盖的技术体系，可实现灵活快速的研发需求响应。</w:t>
            </w:r>
          </w:p>
          <w:p w14:paraId="1EAA8265" w14:textId="6762BB5A" w:rsidR="00B134F3" w:rsidRDefault="00B134F3" w:rsidP="00B134F3">
            <w:pPr>
              <w:spacing w:line="360" w:lineRule="auto"/>
              <w:rPr>
                <w:color w:val="000000" w:themeColor="text1"/>
                <w:sz w:val="24"/>
              </w:rPr>
            </w:pPr>
            <w:r>
              <w:rPr>
                <w:rFonts w:hint="eastAsia"/>
                <w:color w:val="000000" w:themeColor="text1"/>
                <w:sz w:val="24"/>
              </w:rPr>
              <w:t>问题四：</w:t>
            </w:r>
            <w:r w:rsidRPr="00B134F3">
              <w:rPr>
                <w:rFonts w:hint="eastAsia"/>
                <w:color w:val="000000" w:themeColor="text1"/>
                <w:sz w:val="24"/>
              </w:rPr>
              <w:t>本次收购完成后对公司业务方面的发展前景有何影响</w:t>
            </w:r>
            <w:r>
              <w:rPr>
                <w:rFonts w:hint="eastAsia"/>
                <w:color w:val="000000" w:themeColor="text1"/>
                <w:sz w:val="24"/>
              </w:rPr>
              <w:t>？</w:t>
            </w:r>
          </w:p>
          <w:p w14:paraId="56C91C19" w14:textId="519A6126" w:rsidR="00B134F3" w:rsidRPr="00B134F3" w:rsidRDefault="00B134F3" w:rsidP="00B134F3">
            <w:pPr>
              <w:spacing w:line="360" w:lineRule="auto"/>
              <w:rPr>
                <w:color w:val="000000" w:themeColor="text1"/>
                <w:sz w:val="24"/>
              </w:rPr>
            </w:pPr>
            <w:r>
              <w:rPr>
                <w:rFonts w:hint="eastAsia"/>
                <w:color w:val="000000" w:themeColor="text1"/>
                <w:sz w:val="24"/>
              </w:rPr>
              <w:t>回复：</w:t>
            </w:r>
            <w:r w:rsidRPr="00B134F3">
              <w:rPr>
                <w:rFonts w:hint="eastAsia"/>
                <w:color w:val="000000" w:themeColor="text1"/>
                <w:sz w:val="24"/>
              </w:rPr>
              <w:t>本次交易完成后，有利于公司发挥在资金、市场、经营管理方面的协同，扩大业务规模、提高经营业绩。</w:t>
            </w:r>
          </w:p>
          <w:p w14:paraId="7382F97F" w14:textId="7C47E211" w:rsidR="00B134F3" w:rsidRDefault="00B134F3" w:rsidP="00B134F3">
            <w:pPr>
              <w:spacing w:line="360" w:lineRule="auto"/>
              <w:rPr>
                <w:color w:val="000000" w:themeColor="text1"/>
                <w:sz w:val="24"/>
              </w:rPr>
            </w:pPr>
            <w:r w:rsidRPr="00B134F3">
              <w:rPr>
                <w:rFonts w:hint="eastAsia"/>
                <w:color w:val="000000" w:themeColor="text1"/>
                <w:sz w:val="24"/>
              </w:rPr>
              <w:t>本次交易完成后，公司将进一步把握衡所华威的经营计划和业务方向，依据其业务特点，将衡所华威发展规划与公司发展战略深度绑定，通过资源共享和优势互补，整合研发资源、补齐产品矩阵、加速国际化布局，实现业务协同发展，控制采购成本和资金运营成本，促进生产效率、经营水平的提升。</w:t>
            </w:r>
          </w:p>
          <w:p w14:paraId="7FA34DB6" w14:textId="4AC75EE3" w:rsidR="00B134F3" w:rsidRDefault="00B134F3" w:rsidP="00B134F3">
            <w:pPr>
              <w:spacing w:line="360" w:lineRule="auto"/>
              <w:rPr>
                <w:color w:val="000000" w:themeColor="text1"/>
                <w:sz w:val="24"/>
              </w:rPr>
            </w:pPr>
            <w:r>
              <w:rPr>
                <w:rFonts w:hint="eastAsia"/>
                <w:color w:val="000000" w:themeColor="text1"/>
                <w:sz w:val="24"/>
              </w:rPr>
              <w:t>问题五：</w:t>
            </w:r>
            <w:r w:rsidRPr="00B134F3">
              <w:rPr>
                <w:rFonts w:hint="eastAsia"/>
                <w:color w:val="000000" w:themeColor="text1"/>
                <w:sz w:val="24"/>
              </w:rPr>
              <w:t>公司未来发展战略</w:t>
            </w:r>
          </w:p>
          <w:p w14:paraId="68B3BD0E" w14:textId="77777777" w:rsidR="00B134F3" w:rsidRPr="00B134F3" w:rsidRDefault="00B134F3" w:rsidP="00B134F3">
            <w:pPr>
              <w:spacing w:line="360" w:lineRule="auto"/>
              <w:rPr>
                <w:color w:val="000000" w:themeColor="text1"/>
                <w:sz w:val="24"/>
              </w:rPr>
            </w:pPr>
            <w:r>
              <w:rPr>
                <w:rFonts w:hint="eastAsia"/>
                <w:color w:val="000000" w:themeColor="text1"/>
                <w:sz w:val="24"/>
              </w:rPr>
              <w:t>回复：</w:t>
            </w:r>
            <w:r w:rsidRPr="00B134F3">
              <w:rPr>
                <w:rFonts w:hint="eastAsia"/>
                <w:color w:val="000000" w:themeColor="text1"/>
                <w:sz w:val="24"/>
              </w:rPr>
              <w:t>未来，公司将在巩固现有半导体封装材料竞争优势的基础上，以客户定制化需求为牵引，以先进封装技术发展趋势为导向，构建兼具前瞻性与创新性的技术研发体系，持续优化产品结构，增强企业核心竞争力。在传统封装用封装材料领域，公司依托既有优势产品加快对外资厂商产品替代，并积极围绕现有客户以及潜在客户的新增需求进行布局并开发特色产品，从而进一步扩大公司业务规模并提升市场占有率；在先进封装材料领域，公司将</w:t>
            </w:r>
            <w:r w:rsidRPr="00B134F3">
              <w:rPr>
                <w:rFonts w:hint="eastAsia"/>
                <w:color w:val="000000" w:themeColor="text1"/>
                <w:sz w:val="24"/>
              </w:rPr>
              <w:lastRenderedPageBreak/>
              <w:t>加快研发进程，继续完善研发测试手段，缩短研发周期；胶黏剂生产车间将进行净化级别提升满足客户对产品颗粒度管控要求。并以此为基础，依托公司在该领域具有创新性与前瞻性的技术与产品布局，积极配合业内主要厂商全面深入开展先进封装材料的技术攻关，逐步实现先进封装用材料全面产业化。</w:t>
            </w:r>
          </w:p>
          <w:p w14:paraId="794CB2A4" w14:textId="5268AA4F" w:rsidR="00B134F3" w:rsidRPr="00B134F3" w:rsidRDefault="00B134F3" w:rsidP="00B134F3">
            <w:pPr>
              <w:spacing w:line="360" w:lineRule="auto"/>
              <w:rPr>
                <w:color w:val="000000" w:themeColor="text1"/>
                <w:sz w:val="24"/>
              </w:rPr>
            </w:pPr>
            <w:r w:rsidRPr="00B134F3">
              <w:rPr>
                <w:rFonts w:hint="eastAsia"/>
                <w:color w:val="000000" w:themeColor="text1"/>
                <w:sz w:val="24"/>
              </w:rPr>
              <w:t>公司聚焦于封装材料的研发及产业化，致力于成长为中国半导体以及相关行业封装材料的引领者与全球强有力的竞争者，持续地以打造卓越的全球化企业为目标而努力，为我国半导体及相关行业产业链发展壮大贡献力量。</w:t>
            </w:r>
          </w:p>
          <w:p w14:paraId="32EDEF0C" w14:textId="77777777" w:rsidR="00D8717D" w:rsidRPr="00D8717D" w:rsidRDefault="00D8717D" w:rsidP="00393485">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shd w:val="clear" w:color="auto" w:fill="auto"/>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shd w:val="clear" w:color="auto" w:fill="auto"/>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shd w:val="clear" w:color="auto" w:fill="auto"/>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shd w:val="clear" w:color="auto" w:fill="auto"/>
            <w:vAlign w:val="center"/>
          </w:tcPr>
          <w:p w14:paraId="0837D25B" w14:textId="31255B63"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360E9E">
              <w:rPr>
                <w:rFonts w:ascii="宋体" w:eastAsia="宋体" w:hAnsi="宋体" w:cs="Times New Roman" w:hint="eastAsia"/>
                <w:bCs/>
                <w:iCs/>
                <w:color w:val="000000" w:themeColor="text1"/>
                <w:sz w:val="24"/>
                <w:szCs w:val="24"/>
              </w:rPr>
              <w:t>5</w:t>
            </w:r>
            <w:r>
              <w:rPr>
                <w:rFonts w:ascii="宋体" w:eastAsia="宋体" w:hAnsi="宋体" w:cs="Times New Roman" w:hint="eastAsia"/>
                <w:iCs/>
                <w:color w:val="000000" w:themeColor="text1"/>
                <w:sz w:val="24"/>
                <w:szCs w:val="24"/>
              </w:rPr>
              <w:t xml:space="preserve">月 </w:t>
            </w:r>
            <w:r w:rsidR="00683FE4">
              <w:rPr>
                <w:rFonts w:ascii="宋体" w:eastAsia="宋体" w:hAnsi="宋体" w:cs="Times New Roman" w:hint="eastAsia"/>
                <w:iCs/>
                <w:color w:val="000000" w:themeColor="text1"/>
                <w:sz w:val="24"/>
                <w:szCs w:val="24"/>
              </w:rPr>
              <w:t>1</w:t>
            </w:r>
            <w:r w:rsidR="00360E9E">
              <w:rPr>
                <w:rFonts w:ascii="宋体" w:eastAsia="宋体" w:hAnsi="宋体" w:cs="Times New Roman" w:hint="eastAsia"/>
                <w:iCs/>
                <w:color w:val="000000" w:themeColor="text1"/>
                <w:sz w:val="24"/>
                <w:szCs w:val="24"/>
              </w:rPr>
              <w:t>9</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CBA1" w14:textId="77777777" w:rsidR="00E03A06" w:rsidRDefault="00E03A06" w:rsidP="00C81FD8">
      <w:r>
        <w:separator/>
      </w:r>
    </w:p>
  </w:endnote>
  <w:endnote w:type="continuationSeparator" w:id="0">
    <w:p w14:paraId="636D23DB" w14:textId="77777777" w:rsidR="00E03A06" w:rsidRDefault="00E03A06"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7A7A" w14:textId="77777777" w:rsidR="00E03A06" w:rsidRDefault="00E03A06" w:rsidP="00C81FD8">
      <w:r>
        <w:separator/>
      </w:r>
    </w:p>
  </w:footnote>
  <w:footnote w:type="continuationSeparator" w:id="0">
    <w:p w14:paraId="132402B8" w14:textId="77777777" w:rsidR="00E03A06" w:rsidRDefault="00E03A06"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350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7023E"/>
    <w:rsid w:val="00072983"/>
    <w:rsid w:val="0007733E"/>
    <w:rsid w:val="000774A0"/>
    <w:rsid w:val="00090480"/>
    <w:rsid w:val="00092858"/>
    <w:rsid w:val="000967E4"/>
    <w:rsid w:val="00096B43"/>
    <w:rsid w:val="000A344F"/>
    <w:rsid w:val="000A493D"/>
    <w:rsid w:val="000B3F86"/>
    <w:rsid w:val="000C5599"/>
    <w:rsid w:val="000C64F0"/>
    <w:rsid w:val="000D0DC1"/>
    <w:rsid w:val="000D7168"/>
    <w:rsid w:val="000F6608"/>
    <w:rsid w:val="00133A11"/>
    <w:rsid w:val="001370DD"/>
    <w:rsid w:val="00141650"/>
    <w:rsid w:val="00161159"/>
    <w:rsid w:val="00177BA5"/>
    <w:rsid w:val="00185E0B"/>
    <w:rsid w:val="00186169"/>
    <w:rsid w:val="00187E96"/>
    <w:rsid w:val="001A1E29"/>
    <w:rsid w:val="001A228E"/>
    <w:rsid w:val="001B230A"/>
    <w:rsid w:val="001B443E"/>
    <w:rsid w:val="001C5E7C"/>
    <w:rsid w:val="001D4281"/>
    <w:rsid w:val="001D5CCC"/>
    <w:rsid w:val="00202597"/>
    <w:rsid w:val="00202B8E"/>
    <w:rsid w:val="0020490F"/>
    <w:rsid w:val="00231D86"/>
    <w:rsid w:val="002322F2"/>
    <w:rsid w:val="00252F50"/>
    <w:rsid w:val="00264BAF"/>
    <w:rsid w:val="00273235"/>
    <w:rsid w:val="00276F11"/>
    <w:rsid w:val="00280149"/>
    <w:rsid w:val="0028252F"/>
    <w:rsid w:val="002A2E40"/>
    <w:rsid w:val="002B29A4"/>
    <w:rsid w:val="002C6DC3"/>
    <w:rsid w:val="002E56DC"/>
    <w:rsid w:val="002E7C07"/>
    <w:rsid w:val="002F3907"/>
    <w:rsid w:val="003003F9"/>
    <w:rsid w:val="00304604"/>
    <w:rsid w:val="00316F49"/>
    <w:rsid w:val="00324C6F"/>
    <w:rsid w:val="003507E5"/>
    <w:rsid w:val="00360E9E"/>
    <w:rsid w:val="0036208B"/>
    <w:rsid w:val="003634A1"/>
    <w:rsid w:val="00371450"/>
    <w:rsid w:val="00371D03"/>
    <w:rsid w:val="003834F2"/>
    <w:rsid w:val="00385B8B"/>
    <w:rsid w:val="00390B13"/>
    <w:rsid w:val="00393485"/>
    <w:rsid w:val="00395BCD"/>
    <w:rsid w:val="003A08D3"/>
    <w:rsid w:val="003C7FF2"/>
    <w:rsid w:val="003D6CD4"/>
    <w:rsid w:val="003F5AC2"/>
    <w:rsid w:val="00414BD5"/>
    <w:rsid w:val="00425AE7"/>
    <w:rsid w:val="00440090"/>
    <w:rsid w:val="00442F31"/>
    <w:rsid w:val="00447C71"/>
    <w:rsid w:val="00451591"/>
    <w:rsid w:val="00452820"/>
    <w:rsid w:val="00454931"/>
    <w:rsid w:val="00463B6F"/>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546AD"/>
    <w:rsid w:val="00556E56"/>
    <w:rsid w:val="00557BE4"/>
    <w:rsid w:val="005749CA"/>
    <w:rsid w:val="00586E5B"/>
    <w:rsid w:val="005A37AC"/>
    <w:rsid w:val="005A4EAA"/>
    <w:rsid w:val="005A7510"/>
    <w:rsid w:val="005B01B6"/>
    <w:rsid w:val="005C3FFE"/>
    <w:rsid w:val="005C48A1"/>
    <w:rsid w:val="005D7E4D"/>
    <w:rsid w:val="005E5CE7"/>
    <w:rsid w:val="005E6356"/>
    <w:rsid w:val="005F1905"/>
    <w:rsid w:val="005F648A"/>
    <w:rsid w:val="00600047"/>
    <w:rsid w:val="00601574"/>
    <w:rsid w:val="00612D9C"/>
    <w:rsid w:val="00614358"/>
    <w:rsid w:val="006152AD"/>
    <w:rsid w:val="0062767E"/>
    <w:rsid w:val="0063099F"/>
    <w:rsid w:val="00631237"/>
    <w:rsid w:val="0064156B"/>
    <w:rsid w:val="00644342"/>
    <w:rsid w:val="00653A40"/>
    <w:rsid w:val="006559A9"/>
    <w:rsid w:val="00660AE2"/>
    <w:rsid w:val="0066593B"/>
    <w:rsid w:val="00683FE4"/>
    <w:rsid w:val="00696FAB"/>
    <w:rsid w:val="006C0E70"/>
    <w:rsid w:val="006C6893"/>
    <w:rsid w:val="006C71FD"/>
    <w:rsid w:val="0070032D"/>
    <w:rsid w:val="0070688A"/>
    <w:rsid w:val="00712B4B"/>
    <w:rsid w:val="00725082"/>
    <w:rsid w:val="007423FB"/>
    <w:rsid w:val="0074354E"/>
    <w:rsid w:val="0077537C"/>
    <w:rsid w:val="00777A3C"/>
    <w:rsid w:val="0078522C"/>
    <w:rsid w:val="00785800"/>
    <w:rsid w:val="00786364"/>
    <w:rsid w:val="00787F41"/>
    <w:rsid w:val="0079126D"/>
    <w:rsid w:val="00792780"/>
    <w:rsid w:val="007961B3"/>
    <w:rsid w:val="007A7541"/>
    <w:rsid w:val="007D1EF1"/>
    <w:rsid w:val="007D734E"/>
    <w:rsid w:val="00800444"/>
    <w:rsid w:val="00800A99"/>
    <w:rsid w:val="00812CBD"/>
    <w:rsid w:val="00821ABB"/>
    <w:rsid w:val="00824411"/>
    <w:rsid w:val="00827159"/>
    <w:rsid w:val="0082747D"/>
    <w:rsid w:val="00827EDE"/>
    <w:rsid w:val="008314FC"/>
    <w:rsid w:val="0083270E"/>
    <w:rsid w:val="00832774"/>
    <w:rsid w:val="00851B42"/>
    <w:rsid w:val="00860F4D"/>
    <w:rsid w:val="0087114B"/>
    <w:rsid w:val="008A11AF"/>
    <w:rsid w:val="008B2F54"/>
    <w:rsid w:val="008B6640"/>
    <w:rsid w:val="008E656C"/>
    <w:rsid w:val="008F3B29"/>
    <w:rsid w:val="009319F9"/>
    <w:rsid w:val="00937627"/>
    <w:rsid w:val="00950349"/>
    <w:rsid w:val="009568D5"/>
    <w:rsid w:val="00987696"/>
    <w:rsid w:val="009A3E7F"/>
    <w:rsid w:val="009A4FCE"/>
    <w:rsid w:val="009B0931"/>
    <w:rsid w:val="009B287C"/>
    <w:rsid w:val="009C34FF"/>
    <w:rsid w:val="009C6442"/>
    <w:rsid w:val="009E3981"/>
    <w:rsid w:val="009F738C"/>
    <w:rsid w:val="00A10F42"/>
    <w:rsid w:val="00A20B23"/>
    <w:rsid w:val="00A213D8"/>
    <w:rsid w:val="00A54F8A"/>
    <w:rsid w:val="00A656D3"/>
    <w:rsid w:val="00A744F3"/>
    <w:rsid w:val="00A833B5"/>
    <w:rsid w:val="00A83FBE"/>
    <w:rsid w:val="00A84B13"/>
    <w:rsid w:val="00A85B50"/>
    <w:rsid w:val="00A903C3"/>
    <w:rsid w:val="00A9341A"/>
    <w:rsid w:val="00AA17BB"/>
    <w:rsid w:val="00AA3E3F"/>
    <w:rsid w:val="00AB0916"/>
    <w:rsid w:val="00AB1067"/>
    <w:rsid w:val="00AD17B2"/>
    <w:rsid w:val="00AD6B4F"/>
    <w:rsid w:val="00AE049C"/>
    <w:rsid w:val="00AF382E"/>
    <w:rsid w:val="00AF62C4"/>
    <w:rsid w:val="00B04F51"/>
    <w:rsid w:val="00B06CB1"/>
    <w:rsid w:val="00B134F3"/>
    <w:rsid w:val="00B24521"/>
    <w:rsid w:val="00B57A15"/>
    <w:rsid w:val="00B62749"/>
    <w:rsid w:val="00B90623"/>
    <w:rsid w:val="00B90663"/>
    <w:rsid w:val="00C00C52"/>
    <w:rsid w:val="00C16861"/>
    <w:rsid w:val="00C31920"/>
    <w:rsid w:val="00C440C9"/>
    <w:rsid w:val="00C4641E"/>
    <w:rsid w:val="00C46AB1"/>
    <w:rsid w:val="00C51481"/>
    <w:rsid w:val="00C665E7"/>
    <w:rsid w:val="00C667F8"/>
    <w:rsid w:val="00C77372"/>
    <w:rsid w:val="00C81FD8"/>
    <w:rsid w:val="00C97769"/>
    <w:rsid w:val="00CA75DC"/>
    <w:rsid w:val="00CB34B5"/>
    <w:rsid w:val="00CC2E65"/>
    <w:rsid w:val="00CC38AE"/>
    <w:rsid w:val="00CD5A8B"/>
    <w:rsid w:val="00CD646E"/>
    <w:rsid w:val="00CF5503"/>
    <w:rsid w:val="00D00EA3"/>
    <w:rsid w:val="00D038D8"/>
    <w:rsid w:val="00D0577C"/>
    <w:rsid w:val="00D12149"/>
    <w:rsid w:val="00D1289A"/>
    <w:rsid w:val="00D152DE"/>
    <w:rsid w:val="00D22202"/>
    <w:rsid w:val="00D24C37"/>
    <w:rsid w:val="00D35643"/>
    <w:rsid w:val="00D4662A"/>
    <w:rsid w:val="00D55519"/>
    <w:rsid w:val="00D56303"/>
    <w:rsid w:val="00D73607"/>
    <w:rsid w:val="00D8717D"/>
    <w:rsid w:val="00D93633"/>
    <w:rsid w:val="00DB4AA7"/>
    <w:rsid w:val="00DC231F"/>
    <w:rsid w:val="00DC26BE"/>
    <w:rsid w:val="00DC2966"/>
    <w:rsid w:val="00DC58D3"/>
    <w:rsid w:val="00DD78E1"/>
    <w:rsid w:val="00E03A06"/>
    <w:rsid w:val="00E04584"/>
    <w:rsid w:val="00E21E9C"/>
    <w:rsid w:val="00E23D72"/>
    <w:rsid w:val="00E3331D"/>
    <w:rsid w:val="00E701EC"/>
    <w:rsid w:val="00E96154"/>
    <w:rsid w:val="00ED17F3"/>
    <w:rsid w:val="00ED3E9E"/>
    <w:rsid w:val="00EE48E6"/>
    <w:rsid w:val="00EE6368"/>
    <w:rsid w:val="00EF35D7"/>
    <w:rsid w:val="00F35517"/>
    <w:rsid w:val="00F4441F"/>
    <w:rsid w:val="00F44AF3"/>
    <w:rsid w:val="00F45912"/>
    <w:rsid w:val="00F65796"/>
    <w:rsid w:val="00F755F1"/>
    <w:rsid w:val="00F77E72"/>
    <w:rsid w:val="00F95650"/>
    <w:rsid w:val="00F96F52"/>
    <w:rsid w:val="00FB0728"/>
    <w:rsid w:val="00FB0D08"/>
    <w:rsid w:val="00FB0EF7"/>
    <w:rsid w:val="00FB226B"/>
    <w:rsid w:val="00FB4F76"/>
    <w:rsid w:val="00FB7753"/>
    <w:rsid w:val="00FC7C34"/>
    <w:rsid w:val="00FD350A"/>
    <w:rsid w:val="00FF2B2E"/>
    <w:rsid w:val="00FF376F"/>
    <w:rsid w:val="00FF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2025-05-19T06:22:00Z</dcterms:created>
  <dcterms:modified xsi:type="dcterms:W3CDTF">2025-05-20T06:09:00Z</dcterms:modified>
</cp:coreProperties>
</file>