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344F0" w14:textId="77777777" w:rsidR="004F3E68" w:rsidRDefault="00167A18">
      <w:pPr>
        <w:spacing w:beforeLines="50" w:before="156" w:afterLines="50" w:after="156" w:line="400" w:lineRule="exact"/>
        <w:rPr>
          <w:bCs/>
          <w:iCs/>
          <w:color w:val="000000"/>
          <w:sz w:val="24"/>
        </w:rPr>
      </w:pPr>
      <w:bookmarkStart w:id="0" w:name="_GoBack"/>
      <w:bookmarkEnd w:id="0"/>
      <w:r>
        <w:rPr>
          <w:rFonts w:hAnsi="宋体"/>
          <w:bCs/>
          <w:iCs/>
          <w:color w:val="000000"/>
          <w:sz w:val="24"/>
        </w:rPr>
        <w:t>证券代码：</w:t>
      </w:r>
      <w:r>
        <w:rPr>
          <w:bCs/>
          <w:iCs/>
          <w:color w:val="000000"/>
          <w:sz w:val="24"/>
        </w:rPr>
        <w:t xml:space="preserve"> </w:t>
      </w:r>
      <w:r>
        <w:rPr>
          <w:color w:val="000000"/>
          <w:sz w:val="24"/>
        </w:rPr>
        <w:t xml:space="preserve">688543                             </w:t>
      </w:r>
      <w:r>
        <w:rPr>
          <w:rFonts w:hAnsi="宋体"/>
          <w:bCs/>
          <w:iCs/>
          <w:color w:val="000000"/>
          <w:sz w:val="24"/>
        </w:rPr>
        <w:t>证券简称：</w:t>
      </w:r>
      <w:r>
        <w:rPr>
          <w:color w:val="000000"/>
          <w:sz w:val="24"/>
        </w:rPr>
        <w:t>国科军工</w:t>
      </w:r>
    </w:p>
    <w:p w14:paraId="373886D3" w14:textId="77777777" w:rsidR="004F3E68" w:rsidRDefault="00167A18">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江西国科军工集团股份有限公司</w:t>
      </w:r>
      <w:r>
        <w:rPr>
          <w:rFonts w:ascii="宋体" w:hAnsi="宋体" w:hint="eastAsia"/>
          <w:b/>
          <w:bCs/>
          <w:iCs/>
          <w:color w:val="000000"/>
          <w:sz w:val="32"/>
          <w:szCs w:val="32"/>
        </w:rPr>
        <w:t>投资者关系活动记录表</w:t>
      </w:r>
    </w:p>
    <w:p w14:paraId="0E992C1D" w14:textId="77777777" w:rsidR="004F3E68" w:rsidRDefault="00167A18">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4F3E68" w14:paraId="0A220666" w14:textId="77777777">
        <w:tc>
          <w:tcPr>
            <w:tcW w:w="1908" w:type="dxa"/>
            <w:tcBorders>
              <w:top w:val="single" w:sz="4" w:space="0" w:color="auto"/>
              <w:left w:val="single" w:sz="4" w:space="0" w:color="auto"/>
              <w:bottom w:val="single" w:sz="4" w:space="0" w:color="auto"/>
              <w:right w:val="single" w:sz="4" w:space="0" w:color="auto"/>
            </w:tcBorders>
          </w:tcPr>
          <w:p w14:paraId="253E17BF" w14:textId="77777777" w:rsidR="004F3E68" w:rsidRDefault="00167A18">
            <w:pPr>
              <w:spacing w:line="420" w:lineRule="exact"/>
              <w:rPr>
                <w:bCs/>
                <w:iCs/>
                <w:color w:val="000000"/>
                <w:kern w:val="0"/>
                <w:sz w:val="24"/>
              </w:rPr>
            </w:pPr>
            <w:r>
              <w:rPr>
                <w:rFonts w:hAnsi="宋体"/>
                <w:bCs/>
                <w:iCs/>
                <w:color w:val="000000"/>
                <w:kern w:val="0"/>
                <w:sz w:val="24"/>
              </w:rPr>
              <w:t>投资者关系活动类别</w:t>
            </w:r>
          </w:p>
          <w:p w14:paraId="5A21D19A" w14:textId="77777777" w:rsidR="004F3E68" w:rsidRDefault="004F3E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E72EB44" w14:textId="77777777" w:rsidR="004F3E68" w:rsidRDefault="00167A18">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9B8863D" w14:textId="77777777" w:rsidR="004F3E68" w:rsidRDefault="00167A1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702B9A3" w14:textId="77777777" w:rsidR="004F3E68" w:rsidRDefault="00167A1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E987635" w14:textId="77777777" w:rsidR="004F3E68" w:rsidRDefault="00167A1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FBC0D9" w14:textId="77777777" w:rsidR="004F3E68" w:rsidRDefault="00167A18">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4F3E68" w14:paraId="5BFCB343" w14:textId="77777777">
        <w:tc>
          <w:tcPr>
            <w:tcW w:w="1908" w:type="dxa"/>
            <w:tcBorders>
              <w:top w:val="single" w:sz="4" w:space="0" w:color="auto"/>
              <w:left w:val="single" w:sz="4" w:space="0" w:color="auto"/>
              <w:bottom w:val="single" w:sz="4" w:space="0" w:color="auto"/>
              <w:right w:val="single" w:sz="4" w:space="0" w:color="auto"/>
            </w:tcBorders>
          </w:tcPr>
          <w:p w14:paraId="565C280F" w14:textId="77777777" w:rsidR="004F3E68" w:rsidRDefault="00167A18">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28799959" w14:textId="77777777" w:rsidR="004F3E68" w:rsidRDefault="00167A18">
            <w:pPr>
              <w:spacing w:line="420" w:lineRule="exact"/>
              <w:rPr>
                <w:bCs/>
                <w:iCs/>
                <w:color w:val="000000"/>
                <w:sz w:val="24"/>
                <w:lang w:val="en-GB"/>
              </w:rPr>
            </w:pPr>
            <w:r>
              <w:rPr>
                <w:rFonts w:hint="eastAsia"/>
                <w:bCs/>
                <w:iCs/>
                <w:color w:val="000000"/>
                <w:sz w:val="24"/>
                <w:lang w:val="en-GB"/>
              </w:rPr>
              <w:t>投资者网上提问</w:t>
            </w:r>
          </w:p>
        </w:tc>
      </w:tr>
      <w:tr w:rsidR="004F3E68" w14:paraId="1B2C9500" w14:textId="77777777">
        <w:tc>
          <w:tcPr>
            <w:tcW w:w="1908" w:type="dxa"/>
            <w:tcBorders>
              <w:top w:val="single" w:sz="4" w:space="0" w:color="auto"/>
              <w:left w:val="single" w:sz="4" w:space="0" w:color="auto"/>
              <w:bottom w:val="single" w:sz="4" w:space="0" w:color="auto"/>
              <w:right w:val="single" w:sz="4" w:space="0" w:color="auto"/>
            </w:tcBorders>
          </w:tcPr>
          <w:p w14:paraId="0875F992" w14:textId="77777777" w:rsidR="004F3E68" w:rsidRDefault="00167A18">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30F3FC8E" w14:textId="67DFA118" w:rsidR="004F3E68" w:rsidRDefault="00167A18">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21</w:t>
            </w:r>
            <w:r>
              <w:rPr>
                <w:bCs/>
                <w:iCs/>
                <w:color w:val="000000"/>
                <w:sz w:val="24"/>
              </w:rPr>
              <w:t>日</w:t>
            </w:r>
            <w:r>
              <w:rPr>
                <w:bCs/>
                <w:iCs/>
                <w:color w:val="000000"/>
                <w:sz w:val="24"/>
              </w:rPr>
              <w:t>(</w:t>
            </w:r>
            <w:r>
              <w:rPr>
                <w:bCs/>
                <w:iCs/>
                <w:color w:val="000000"/>
                <w:sz w:val="24"/>
              </w:rPr>
              <w:t>周三</w:t>
            </w:r>
            <w:r>
              <w:rPr>
                <w:bCs/>
                <w:iCs/>
                <w:color w:val="000000"/>
                <w:sz w:val="24"/>
              </w:rPr>
              <w:t>)</w:t>
            </w:r>
            <w:r>
              <w:rPr>
                <w:bCs/>
                <w:iCs/>
                <w:color w:val="000000"/>
                <w:sz w:val="24"/>
              </w:rPr>
              <w:t>下午</w:t>
            </w:r>
            <w:r>
              <w:rPr>
                <w:bCs/>
                <w:iCs/>
                <w:color w:val="000000"/>
                <w:sz w:val="24"/>
              </w:rPr>
              <w:t>14:30~17:00</w:t>
            </w:r>
          </w:p>
        </w:tc>
      </w:tr>
      <w:tr w:rsidR="004F3E68" w14:paraId="1F32A4A1" w14:textId="77777777">
        <w:tc>
          <w:tcPr>
            <w:tcW w:w="1908" w:type="dxa"/>
            <w:tcBorders>
              <w:top w:val="single" w:sz="4" w:space="0" w:color="auto"/>
              <w:left w:val="single" w:sz="4" w:space="0" w:color="auto"/>
              <w:bottom w:val="single" w:sz="4" w:space="0" w:color="auto"/>
              <w:right w:val="single" w:sz="4" w:space="0" w:color="auto"/>
            </w:tcBorders>
          </w:tcPr>
          <w:p w14:paraId="185CEA6F" w14:textId="77777777" w:rsidR="004F3E68" w:rsidRDefault="00167A18">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F9A581A" w14:textId="77777777" w:rsidR="004F3E68" w:rsidRDefault="00167A18">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://ir.p5w.net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4F3E68" w14:paraId="2F102BE2" w14:textId="77777777">
        <w:tc>
          <w:tcPr>
            <w:tcW w:w="1908" w:type="dxa"/>
            <w:tcBorders>
              <w:top w:val="single" w:sz="4" w:space="0" w:color="auto"/>
              <w:left w:val="single" w:sz="4" w:space="0" w:color="auto"/>
              <w:bottom w:val="single" w:sz="4" w:space="0" w:color="auto"/>
              <w:right w:val="single" w:sz="4" w:space="0" w:color="auto"/>
            </w:tcBorders>
          </w:tcPr>
          <w:p w14:paraId="74E27D64" w14:textId="77777777" w:rsidR="004F3E68" w:rsidRDefault="00167A1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FF15B6B" w14:textId="43E362AB" w:rsidR="004F3E68" w:rsidRDefault="00167A18">
            <w:pPr>
              <w:spacing w:line="420" w:lineRule="exact"/>
              <w:rPr>
                <w:rFonts w:ascii="宋体" w:hAnsi="宋体"/>
                <w:bCs/>
                <w:sz w:val="24"/>
              </w:rPr>
            </w:pPr>
            <w:r>
              <w:rPr>
                <w:rFonts w:ascii="宋体" w:hAnsi="宋体"/>
                <w:bCs/>
                <w:sz w:val="24"/>
              </w:rPr>
              <w:t>1</w:t>
            </w:r>
            <w:r>
              <w:rPr>
                <w:rFonts w:ascii="宋体" w:hAnsi="宋体"/>
                <w:bCs/>
                <w:sz w:val="24"/>
              </w:rPr>
              <w:t>、</w:t>
            </w:r>
            <w:r w:rsidR="004D5705">
              <w:rPr>
                <w:rFonts w:ascii="宋体" w:hAnsi="宋体" w:hint="eastAsia"/>
                <w:bCs/>
                <w:sz w:val="24"/>
              </w:rPr>
              <w:t>副董事长、</w:t>
            </w:r>
            <w:r>
              <w:rPr>
                <w:rFonts w:ascii="宋体" w:hAnsi="宋体"/>
                <w:bCs/>
                <w:sz w:val="24"/>
              </w:rPr>
              <w:t>总经理</w:t>
            </w:r>
            <w:r w:rsidR="004D5705">
              <w:rPr>
                <w:rFonts w:ascii="宋体" w:hAnsi="宋体" w:hint="eastAsia"/>
                <w:bCs/>
                <w:sz w:val="24"/>
              </w:rPr>
              <w:t>：</w:t>
            </w:r>
            <w:r>
              <w:rPr>
                <w:rFonts w:ascii="宋体" w:hAnsi="宋体"/>
                <w:bCs/>
                <w:sz w:val="24"/>
              </w:rPr>
              <w:t>余永安</w:t>
            </w:r>
          </w:p>
          <w:p w14:paraId="594CD589" w14:textId="093411BB" w:rsidR="004F3E68" w:rsidRDefault="00167A18">
            <w:pPr>
              <w:spacing w:line="420" w:lineRule="exact"/>
              <w:rPr>
                <w:rFonts w:ascii="宋体" w:hAnsi="宋体"/>
                <w:bCs/>
                <w:sz w:val="24"/>
              </w:rPr>
            </w:pPr>
            <w:r>
              <w:rPr>
                <w:rFonts w:ascii="宋体" w:hAnsi="宋体"/>
                <w:bCs/>
                <w:sz w:val="24"/>
              </w:rPr>
              <w:t>2</w:t>
            </w:r>
            <w:r>
              <w:rPr>
                <w:rFonts w:ascii="宋体" w:hAnsi="宋体"/>
                <w:bCs/>
                <w:sz w:val="24"/>
              </w:rPr>
              <w:t>、财务总监、</w:t>
            </w:r>
            <w:r w:rsidR="004D5705">
              <w:rPr>
                <w:rFonts w:ascii="宋体" w:hAnsi="宋体" w:hint="eastAsia"/>
                <w:bCs/>
                <w:sz w:val="24"/>
              </w:rPr>
              <w:t>董事会秘书：</w:t>
            </w:r>
            <w:r>
              <w:rPr>
                <w:rFonts w:ascii="宋体" w:hAnsi="宋体"/>
                <w:bCs/>
                <w:sz w:val="24"/>
              </w:rPr>
              <w:t>邓卫勇</w:t>
            </w:r>
          </w:p>
          <w:p w14:paraId="73A8D56A" w14:textId="30E1F00D" w:rsidR="004F3E68" w:rsidRDefault="00167A18">
            <w:pPr>
              <w:spacing w:line="420" w:lineRule="exact"/>
              <w:rPr>
                <w:rFonts w:ascii="宋体" w:hAnsi="宋体"/>
                <w:bCs/>
                <w:sz w:val="24"/>
              </w:rPr>
            </w:pPr>
            <w:r>
              <w:rPr>
                <w:rFonts w:ascii="宋体" w:hAnsi="宋体"/>
                <w:bCs/>
                <w:sz w:val="24"/>
              </w:rPr>
              <w:t>3</w:t>
            </w:r>
            <w:r>
              <w:rPr>
                <w:rFonts w:ascii="宋体" w:hAnsi="宋体"/>
                <w:bCs/>
                <w:sz w:val="24"/>
              </w:rPr>
              <w:t>、证券事务代表</w:t>
            </w:r>
            <w:r w:rsidR="004D5705">
              <w:rPr>
                <w:rFonts w:ascii="宋体" w:hAnsi="宋体" w:hint="eastAsia"/>
                <w:bCs/>
                <w:sz w:val="24"/>
              </w:rPr>
              <w:t>：</w:t>
            </w:r>
            <w:r>
              <w:rPr>
                <w:rFonts w:ascii="宋体" w:hAnsi="宋体"/>
                <w:bCs/>
                <w:sz w:val="24"/>
              </w:rPr>
              <w:t>熊文茜</w:t>
            </w:r>
          </w:p>
        </w:tc>
      </w:tr>
      <w:tr w:rsidR="004F3E68" w14:paraId="0A590188" w14:textId="77777777">
        <w:tc>
          <w:tcPr>
            <w:tcW w:w="1908" w:type="dxa"/>
            <w:tcBorders>
              <w:top w:val="single" w:sz="4" w:space="0" w:color="auto"/>
              <w:left w:val="single" w:sz="4" w:space="0" w:color="auto"/>
              <w:bottom w:val="single" w:sz="4" w:space="0" w:color="auto"/>
              <w:right w:val="single" w:sz="4" w:space="0" w:color="auto"/>
            </w:tcBorders>
            <w:vAlign w:val="center"/>
          </w:tcPr>
          <w:p w14:paraId="1A7057FE" w14:textId="77777777" w:rsidR="004F3E68" w:rsidRDefault="00167A18">
            <w:pPr>
              <w:spacing w:line="420" w:lineRule="exact"/>
              <w:rPr>
                <w:bCs/>
                <w:iCs/>
                <w:color w:val="000000"/>
                <w:kern w:val="0"/>
                <w:sz w:val="24"/>
              </w:rPr>
            </w:pPr>
            <w:r>
              <w:rPr>
                <w:rFonts w:hAnsi="宋体"/>
                <w:bCs/>
                <w:iCs/>
                <w:color w:val="000000"/>
                <w:kern w:val="0"/>
                <w:sz w:val="24"/>
              </w:rPr>
              <w:t>投资者关系活动主要内容介绍</w:t>
            </w:r>
          </w:p>
          <w:p w14:paraId="62EC6B69" w14:textId="77777777" w:rsidR="004F3E68" w:rsidRDefault="004F3E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2E18791" w14:textId="77777777" w:rsidR="004F3E68" w:rsidRDefault="00167A18">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411A9925" w14:textId="2D98D7A6" w:rsidR="004F3E68" w:rsidRDefault="00167A18">
            <w:pPr>
              <w:spacing w:line="460" w:lineRule="exact"/>
              <w:ind w:firstLineChars="200" w:firstLine="480"/>
              <w:rPr>
                <w:rFonts w:ascii="宋体" w:hAnsi="宋体"/>
                <w:sz w:val="24"/>
              </w:rPr>
            </w:pPr>
            <w:r>
              <w:rPr>
                <w:rFonts w:ascii="宋体" w:hAnsi="宋体" w:cs="宋体"/>
                <w:sz w:val="24"/>
              </w:rPr>
              <w:t>公司就投资者在本次说明会中提出的问题进行了回复：</w:t>
            </w:r>
          </w:p>
          <w:p w14:paraId="3472079E"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1</w:t>
            </w:r>
            <w:r>
              <w:rPr>
                <w:rFonts w:ascii="宋体" w:hAnsi="宋体"/>
                <w:b/>
                <w:sz w:val="24"/>
                <w:szCs w:val="24"/>
              </w:rPr>
              <w:t>、</w:t>
            </w:r>
            <w:r>
              <w:rPr>
                <w:rFonts w:ascii="宋体" w:hAnsi="宋体"/>
                <w:b/>
                <w:sz w:val="24"/>
                <w:szCs w:val="24"/>
              </w:rPr>
              <w:t>@</w:t>
            </w:r>
            <w:r>
              <w:rPr>
                <w:rFonts w:ascii="宋体" w:hAnsi="宋体"/>
                <w:b/>
                <w:sz w:val="24"/>
                <w:szCs w:val="24"/>
              </w:rPr>
              <w:t>总经理余永安余总您好，据</w:t>
            </w:r>
            <w:r>
              <w:rPr>
                <w:rFonts w:ascii="宋体" w:hAnsi="宋体"/>
                <w:b/>
                <w:sz w:val="24"/>
                <w:szCs w:val="24"/>
              </w:rPr>
              <w:t>25</w:t>
            </w:r>
            <w:r>
              <w:rPr>
                <w:rFonts w:ascii="宋体" w:hAnsi="宋体"/>
                <w:b/>
                <w:sz w:val="24"/>
                <w:szCs w:val="24"/>
              </w:rPr>
              <w:t>年一季度报告提到的该期业绩下滑是由于上游公司的材料供应没到位造成的，那么后续该问题是否能够解决？</w:t>
            </w:r>
            <w:r>
              <w:rPr>
                <w:rFonts w:ascii="宋体" w:hAnsi="宋体"/>
                <w:b/>
                <w:sz w:val="24"/>
                <w:szCs w:val="24"/>
              </w:rPr>
              <w:t>25</w:t>
            </w:r>
            <w:r>
              <w:rPr>
                <w:rFonts w:ascii="宋体" w:hAnsi="宋体"/>
                <w:b/>
                <w:sz w:val="24"/>
                <w:szCs w:val="24"/>
              </w:rPr>
              <w:t>年整体生产计划是否能够超额完成？</w:t>
            </w:r>
          </w:p>
          <w:p w14:paraId="159B16D0" w14:textId="5B95D54B"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尊敬的投资者您好！一季度营收有所下降，主要系上游火工品等原材料交付滞后，影响产品生产及交付进度所致。公司目前各项业务开展良好，在手订单充足。公司根据</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规划及年度目标要求，深刻理解国内外形势变化带来的机遇和挑战，多方式创新性开展工作，咬定目标不放松、群策群力谋发展、多</w:t>
            </w:r>
            <w:proofErr w:type="gramStart"/>
            <w:r>
              <w:rPr>
                <w:rFonts w:ascii="宋体" w:hAnsi="宋体"/>
                <w:sz w:val="24"/>
                <w:szCs w:val="24"/>
              </w:rPr>
              <w:t>措</w:t>
            </w:r>
            <w:proofErr w:type="gramEnd"/>
            <w:r>
              <w:rPr>
                <w:rFonts w:ascii="宋体" w:hAnsi="宋体"/>
                <w:sz w:val="24"/>
                <w:szCs w:val="24"/>
              </w:rPr>
              <w:t>并举控风险；确保全年目标、任务完成。</w:t>
            </w:r>
            <w:r>
              <w:rPr>
                <w:rFonts w:ascii="宋体" w:hAnsi="宋体"/>
                <w:sz w:val="24"/>
                <w:szCs w:val="24"/>
              </w:rPr>
              <w:t>感谢您的关注！</w:t>
            </w:r>
          </w:p>
          <w:p w14:paraId="79C6D7F1"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2</w:t>
            </w:r>
            <w:r>
              <w:rPr>
                <w:rFonts w:ascii="宋体" w:hAnsi="宋体"/>
                <w:b/>
                <w:sz w:val="24"/>
                <w:szCs w:val="24"/>
              </w:rPr>
              <w:t>、请问余总，</w:t>
            </w:r>
            <w:r>
              <w:rPr>
                <w:rFonts w:ascii="宋体" w:hAnsi="宋体"/>
                <w:b/>
                <w:sz w:val="24"/>
                <w:szCs w:val="24"/>
              </w:rPr>
              <w:t>公司产品涉及全氮阴离子盐技术吗？</w:t>
            </w:r>
          </w:p>
          <w:p w14:paraId="5C572319" w14:textId="1E247DDB"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尊敬的投资者您好！公司始终秉持创新驱动发展战略，以技术创新驱动发展，加速动力模块产能释放，深化智能化弹</w:t>
            </w:r>
            <w:r>
              <w:rPr>
                <w:rFonts w:ascii="宋体" w:hAnsi="宋体"/>
                <w:sz w:val="24"/>
                <w:szCs w:val="24"/>
              </w:rPr>
              <w:t>药布局。</w:t>
            </w:r>
            <w:r>
              <w:rPr>
                <w:rFonts w:ascii="宋体" w:hAnsi="宋体"/>
                <w:sz w:val="24"/>
                <w:szCs w:val="24"/>
              </w:rPr>
              <w:lastRenderedPageBreak/>
              <w:t>感谢您的关注！</w:t>
            </w:r>
          </w:p>
          <w:p w14:paraId="15EA5B50"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3</w:t>
            </w:r>
            <w:r>
              <w:rPr>
                <w:rFonts w:ascii="宋体" w:hAnsi="宋体"/>
                <w:b/>
                <w:sz w:val="24"/>
                <w:szCs w:val="24"/>
              </w:rPr>
              <w:t>、余总您好，中长期是否值得投资！国之重器为什么这些股东大幅减持公司股票，难道公司出现业绩问题？谢谢</w:t>
            </w:r>
          </w:p>
          <w:p w14:paraId="5ABDCEBF" w14:textId="77777777"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公司与减持股东保持有效沟通，部分首发股东减持是其根据自身资金需求而做出的决策，减持行为符合相关法律法规的规定。公司管理层一直专注努力提升经营业绩，力争以持续、稳定的良好业绩回报投资者。公司将持续响应新</w:t>
            </w:r>
            <w:r>
              <w:rPr>
                <w:rFonts w:ascii="宋体" w:hAnsi="宋体"/>
                <w:sz w:val="24"/>
                <w:szCs w:val="24"/>
              </w:rPr>
              <w:t>“</w:t>
            </w:r>
            <w:r>
              <w:rPr>
                <w:rFonts w:ascii="宋体" w:hAnsi="宋体"/>
                <w:sz w:val="24"/>
                <w:szCs w:val="24"/>
              </w:rPr>
              <w:t>国九条</w:t>
            </w:r>
            <w:r>
              <w:rPr>
                <w:rFonts w:ascii="宋体" w:hAnsi="宋体"/>
                <w:sz w:val="24"/>
                <w:szCs w:val="24"/>
              </w:rPr>
              <w:t>”</w:t>
            </w:r>
            <w:r>
              <w:rPr>
                <w:rFonts w:ascii="宋体" w:hAnsi="宋体"/>
                <w:sz w:val="24"/>
                <w:szCs w:val="24"/>
              </w:rPr>
              <w:t>的号召，持续践行</w:t>
            </w:r>
            <w:r>
              <w:rPr>
                <w:rFonts w:ascii="宋体" w:hAnsi="宋体"/>
                <w:sz w:val="24"/>
                <w:szCs w:val="24"/>
              </w:rPr>
              <w:t>“</w:t>
            </w:r>
            <w:r>
              <w:rPr>
                <w:rFonts w:ascii="宋体" w:hAnsi="宋体"/>
                <w:sz w:val="24"/>
                <w:szCs w:val="24"/>
              </w:rPr>
              <w:t>长期、稳定、可持续</w:t>
            </w:r>
            <w:r>
              <w:rPr>
                <w:rFonts w:ascii="宋体" w:hAnsi="宋体"/>
                <w:sz w:val="24"/>
                <w:szCs w:val="24"/>
              </w:rPr>
              <w:t>”</w:t>
            </w:r>
            <w:r>
              <w:rPr>
                <w:rFonts w:ascii="宋体" w:hAnsi="宋体"/>
                <w:sz w:val="24"/>
                <w:szCs w:val="24"/>
              </w:rPr>
              <w:t>的股东回报机制，合理运用分红送转、股份回购等多种方式，与广大投资者共享公司的发展成果。感谢您的关注！</w:t>
            </w:r>
          </w:p>
          <w:p w14:paraId="3EB1688D"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4</w:t>
            </w:r>
            <w:r>
              <w:rPr>
                <w:rFonts w:ascii="宋体" w:hAnsi="宋体"/>
                <w:b/>
                <w:sz w:val="24"/>
                <w:szCs w:val="24"/>
              </w:rPr>
              <w:t>、公司</w:t>
            </w:r>
            <w:r>
              <w:rPr>
                <w:rFonts w:ascii="宋体" w:hAnsi="宋体"/>
                <w:b/>
                <w:sz w:val="24"/>
                <w:szCs w:val="24"/>
              </w:rPr>
              <w:t>8</w:t>
            </w:r>
            <w:r>
              <w:rPr>
                <w:rFonts w:ascii="宋体" w:hAnsi="宋体"/>
                <w:b/>
                <w:sz w:val="24"/>
                <w:szCs w:val="24"/>
              </w:rPr>
              <w:t>、</w:t>
            </w:r>
            <w:r>
              <w:rPr>
                <w:rFonts w:ascii="宋体" w:hAnsi="宋体"/>
                <w:b/>
                <w:sz w:val="24"/>
                <w:szCs w:val="24"/>
              </w:rPr>
              <w:t>1</w:t>
            </w:r>
            <w:r>
              <w:rPr>
                <w:rFonts w:ascii="宋体" w:hAnsi="宋体"/>
                <w:b/>
                <w:sz w:val="24"/>
                <w:szCs w:val="24"/>
              </w:rPr>
              <w:t>亿固体发动机动力模块项目，是否已经开工，如果没有还需要多长时间，还有</w:t>
            </w:r>
            <w:r>
              <w:rPr>
                <w:rFonts w:ascii="宋体" w:hAnsi="宋体"/>
                <w:b/>
                <w:sz w:val="24"/>
                <w:szCs w:val="24"/>
              </w:rPr>
              <w:t>3</w:t>
            </w:r>
            <w:r>
              <w:rPr>
                <w:rFonts w:ascii="宋体" w:hAnsi="宋体"/>
                <w:b/>
                <w:sz w:val="24"/>
                <w:szCs w:val="24"/>
              </w:rPr>
              <w:t>、</w:t>
            </w:r>
            <w:r>
              <w:rPr>
                <w:rFonts w:ascii="宋体" w:hAnsi="宋体"/>
                <w:b/>
                <w:sz w:val="24"/>
                <w:szCs w:val="24"/>
              </w:rPr>
              <w:t>4</w:t>
            </w:r>
            <w:r>
              <w:rPr>
                <w:rFonts w:ascii="宋体" w:hAnsi="宋体"/>
                <w:b/>
                <w:sz w:val="24"/>
                <w:szCs w:val="24"/>
              </w:rPr>
              <w:t>亿的航天动力项目进展到什么阶段</w:t>
            </w:r>
          </w:p>
          <w:p w14:paraId="3704CA08" w14:textId="1EB6EDBB"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公司</w:t>
            </w:r>
            <w:r>
              <w:rPr>
                <w:rFonts w:ascii="宋体" w:hAnsi="宋体"/>
                <w:sz w:val="24"/>
                <w:szCs w:val="24"/>
              </w:rPr>
              <w:t>拟投资</w:t>
            </w:r>
            <w:r>
              <w:rPr>
                <w:rFonts w:ascii="宋体" w:hAnsi="宋体"/>
                <w:sz w:val="24"/>
                <w:szCs w:val="24"/>
              </w:rPr>
              <w:t>8.1</w:t>
            </w:r>
            <w:r>
              <w:rPr>
                <w:rFonts w:ascii="宋体" w:hAnsi="宋体"/>
                <w:sz w:val="24"/>
                <w:szCs w:val="24"/>
              </w:rPr>
              <w:t>亿元</w:t>
            </w:r>
            <w:r>
              <w:rPr>
                <w:rFonts w:ascii="宋体" w:hAnsi="宋体"/>
                <w:sz w:val="24"/>
                <w:szCs w:val="24"/>
              </w:rPr>
              <w:t>“</w:t>
            </w:r>
            <w:r>
              <w:rPr>
                <w:rFonts w:ascii="宋体" w:hAnsi="宋体"/>
                <w:sz w:val="24"/>
                <w:szCs w:val="24"/>
              </w:rPr>
              <w:t>动力模块能力建设</w:t>
            </w:r>
            <w:r>
              <w:rPr>
                <w:rFonts w:ascii="宋体" w:hAnsi="宋体"/>
                <w:sz w:val="24"/>
                <w:szCs w:val="24"/>
              </w:rPr>
              <w:t>”</w:t>
            </w:r>
            <w:r>
              <w:rPr>
                <w:rFonts w:ascii="宋体" w:hAnsi="宋体"/>
                <w:sz w:val="24"/>
                <w:szCs w:val="24"/>
              </w:rPr>
              <w:t>项目，用于持续扩大固体发动机动力模块产能，以满足型号研制任务转批产的能力需要，支撑公司规模发展，提升行业地位和抗风险能力，增强公司综合实力。依据国家行业主管部门的预开工的要求，截止目前该项目建设用地征地已完成，土地使用权证正在办理中、部分产线设备订购工作准备中。项目全部建成后，预计投资回收期为</w:t>
            </w:r>
            <w:r>
              <w:rPr>
                <w:rFonts w:ascii="宋体" w:hAnsi="宋体"/>
                <w:sz w:val="24"/>
                <w:szCs w:val="24"/>
              </w:rPr>
              <w:t>5</w:t>
            </w:r>
            <w:r>
              <w:rPr>
                <w:rFonts w:ascii="宋体" w:hAnsi="宋体"/>
                <w:sz w:val="24"/>
                <w:szCs w:val="24"/>
              </w:rPr>
              <w:t>年（含建设期）；</w:t>
            </w:r>
            <w:r>
              <w:rPr>
                <w:rFonts w:ascii="宋体" w:hAnsi="宋体"/>
                <w:sz w:val="24"/>
                <w:szCs w:val="24"/>
              </w:rPr>
              <w:t>“</w:t>
            </w:r>
            <w:r>
              <w:rPr>
                <w:rFonts w:ascii="宋体" w:hAnsi="宋体"/>
                <w:sz w:val="24"/>
                <w:szCs w:val="24"/>
              </w:rPr>
              <w:t>航天动力建设项目</w:t>
            </w:r>
            <w:r>
              <w:rPr>
                <w:rFonts w:ascii="宋体" w:hAnsi="宋体"/>
                <w:sz w:val="24"/>
                <w:szCs w:val="24"/>
              </w:rPr>
              <w:t>”</w:t>
            </w:r>
            <w:r>
              <w:rPr>
                <w:rFonts w:ascii="宋体" w:hAnsi="宋体"/>
                <w:sz w:val="24"/>
                <w:szCs w:val="24"/>
              </w:rPr>
              <w:t>土地目前已完成竞拍，相关建设筹备工作进行中，相关新产品的科研验证工作同步进行；后续进展烦请您关注公司披露的定期公告。感谢您的关注！</w:t>
            </w:r>
          </w:p>
          <w:p w14:paraId="4DC76275"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5</w:t>
            </w:r>
            <w:r>
              <w:rPr>
                <w:rFonts w:ascii="宋体" w:hAnsi="宋体"/>
                <w:b/>
                <w:sz w:val="24"/>
                <w:szCs w:val="24"/>
              </w:rPr>
              <w:t>、</w:t>
            </w:r>
            <w:r>
              <w:rPr>
                <w:rFonts w:ascii="宋体" w:hAnsi="宋体"/>
                <w:b/>
                <w:sz w:val="24"/>
                <w:szCs w:val="24"/>
              </w:rPr>
              <w:t>1</w:t>
            </w:r>
            <w:r>
              <w:rPr>
                <w:rFonts w:ascii="宋体" w:hAnsi="宋体"/>
                <w:b/>
                <w:sz w:val="24"/>
                <w:szCs w:val="24"/>
              </w:rPr>
              <w:t>、公</w:t>
            </w:r>
            <w:r>
              <w:rPr>
                <w:rFonts w:ascii="宋体" w:hAnsi="宋体"/>
                <w:b/>
                <w:sz w:val="24"/>
                <w:szCs w:val="24"/>
              </w:rPr>
              <w:t>司募集项目的达产时间？达产后产值是多少？</w:t>
            </w:r>
            <w:r>
              <w:rPr>
                <w:rFonts w:ascii="宋体" w:hAnsi="宋体"/>
                <w:b/>
                <w:sz w:val="24"/>
                <w:szCs w:val="24"/>
              </w:rPr>
              <w:t>2</w:t>
            </w:r>
            <w:r>
              <w:rPr>
                <w:rFonts w:ascii="宋体" w:hAnsi="宋体"/>
                <w:b/>
                <w:sz w:val="24"/>
                <w:szCs w:val="24"/>
              </w:rPr>
              <w:t>、公司产品是否有出口到海外？</w:t>
            </w:r>
          </w:p>
          <w:p w14:paraId="7518FC44" w14:textId="6ACAE3A4"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公司通过首次公开发行股票募集的资金用于统筹规划建设项目、产品及技术研发投入、补充流动资金及偿还银行贷款等多个项目。这些项目均围绕公司主营业务展开，旨在扩大公司整体规模、优化产品结构、提高生产效率和技术创新能力。其中，统筹规划建设项目：计划投资总额为</w:t>
            </w:r>
            <w:r>
              <w:rPr>
                <w:rFonts w:ascii="宋体" w:hAnsi="宋体"/>
                <w:sz w:val="24"/>
                <w:szCs w:val="24"/>
              </w:rPr>
              <w:t>32,900</w:t>
            </w:r>
            <w:r>
              <w:rPr>
                <w:rFonts w:ascii="宋体" w:hAnsi="宋体"/>
                <w:sz w:val="24"/>
                <w:szCs w:val="24"/>
              </w:rPr>
              <w:t>万</w:t>
            </w:r>
            <w:r>
              <w:rPr>
                <w:rFonts w:ascii="宋体" w:hAnsi="宋体"/>
                <w:sz w:val="24"/>
                <w:szCs w:val="24"/>
              </w:rPr>
              <w:lastRenderedPageBreak/>
              <w:t>元，截至报告期末累计投入</w:t>
            </w:r>
            <w:r>
              <w:rPr>
                <w:rFonts w:ascii="宋体" w:hAnsi="宋体"/>
                <w:sz w:val="24"/>
                <w:szCs w:val="24"/>
              </w:rPr>
              <w:t>25,832.32</w:t>
            </w:r>
            <w:r>
              <w:rPr>
                <w:rFonts w:ascii="宋体" w:hAnsi="宋体"/>
                <w:sz w:val="24"/>
                <w:szCs w:val="24"/>
              </w:rPr>
              <w:t>万元，投入进度为</w:t>
            </w:r>
            <w:r>
              <w:rPr>
                <w:rFonts w:ascii="宋体" w:hAnsi="宋体"/>
                <w:sz w:val="24"/>
                <w:szCs w:val="24"/>
              </w:rPr>
              <w:t>78.52%</w:t>
            </w:r>
            <w:r>
              <w:rPr>
                <w:rFonts w:ascii="宋体" w:hAnsi="宋体"/>
                <w:sz w:val="24"/>
                <w:szCs w:val="24"/>
              </w:rPr>
              <w:t>，该项目预计在</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w:t>
            </w:r>
            <w:r>
              <w:rPr>
                <w:rFonts w:ascii="宋体" w:hAnsi="宋体"/>
                <w:sz w:val="24"/>
                <w:szCs w:val="24"/>
              </w:rPr>
              <w:t>30</w:t>
            </w:r>
            <w:r>
              <w:rPr>
                <w:rFonts w:ascii="宋体" w:hAnsi="宋体"/>
                <w:sz w:val="24"/>
                <w:szCs w:val="24"/>
              </w:rPr>
              <w:t>日前达到可使用状态，建成后的产能可满足现有科研与生产需求；</w:t>
            </w:r>
            <w:r>
              <w:rPr>
                <w:rFonts w:ascii="宋体" w:hAnsi="宋体"/>
                <w:sz w:val="24"/>
                <w:szCs w:val="24"/>
              </w:rPr>
              <w:t>产品及技术研发投入：计划投资总额为</w:t>
            </w:r>
            <w:r>
              <w:rPr>
                <w:rFonts w:ascii="宋体" w:hAnsi="宋体"/>
                <w:sz w:val="24"/>
                <w:szCs w:val="24"/>
              </w:rPr>
              <w:t>19,600</w:t>
            </w:r>
            <w:r>
              <w:rPr>
                <w:rFonts w:ascii="宋体" w:hAnsi="宋体"/>
                <w:sz w:val="24"/>
                <w:szCs w:val="24"/>
              </w:rPr>
              <w:t>万元，截至报告期末累计投入</w:t>
            </w:r>
            <w:r>
              <w:rPr>
                <w:rFonts w:ascii="宋体" w:hAnsi="宋体"/>
                <w:sz w:val="24"/>
                <w:szCs w:val="24"/>
              </w:rPr>
              <w:t>12,946.81</w:t>
            </w:r>
            <w:r>
              <w:rPr>
                <w:rFonts w:ascii="宋体" w:hAnsi="宋体"/>
                <w:sz w:val="24"/>
                <w:szCs w:val="24"/>
              </w:rPr>
              <w:t>万元，投入进度为</w:t>
            </w:r>
            <w:r>
              <w:rPr>
                <w:rFonts w:ascii="宋体" w:hAnsi="宋体"/>
                <w:sz w:val="24"/>
                <w:szCs w:val="24"/>
              </w:rPr>
              <w:t>66.06%</w:t>
            </w:r>
            <w:r>
              <w:rPr>
                <w:rFonts w:ascii="宋体" w:hAnsi="宋体"/>
                <w:sz w:val="24"/>
                <w:szCs w:val="24"/>
              </w:rPr>
              <w:t>；补充流动资金及偿还银行贷款：计划投资总额为</w:t>
            </w:r>
            <w:r>
              <w:rPr>
                <w:rFonts w:ascii="宋体" w:hAnsi="宋体"/>
                <w:sz w:val="24"/>
                <w:szCs w:val="24"/>
              </w:rPr>
              <w:t>22,500</w:t>
            </w:r>
            <w:r>
              <w:rPr>
                <w:rFonts w:ascii="宋体" w:hAnsi="宋体"/>
                <w:sz w:val="24"/>
                <w:szCs w:val="24"/>
              </w:rPr>
              <w:t>万元，截至报告期末累计投入</w:t>
            </w:r>
            <w:r>
              <w:rPr>
                <w:rFonts w:ascii="宋体" w:hAnsi="宋体"/>
                <w:sz w:val="24"/>
                <w:szCs w:val="24"/>
              </w:rPr>
              <w:t>22,500</w:t>
            </w:r>
            <w:r>
              <w:rPr>
                <w:rFonts w:ascii="宋体" w:hAnsi="宋体"/>
                <w:sz w:val="24"/>
                <w:szCs w:val="24"/>
              </w:rPr>
              <w:t>万元，投入进度为</w:t>
            </w:r>
            <w:r>
              <w:rPr>
                <w:rFonts w:ascii="宋体" w:hAnsi="宋体"/>
                <w:sz w:val="24"/>
                <w:szCs w:val="24"/>
              </w:rPr>
              <w:t>100%</w:t>
            </w:r>
            <w:r>
              <w:rPr>
                <w:rFonts w:ascii="宋体" w:hAnsi="宋体"/>
                <w:sz w:val="24"/>
                <w:szCs w:val="24"/>
              </w:rPr>
              <w:t>，该项目已结项。公司将继续推进募投项目的建设，提高募集资金使用效率，争取募投项目早日达产并实现预期收益。同时，公司会持续关注募集资金的实际管理与使用情况，确保合规性和有效性。公司海外业务方面，每年均有军贸业务。近年，公司按国家行业管理要求，在运营风险可控、合规框架下多措并举加</w:t>
            </w:r>
            <w:r>
              <w:rPr>
                <w:rFonts w:ascii="宋体" w:hAnsi="宋体"/>
                <w:sz w:val="24"/>
                <w:szCs w:val="24"/>
              </w:rPr>
              <w:t>大军贸市场开拓。首先，推动现有型号产品出口，同时结合国际需求开发多场景适配新型弹</w:t>
            </w:r>
            <w:r>
              <w:rPr>
                <w:rFonts w:ascii="宋体" w:hAnsi="宋体"/>
                <w:sz w:val="24"/>
                <w:szCs w:val="24"/>
              </w:rPr>
              <w:t>药；其次，依托核心技术与高效制备</w:t>
            </w:r>
            <w:proofErr w:type="gramStart"/>
            <w:r>
              <w:rPr>
                <w:rFonts w:ascii="宋体" w:hAnsi="宋体"/>
                <w:sz w:val="24"/>
                <w:szCs w:val="24"/>
              </w:rPr>
              <w:t>凸</w:t>
            </w:r>
            <w:proofErr w:type="gramEnd"/>
            <w:r>
              <w:rPr>
                <w:rFonts w:ascii="宋体" w:hAnsi="宋体"/>
                <w:sz w:val="24"/>
                <w:szCs w:val="24"/>
              </w:rPr>
              <w:t>显性价比优势，重点推广低成本制导火箭弹等武器装备；</w:t>
            </w:r>
            <w:r>
              <w:rPr>
                <w:rFonts w:ascii="宋体" w:hAnsi="宋体"/>
                <w:sz w:val="24"/>
                <w:szCs w:val="24"/>
              </w:rPr>
              <w:br/>
            </w:r>
            <w:r w:rsidR="00FA679A">
              <w:rPr>
                <w:rFonts w:ascii="宋体" w:hAnsi="宋体" w:hint="eastAsia"/>
                <w:sz w:val="24"/>
                <w:szCs w:val="24"/>
              </w:rPr>
              <w:t xml:space="preserve">    </w:t>
            </w:r>
            <w:r>
              <w:rPr>
                <w:rFonts w:ascii="宋体" w:hAnsi="宋体"/>
                <w:sz w:val="24"/>
                <w:szCs w:val="24"/>
              </w:rPr>
              <w:t>另外，公司积极推广现有产品、技术参与国内行业展会等军品装备交流会深化与军贸公司及国际客户合作，提升公司在国际军贸市场的知名度，增强公司在国际军贸市场的竞争力，从而有效拓宽业务发展空间。感谢您的关注！</w:t>
            </w:r>
          </w:p>
          <w:p w14:paraId="5A92ADC5" w14:textId="048BFA13" w:rsidR="004F3E68" w:rsidRDefault="00167A18">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、你好</w:t>
            </w:r>
            <w:r>
              <w:rPr>
                <w:rFonts w:ascii="宋体" w:hAnsi="宋体"/>
                <w:b/>
                <w:sz w:val="24"/>
                <w:szCs w:val="24"/>
              </w:rPr>
              <w:t>请问前年投入的</w:t>
            </w:r>
            <w:r>
              <w:rPr>
                <w:rFonts w:ascii="宋体" w:hAnsi="宋体"/>
                <w:b/>
                <w:sz w:val="24"/>
                <w:szCs w:val="24"/>
              </w:rPr>
              <w:t>8.1</w:t>
            </w:r>
            <w:r>
              <w:rPr>
                <w:rFonts w:ascii="宋体" w:hAnsi="宋体"/>
                <w:b/>
                <w:sz w:val="24"/>
                <w:szCs w:val="24"/>
              </w:rPr>
              <w:t>亿，进展如何？</w:t>
            </w:r>
          </w:p>
          <w:p w14:paraId="48213C27" w14:textId="77777777"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尊敬的投资者您好！公司拟投资</w:t>
            </w:r>
            <w:r>
              <w:rPr>
                <w:rFonts w:ascii="宋体" w:hAnsi="宋体"/>
                <w:sz w:val="24"/>
                <w:szCs w:val="24"/>
              </w:rPr>
              <w:t>8.1</w:t>
            </w:r>
            <w:r>
              <w:rPr>
                <w:rFonts w:ascii="宋体" w:hAnsi="宋体"/>
                <w:sz w:val="24"/>
                <w:szCs w:val="24"/>
              </w:rPr>
              <w:t>亿元</w:t>
            </w:r>
            <w:r>
              <w:rPr>
                <w:rFonts w:ascii="宋体" w:hAnsi="宋体"/>
                <w:sz w:val="24"/>
                <w:szCs w:val="24"/>
              </w:rPr>
              <w:t>“</w:t>
            </w:r>
            <w:r>
              <w:rPr>
                <w:rFonts w:ascii="宋体" w:hAnsi="宋体"/>
                <w:sz w:val="24"/>
                <w:szCs w:val="24"/>
              </w:rPr>
              <w:t>动力模块能力建设</w:t>
            </w:r>
            <w:r>
              <w:rPr>
                <w:rFonts w:ascii="宋体" w:hAnsi="宋体"/>
                <w:sz w:val="24"/>
                <w:szCs w:val="24"/>
              </w:rPr>
              <w:t>”</w:t>
            </w:r>
            <w:r>
              <w:rPr>
                <w:rFonts w:ascii="宋体" w:hAnsi="宋体"/>
                <w:sz w:val="24"/>
                <w:szCs w:val="24"/>
              </w:rPr>
              <w:t>项目，依据国家行业主管部门的预开工的要求，截止目前该项目建设用地征地已完成，土地使用权证正在办理中、部分产线设备订购工作准备中。感谢您的关注！</w:t>
            </w:r>
          </w:p>
          <w:p w14:paraId="3E0D78FD"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7</w:t>
            </w:r>
            <w:r>
              <w:rPr>
                <w:rFonts w:ascii="宋体" w:hAnsi="宋体"/>
                <w:b/>
                <w:sz w:val="24"/>
                <w:szCs w:val="24"/>
              </w:rPr>
              <w:t>、国科军工</w:t>
            </w:r>
            <w:r>
              <w:rPr>
                <w:rFonts w:ascii="宋体" w:hAnsi="宋体"/>
                <w:b/>
                <w:sz w:val="24"/>
                <w:szCs w:val="24"/>
              </w:rPr>
              <w:t>8</w:t>
            </w:r>
            <w:r>
              <w:rPr>
                <w:rFonts w:ascii="宋体" w:hAnsi="宋体"/>
                <w:b/>
                <w:sz w:val="24"/>
                <w:szCs w:val="24"/>
              </w:rPr>
              <w:t>亿固体发动机模块募集项目什么时间开工，为什么拖了这么长时间，为何审批这么长时间；</w:t>
            </w:r>
            <w:r>
              <w:rPr>
                <w:rFonts w:ascii="宋体" w:hAnsi="宋体"/>
                <w:b/>
                <w:sz w:val="24"/>
                <w:szCs w:val="24"/>
              </w:rPr>
              <w:t>3.4</w:t>
            </w:r>
            <w:r>
              <w:rPr>
                <w:rFonts w:ascii="宋体" w:hAnsi="宋体"/>
                <w:b/>
                <w:sz w:val="24"/>
                <w:szCs w:val="24"/>
              </w:rPr>
              <w:t>亿航天动力项目进展到什么阶段</w:t>
            </w:r>
          </w:p>
          <w:p w14:paraId="25E74D11" w14:textId="0905692C"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公司拟投资</w:t>
            </w:r>
            <w:r>
              <w:rPr>
                <w:rFonts w:ascii="宋体" w:hAnsi="宋体"/>
                <w:sz w:val="24"/>
                <w:szCs w:val="24"/>
              </w:rPr>
              <w:t>8.1</w:t>
            </w:r>
            <w:r>
              <w:rPr>
                <w:rFonts w:ascii="宋体" w:hAnsi="宋体"/>
                <w:sz w:val="24"/>
                <w:szCs w:val="24"/>
              </w:rPr>
              <w:t>亿元</w:t>
            </w:r>
            <w:r>
              <w:rPr>
                <w:rFonts w:ascii="宋体" w:hAnsi="宋体"/>
                <w:sz w:val="24"/>
                <w:szCs w:val="24"/>
              </w:rPr>
              <w:t>“</w:t>
            </w:r>
            <w:r>
              <w:rPr>
                <w:rFonts w:ascii="宋体" w:hAnsi="宋体"/>
                <w:sz w:val="24"/>
                <w:szCs w:val="24"/>
              </w:rPr>
              <w:t>动力模块能力建设</w:t>
            </w:r>
            <w:r>
              <w:rPr>
                <w:rFonts w:ascii="宋体" w:hAnsi="宋体"/>
                <w:sz w:val="24"/>
                <w:szCs w:val="24"/>
              </w:rPr>
              <w:t>”</w:t>
            </w:r>
            <w:r>
              <w:rPr>
                <w:rFonts w:ascii="宋体" w:hAnsi="宋体"/>
                <w:sz w:val="24"/>
                <w:szCs w:val="24"/>
              </w:rPr>
              <w:t>项目，用于持续扩大固体发动机动力模块产能，以满足型号研制任务转批产的能力需要，支撑公司规模发展，提升行业地位</w:t>
            </w:r>
            <w:r>
              <w:rPr>
                <w:rFonts w:ascii="宋体" w:hAnsi="宋体"/>
                <w:sz w:val="24"/>
                <w:szCs w:val="24"/>
              </w:rPr>
              <w:lastRenderedPageBreak/>
              <w:t>和抗风险能力</w:t>
            </w:r>
            <w:r>
              <w:rPr>
                <w:rFonts w:ascii="宋体" w:hAnsi="宋体"/>
                <w:sz w:val="24"/>
                <w:szCs w:val="24"/>
              </w:rPr>
              <w:t>，增强公司综合实力。依据国家行业主管部门的预开工的要求，截止目前该项目建设用地征地已完成，土地使用权证正在办理中、部分产线设备订购工作准备中。项目全部建成后，预计投资回收期为</w:t>
            </w:r>
            <w:r>
              <w:rPr>
                <w:rFonts w:ascii="宋体" w:hAnsi="宋体"/>
                <w:sz w:val="24"/>
                <w:szCs w:val="24"/>
              </w:rPr>
              <w:t>5</w:t>
            </w:r>
            <w:r>
              <w:rPr>
                <w:rFonts w:ascii="宋体" w:hAnsi="宋体"/>
                <w:sz w:val="24"/>
                <w:szCs w:val="24"/>
              </w:rPr>
              <w:t>年（含建设期）；</w:t>
            </w:r>
            <w:r>
              <w:rPr>
                <w:rFonts w:ascii="宋体" w:hAnsi="宋体"/>
                <w:sz w:val="24"/>
                <w:szCs w:val="24"/>
              </w:rPr>
              <w:br/>
              <w:t>“</w:t>
            </w:r>
            <w:r>
              <w:rPr>
                <w:rFonts w:ascii="宋体" w:hAnsi="宋体"/>
                <w:sz w:val="24"/>
                <w:szCs w:val="24"/>
              </w:rPr>
              <w:t>航天动力建设项目</w:t>
            </w:r>
            <w:r>
              <w:rPr>
                <w:rFonts w:ascii="宋体" w:hAnsi="宋体"/>
                <w:sz w:val="24"/>
                <w:szCs w:val="24"/>
              </w:rPr>
              <w:t>”</w:t>
            </w:r>
            <w:r>
              <w:rPr>
                <w:rFonts w:ascii="宋体" w:hAnsi="宋体"/>
                <w:sz w:val="24"/>
                <w:szCs w:val="24"/>
              </w:rPr>
              <w:t>土地目前已完成竞拍，相关建设筹备工作进行中，相关新产品的科研验证工作同步进行；后续进展烦请您关注公司披露的定期公告。感谢您的关注！</w:t>
            </w:r>
          </w:p>
          <w:p w14:paraId="35843FC5"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8</w:t>
            </w:r>
            <w:r>
              <w:rPr>
                <w:rFonts w:ascii="宋体" w:hAnsi="宋体"/>
                <w:b/>
                <w:sz w:val="24"/>
                <w:szCs w:val="24"/>
              </w:rPr>
              <w:t>、公司业绩每年都在增长，公司高端人才稳定及更新培养新人增加新鲜血液与其他公司有何不同，只要公司能创造更多的财富对等的报酬是怎样匹配的。</w:t>
            </w:r>
          </w:p>
          <w:p w14:paraId="2D8F440E" w14:textId="77777777"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br/>
            </w:r>
            <w:r>
              <w:rPr>
                <w:rFonts w:ascii="宋体" w:hAnsi="宋体"/>
                <w:sz w:val="24"/>
                <w:szCs w:val="24"/>
              </w:rPr>
              <w:t>公司汇聚</w:t>
            </w:r>
            <w:r>
              <w:rPr>
                <w:rFonts w:ascii="宋体" w:hAnsi="宋体"/>
                <w:sz w:val="24"/>
                <w:szCs w:val="24"/>
              </w:rPr>
              <w:t>了一支由行业顶尖专家领衔的高素质研发队伍，凭借深厚的专业知识与丰富的实践经验，为攻克各类复杂技术难题奠定了坚实基础。在人才培养与引进方面，公司积极作为，构建完善的内部人才培养体系，为员工提供丰富的培训与晋升机会，激励员工不断提升专业技能；并积极从外部招揽行业优秀人才。仅</w:t>
            </w:r>
            <w:r>
              <w:rPr>
                <w:rFonts w:ascii="宋体" w:hAnsi="宋体"/>
                <w:sz w:val="24"/>
                <w:szCs w:val="24"/>
              </w:rPr>
              <w:t>2024</w:t>
            </w:r>
            <w:r>
              <w:rPr>
                <w:rFonts w:ascii="宋体" w:hAnsi="宋体"/>
                <w:sz w:val="24"/>
                <w:szCs w:val="24"/>
              </w:rPr>
              <w:t>年，公司为科研、专业管理招聘的硕士研究生近</w:t>
            </w:r>
            <w:r>
              <w:rPr>
                <w:rFonts w:ascii="宋体" w:hAnsi="宋体"/>
                <w:sz w:val="24"/>
                <w:szCs w:val="24"/>
              </w:rPr>
              <w:t>50</w:t>
            </w:r>
            <w:r>
              <w:rPr>
                <w:rFonts w:ascii="宋体" w:hAnsi="宋体"/>
                <w:sz w:val="24"/>
                <w:szCs w:val="24"/>
              </w:rPr>
              <w:t>余人，持续完善吸引和留住核心技术人才队伍建设制度和薪酬激励机制。同时，公司与国家重点军工装备科研机构、军工单位等院校建立了产学研用深度合作与工作机制，进一步拓宽人才培养渠道，优化人才结构。</w:t>
            </w:r>
            <w:r>
              <w:rPr>
                <w:rFonts w:ascii="宋体" w:hAnsi="宋体"/>
                <w:sz w:val="24"/>
                <w:szCs w:val="24"/>
              </w:rPr>
              <w:t>为公司技术研发提供精干的团队支持。感谢您的关注！</w:t>
            </w:r>
          </w:p>
          <w:p w14:paraId="6C329E9B"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9</w:t>
            </w:r>
            <w:r>
              <w:rPr>
                <w:rFonts w:ascii="宋体" w:hAnsi="宋体"/>
                <w:b/>
                <w:sz w:val="24"/>
                <w:szCs w:val="24"/>
              </w:rPr>
              <w:t>、请问公司在并购重组方面，存在集团注入优质资产的可能吗？</w:t>
            </w:r>
          </w:p>
          <w:p w14:paraId="6CFB921F" w14:textId="77777777"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br/>
            </w:r>
            <w:r>
              <w:rPr>
                <w:rFonts w:ascii="宋体" w:hAnsi="宋体"/>
                <w:sz w:val="24"/>
                <w:szCs w:val="24"/>
              </w:rPr>
              <w:t>公司一直围绕现有主责高质量发展，同时寻求对具有产业协同的优质产业标的并购重组、投资入股等产业扩张机会。后期有相关并购重组进展情况公司将及时公告。感谢您的关注！</w:t>
            </w:r>
          </w:p>
          <w:p w14:paraId="0A21AC2C" w14:textId="77777777" w:rsidR="004F3E68" w:rsidRDefault="00167A18" w:rsidP="00F90CDD">
            <w:pPr>
              <w:pStyle w:val="Style6"/>
              <w:spacing w:line="460" w:lineRule="exact"/>
              <w:ind w:firstLineChars="0"/>
              <w:rPr>
                <w:rFonts w:ascii="宋体" w:hAnsi="宋体"/>
                <w:b/>
                <w:sz w:val="24"/>
                <w:szCs w:val="24"/>
              </w:rPr>
            </w:pPr>
            <w:r>
              <w:rPr>
                <w:rFonts w:ascii="宋体" w:hAnsi="宋体"/>
                <w:b/>
                <w:sz w:val="24"/>
                <w:szCs w:val="24"/>
              </w:rPr>
              <w:t>10</w:t>
            </w:r>
            <w:r>
              <w:rPr>
                <w:rFonts w:ascii="宋体" w:hAnsi="宋体"/>
                <w:b/>
                <w:sz w:val="24"/>
                <w:szCs w:val="24"/>
              </w:rPr>
              <w:t>、公司现在资金充足，即使不够也可增发融资，为什么不在国家强力需要，大力支持的军工领域广纳贤才，收购兼并，打</w:t>
            </w:r>
            <w:r>
              <w:rPr>
                <w:rFonts w:ascii="宋体" w:hAnsi="宋体"/>
                <w:b/>
                <w:sz w:val="24"/>
                <w:szCs w:val="24"/>
              </w:rPr>
              <w:lastRenderedPageBreak/>
              <w:t>通上下游，将公司做大做强，做成中国的雷神</w:t>
            </w:r>
          </w:p>
          <w:p w14:paraId="48D6BFAB" w14:textId="77777777" w:rsidR="004F3E68" w:rsidRDefault="00167A18">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br/>
            </w:r>
            <w:r>
              <w:rPr>
                <w:rFonts w:ascii="宋体" w:hAnsi="宋体"/>
                <w:sz w:val="24"/>
                <w:szCs w:val="24"/>
              </w:rPr>
              <w:t>公司高度重视围绕现有主责主业强链、补链的高质量发展</w:t>
            </w:r>
            <w:r>
              <w:rPr>
                <w:rFonts w:ascii="宋体" w:hAnsi="宋体"/>
                <w:sz w:val="24"/>
                <w:szCs w:val="24"/>
              </w:rPr>
              <w:t>，并以产业协同为目标，关注相关优质产业标的寻求并购整合、投资入股等产业扩张机会，积极响应</w:t>
            </w:r>
            <w:r>
              <w:rPr>
                <w:rFonts w:ascii="宋体" w:hAnsi="宋体"/>
                <w:sz w:val="24"/>
                <w:szCs w:val="24"/>
              </w:rPr>
              <w:t>“</w:t>
            </w:r>
            <w:r>
              <w:rPr>
                <w:rFonts w:ascii="宋体" w:hAnsi="宋体"/>
                <w:sz w:val="24"/>
                <w:szCs w:val="24"/>
              </w:rPr>
              <w:t>并购六条</w:t>
            </w:r>
            <w:r>
              <w:rPr>
                <w:rFonts w:ascii="宋体" w:hAnsi="宋体"/>
                <w:sz w:val="24"/>
                <w:szCs w:val="24"/>
              </w:rPr>
              <w:t>”</w:t>
            </w:r>
            <w:r>
              <w:rPr>
                <w:rFonts w:ascii="宋体" w:hAnsi="宋体"/>
                <w:sz w:val="24"/>
                <w:szCs w:val="24"/>
              </w:rPr>
              <w:t>等最新政策文件，做大做强公司产业。感谢您的关注！</w:t>
            </w:r>
          </w:p>
          <w:p w14:paraId="7183D8FC" w14:textId="77777777" w:rsidR="004F3E68" w:rsidRDefault="004F3E68">
            <w:pPr>
              <w:pStyle w:val="Style6"/>
              <w:spacing w:line="460" w:lineRule="exact"/>
              <w:ind w:leftChars="-1" w:left="-2" w:firstLine="480"/>
              <w:rPr>
                <w:rFonts w:ascii="宋体" w:hAnsi="宋体"/>
                <w:sz w:val="24"/>
                <w:szCs w:val="24"/>
              </w:rPr>
            </w:pPr>
          </w:p>
          <w:p w14:paraId="6A2841E4" w14:textId="77777777" w:rsidR="004F3E68" w:rsidRDefault="004F3E68">
            <w:pPr>
              <w:pStyle w:val="Style6"/>
              <w:spacing w:line="460" w:lineRule="exact"/>
              <w:ind w:firstLineChars="50" w:firstLine="120"/>
              <w:rPr>
                <w:rFonts w:ascii="宋体" w:hAnsi="宋体"/>
                <w:sz w:val="24"/>
                <w:szCs w:val="24"/>
              </w:rPr>
            </w:pPr>
          </w:p>
          <w:p w14:paraId="2574BBE5" w14:textId="77777777" w:rsidR="004F3E68" w:rsidRDefault="004F3E68">
            <w:pPr>
              <w:adjustRightInd w:val="0"/>
              <w:snapToGrid w:val="0"/>
              <w:spacing w:line="500" w:lineRule="exact"/>
              <w:rPr>
                <w:rFonts w:ascii="宋体" w:hAnsi="宋体"/>
                <w:bCs/>
                <w:iCs/>
                <w:color w:val="000000"/>
                <w:sz w:val="24"/>
              </w:rPr>
            </w:pPr>
          </w:p>
        </w:tc>
      </w:tr>
      <w:tr w:rsidR="004F3E68" w14:paraId="445E8B74" w14:textId="77777777">
        <w:tc>
          <w:tcPr>
            <w:tcW w:w="1908" w:type="dxa"/>
            <w:tcBorders>
              <w:top w:val="single" w:sz="4" w:space="0" w:color="auto"/>
              <w:left w:val="single" w:sz="4" w:space="0" w:color="auto"/>
              <w:bottom w:val="single" w:sz="4" w:space="0" w:color="auto"/>
              <w:right w:val="single" w:sz="4" w:space="0" w:color="auto"/>
            </w:tcBorders>
            <w:vAlign w:val="center"/>
          </w:tcPr>
          <w:p w14:paraId="139C80DF" w14:textId="77777777" w:rsidR="004F3E68" w:rsidRDefault="00167A18">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7608A2E8" w14:textId="77777777" w:rsidR="004F3E68" w:rsidRDefault="004F3E68">
            <w:pPr>
              <w:spacing w:line="420" w:lineRule="exact"/>
              <w:rPr>
                <w:bCs/>
                <w:iCs/>
                <w:color w:val="000000"/>
                <w:sz w:val="24"/>
              </w:rPr>
            </w:pPr>
          </w:p>
        </w:tc>
      </w:tr>
      <w:tr w:rsidR="004F3E68" w14:paraId="309A0A69" w14:textId="77777777">
        <w:tc>
          <w:tcPr>
            <w:tcW w:w="1908" w:type="dxa"/>
            <w:tcBorders>
              <w:top w:val="single" w:sz="4" w:space="0" w:color="auto"/>
              <w:left w:val="single" w:sz="4" w:space="0" w:color="auto"/>
              <w:bottom w:val="single" w:sz="4" w:space="0" w:color="auto"/>
              <w:right w:val="single" w:sz="4" w:space="0" w:color="auto"/>
            </w:tcBorders>
            <w:vAlign w:val="center"/>
          </w:tcPr>
          <w:p w14:paraId="7A18ADA4" w14:textId="77777777" w:rsidR="004F3E68" w:rsidRDefault="00167A18">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1FCA57E1" w14:textId="77777777" w:rsidR="004F3E68" w:rsidRDefault="00167A18">
            <w:pPr>
              <w:spacing w:line="420" w:lineRule="exact"/>
              <w:rPr>
                <w:bCs/>
                <w:iCs/>
                <w:color w:val="000000"/>
                <w:sz w:val="24"/>
              </w:rPr>
            </w:pPr>
            <w:r>
              <w:rPr>
                <w:bCs/>
                <w:iCs/>
                <w:color w:val="000000"/>
                <w:sz w:val="24"/>
              </w:rPr>
              <w:t>2025-05-21 17:05:24</w:t>
            </w:r>
          </w:p>
        </w:tc>
      </w:tr>
    </w:tbl>
    <w:p w14:paraId="208E366A" w14:textId="77777777" w:rsidR="004F3E68" w:rsidRDefault="004F3E68"/>
    <w:sectPr w:rsidR="004F3E6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0580E" w14:textId="77777777" w:rsidR="00167A18" w:rsidRDefault="00167A18">
      <w:r>
        <w:separator/>
      </w:r>
    </w:p>
  </w:endnote>
  <w:endnote w:type="continuationSeparator" w:id="0">
    <w:p w14:paraId="32E7B30B" w14:textId="77777777" w:rsidR="00167A18" w:rsidRDefault="0016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B2F80" w14:textId="77777777" w:rsidR="004F3E68" w:rsidRDefault="00167A18">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21F4A" w14:textId="77777777" w:rsidR="00167A18" w:rsidRDefault="00167A18">
      <w:r>
        <w:separator/>
      </w:r>
    </w:p>
  </w:footnote>
  <w:footnote w:type="continuationSeparator" w:id="0">
    <w:p w14:paraId="6155067F" w14:textId="77777777" w:rsidR="00167A18" w:rsidRDefault="0016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3604" w14:textId="77777777" w:rsidR="004F3E68" w:rsidRDefault="00167A18">
    <w:pPr>
      <w:pStyle w:val="a4"/>
      <w:pBdr>
        <w:bottom w:val="none" w:sz="0" w:space="0" w:color="auto"/>
      </w:pBdr>
      <w:jc w:val="left"/>
    </w:pPr>
    <w:r>
      <w:rPr>
        <w:noProof/>
      </w:rPr>
      <w:drawing>
        <wp:inline distT="0" distB="0" distL="114300" distR="114300" wp14:anchorId="2C375D5A" wp14:editId="63052274">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萌萌 吴">
    <w15:presenceInfo w15:providerId="Windows Live" w15:userId="9af2e53767652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27E62"/>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A18"/>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40C57"/>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5705"/>
    <w:rsid w:val="004D7640"/>
    <w:rsid w:val="004E1A9B"/>
    <w:rsid w:val="004F3E68"/>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47CBD"/>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02E4"/>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0CDD"/>
    <w:rsid w:val="00F9272E"/>
    <w:rsid w:val="00F97743"/>
    <w:rsid w:val="00FA679A"/>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3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Revision"/>
    <w:hidden/>
    <w:uiPriority w:val="99"/>
    <w:unhideWhenUsed/>
    <w:rsid w:val="004D5705"/>
    <w:rPr>
      <w:kern w:val="2"/>
      <w:sz w:val="21"/>
      <w:szCs w:val="24"/>
    </w:rPr>
  </w:style>
  <w:style w:type="paragraph" w:styleId="a6">
    <w:name w:val="Balloon Text"/>
    <w:basedOn w:val="a"/>
    <w:link w:val="Char1"/>
    <w:rsid w:val="00F90CDD"/>
    <w:rPr>
      <w:sz w:val="18"/>
      <w:szCs w:val="18"/>
    </w:rPr>
  </w:style>
  <w:style w:type="character" w:customStyle="1" w:styleId="Char1">
    <w:name w:val="批注框文本 Char"/>
    <w:basedOn w:val="a0"/>
    <w:link w:val="a6"/>
    <w:rsid w:val="00F90C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Revision"/>
    <w:hidden/>
    <w:uiPriority w:val="99"/>
    <w:unhideWhenUsed/>
    <w:rsid w:val="004D5705"/>
    <w:rPr>
      <w:kern w:val="2"/>
      <w:sz w:val="21"/>
      <w:szCs w:val="24"/>
    </w:rPr>
  </w:style>
  <w:style w:type="paragraph" w:styleId="a6">
    <w:name w:val="Balloon Text"/>
    <w:basedOn w:val="a"/>
    <w:link w:val="Char1"/>
    <w:rsid w:val="00F90CDD"/>
    <w:rPr>
      <w:sz w:val="18"/>
      <w:szCs w:val="18"/>
    </w:rPr>
  </w:style>
  <w:style w:type="character" w:customStyle="1" w:styleId="Char1">
    <w:name w:val="批注框文本 Char"/>
    <w:basedOn w:val="a0"/>
    <w:link w:val="a6"/>
    <w:rsid w:val="00F90C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CF160-A42A-4A98-901C-B5353705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481</Words>
  <Characters>2742</Characters>
  <Application>Microsoft Office Word</Application>
  <DocSecurity>0</DocSecurity>
  <Lines>22</Lines>
  <Paragraphs>6</Paragraphs>
  <ScaleCrop>false</ScaleCrop>
  <Company>微软中国</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GK</cp:lastModifiedBy>
  <cp:revision>5</cp:revision>
  <cp:lastPrinted>2014-02-21T05:34:00Z</cp:lastPrinted>
  <dcterms:created xsi:type="dcterms:W3CDTF">2025-05-22T05:55:00Z</dcterms:created>
  <dcterms:modified xsi:type="dcterms:W3CDTF">2025-05-22T07:34:00Z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