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02F2" w14:textId="77777777" w:rsidR="00FA5826" w:rsidRDefault="005C66B7">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688269                             </w:t>
      </w:r>
      <w:r>
        <w:rPr>
          <w:rFonts w:hAnsi="宋体"/>
          <w:bCs/>
          <w:iCs/>
          <w:color w:val="000000"/>
          <w:sz w:val="24"/>
        </w:rPr>
        <w:t>证券简称：</w:t>
      </w:r>
      <w:r>
        <w:rPr>
          <w:color w:val="000000"/>
          <w:sz w:val="24"/>
        </w:rPr>
        <w:t>凯立新材</w:t>
      </w:r>
    </w:p>
    <w:p w14:paraId="707D0A7A" w14:textId="77777777" w:rsidR="00FA5826" w:rsidRDefault="005C66B7">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西安凯立新材料股份有限公司</w:t>
      </w:r>
      <w:r>
        <w:rPr>
          <w:rFonts w:ascii="宋体" w:hAnsi="宋体" w:hint="eastAsia"/>
          <w:b/>
          <w:bCs/>
          <w:iCs/>
          <w:color w:val="000000"/>
          <w:sz w:val="32"/>
          <w:szCs w:val="32"/>
        </w:rPr>
        <w:t>投资者关系活动记录表</w:t>
      </w:r>
    </w:p>
    <w:p w14:paraId="0807E13C" w14:textId="77777777" w:rsidR="00FA5826" w:rsidRDefault="005C66B7">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FA5826" w14:paraId="6992706E" w14:textId="77777777">
        <w:tc>
          <w:tcPr>
            <w:tcW w:w="1908" w:type="dxa"/>
            <w:tcBorders>
              <w:top w:val="single" w:sz="4" w:space="0" w:color="auto"/>
              <w:left w:val="single" w:sz="4" w:space="0" w:color="auto"/>
              <w:bottom w:val="single" w:sz="4" w:space="0" w:color="auto"/>
              <w:right w:val="single" w:sz="4" w:space="0" w:color="auto"/>
            </w:tcBorders>
          </w:tcPr>
          <w:p w14:paraId="31587877" w14:textId="77777777" w:rsidR="00FA5826" w:rsidRDefault="005C66B7">
            <w:pPr>
              <w:spacing w:line="420" w:lineRule="exact"/>
              <w:rPr>
                <w:bCs/>
                <w:iCs/>
                <w:color w:val="000000"/>
                <w:kern w:val="0"/>
                <w:sz w:val="24"/>
              </w:rPr>
            </w:pPr>
            <w:r>
              <w:rPr>
                <w:rFonts w:hAnsi="宋体"/>
                <w:bCs/>
                <w:iCs/>
                <w:color w:val="000000"/>
                <w:kern w:val="0"/>
                <w:sz w:val="24"/>
              </w:rPr>
              <w:t>投资者关系活动类别</w:t>
            </w:r>
          </w:p>
          <w:p w14:paraId="2A123384" w14:textId="77777777" w:rsidR="00FA5826" w:rsidRDefault="00FA582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74F10F8" w14:textId="77777777" w:rsidR="00FA5826" w:rsidRDefault="005C66B7">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4F4AAE8B" w14:textId="77777777" w:rsidR="00FA5826" w:rsidRDefault="005C66B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F16EA07" w14:textId="77777777" w:rsidR="00FA5826" w:rsidRDefault="005C66B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2D1CFF16" w14:textId="44C53D94" w:rsidR="00FA5826" w:rsidRDefault="002F6542">
            <w:pPr>
              <w:tabs>
                <w:tab w:val="left" w:pos="3045"/>
                <w:tab w:val="center" w:pos="3199"/>
              </w:tabs>
              <w:spacing w:line="420" w:lineRule="exact"/>
              <w:rPr>
                <w:bCs/>
                <w:iCs/>
                <w:color w:val="000000"/>
                <w:kern w:val="0"/>
                <w:sz w:val="24"/>
              </w:rPr>
            </w:pPr>
            <w:r>
              <w:rPr>
                <w:bCs/>
                <w:iCs/>
                <w:color w:val="000000"/>
                <w:kern w:val="0"/>
                <w:sz w:val="24"/>
              </w:rPr>
              <w:t>√</w:t>
            </w:r>
            <w:r w:rsidR="005C66B7">
              <w:rPr>
                <w:rFonts w:hint="eastAsia"/>
                <w:bCs/>
                <w:iCs/>
                <w:color w:val="000000"/>
                <w:kern w:val="0"/>
                <w:sz w:val="24"/>
              </w:rPr>
              <w:t xml:space="preserve"> </w:t>
            </w:r>
            <w:r w:rsidR="005C66B7">
              <w:rPr>
                <w:rFonts w:hAnsi="宋体"/>
                <w:kern w:val="0"/>
                <w:sz w:val="24"/>
              </w:rPr>
              <w:t>现场参观</w:t>
            </w:r>
            <w:r w:rsidR="005C66B7">
              <w:rPr>
                <w:bCs/>
                <w:iCs/>
                <w:color w:val="000000"/>
                <w:kern w:val="0"/>
                <w:sz w:val="24"/>
              </w:rPr>
              <w:tab/>
            </w:r>
          </w:p>
          <w:p w14:paraId="4C72C23D" w14:textId="77777777" w:rsidR="00FA5826" w:rsidRDefault="005C66B7">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FA5826" w14:paraId="6EADEF1E" w14:textId="77777777">
        <w:tc>
          <w:tcPr>
            <w:tcW w:w="1908" w:type="dxa"/>
            <w:tcBorders>
              <w:top w:val="single" w:sz="4" w:space="0" w:color="auto"/>
              <w:left w:val="single" w:sz="4" w:space="0" w:color="auto"/>
              <w:bottom w:val="single" w:sz="4" w:space="0" w:color="auto"/>
              <w:right w:val="single" w:sz="4" w:space="0" w:color="auto"/>
            </w:tcBorders>
          </w:tcPr>
          <w:p w14:paraId="31F016BC" w14:textId="77777777" w:rsidR="00FA5826" w:rsidRDefault="005C66B7">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62A4FDEA" w14:textId="6CCFBACD" w:rsidR="00FA5826" w:rsidRDefault="005C66B7">
            <w:pPr>
              <w:spacing w:line="420" w:lineRule="exact"/>
              <w:rPr>
                <w:bCs/>
                <w:iCs/>
                <w:color w:val="000000"/>
                <w:sz w:val="24"/>
                <w:lang w:val="en-GB"/>
              </w:rPr>
            </w:pPr>
            <w:r>
              <w:rPr>
                <w:rFonts w:hint="eastAsia"/>
                <w:bCs/>
                <w:iCs/>
                <w:color w:val="000000"/>
                <w:sz w:val="24"/>
                <w:lang w:val="en-GB"/>
              </w:rPr>
              <w:t>投资者</w:t>
            </w:r>
            <w:r w:rsidR="0080561E">
              <w:rPr>
                <w:rFonts w:hint="eastAsia"/>
                <w:bCs/>
                <w:iCs/>
                <w:color w:val="000000"/>
                <w:sz w:val="24"/>
                <w:lang w:val="en-GB"/>
              </w:rPr>
              <w:t>线下及</w:t>
            </w:r>
            <w:r>
              <w:rPr>
                <w:rFonts w:hint="eastAsia"/>
                <w:bCs/>
                <w:iCs/>
                <w:color w:val="000000"/>
                <w:sz w:val="24"/>
                <w:lang w:val="en-GB"/>
              </w:rPr>
              <w:t>网上提问</w:t>
            </w:r>
          </w:p>
        </w:tc>
      </w:tr>
      <w:tr w:rsidR="00FA5826" w14:paraId="4576B063" w14:textId="77777777">
        <w:tc>
          <w:tcPr>
            <w:tcW w:w="1908" w:type="dxa"/>
            <w:tcBorders>
              <w:top w:val="single" w:sz="4" w:space="0" w:color="auto"/>
              <w:left w:val="single" w:sz="4" w:space="0" w:color="auto"/>
              <w:bottom w:val="single" w:sz="4" w:space="0" w:color="auto"/>
              <w:right w:val="single" w:sz="4" w:space="0" w:color="auto"/>
            </w:tcBorders>
          </w:tcPr>
          <w:p w14:paraId="21BB4E6E" w14:textId="77777777" w:rsidR="00FA5826" w:rsidRDefault="005C66B7">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29BCA79B" w14:textId="77B090A0" w:rsidR="00FA5826" w:rsidRDefault="005C66B7">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20</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p>
        </w:tc>
      </w:tr>
      <w:tr w:rsidR="00FA5826" w14:paraId="416CEF66" w14:textId="77777777">
        <w:tc>
          <w:tcPr>
            <w:tcW w:w="1908" w:type="dxa"/>
            <w:tcBorders>
              <w:top w:val="single" w:sz="4" w:space="0" w:color="auto"/>
              <w:left w:val="single" w:sz="4" w:space="0" w:color="auto"/>
              <w:bottom w:val="single" w:sz="4" w:space="0" w:color="auto"/>
              <w:right w:val="single" w:sz="4" w:space="0" w:color="auto"/>
            </w:tcBorders>
          </w:tcPr>
          <w:p w14:paraId="75599FF3" w14:textId="77777777" w:rsidR="00FA5826" w:rsidRDefault="005C66B7">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0A5A3341" w14:textId="77777777" w:rsidR="00FA5826" w:rsidRDefault="005C66B7">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w:t>
            </w:r>
            <w:r>
              <w:rPr>
                <w:rFonts w:ascii="宋体" w:hAnsi="宋体" w:hint="eastAsia"/>
                <w:bCs/>
                <w:sz w:val="24"/>
              </w:rPr>
              <w:t>ir</w:t>
            </w:r>
            <w:r>
              <w:rPr>
                <w:rFonts w:ascii="宋体" w:hAnsi="宋体" w:hint="eastAsia"/>
                <w:bCs/>
                <w:sz w:val="24"/>
              </w:rPr>
              <w:t>.p5w.net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FA5826" w14:paraId="179A83AD" w14:textId="77777777">
        <w:tc>
          <w:tcPr>
            <w:tcW w:w="1908" w:type="dxa"/>
            <w:tcBorders>
              <w:top w:val="single" w:sz="4" w:space="0" w:color="auto"/>
              <w:left w:val="single" w:sz="4" w:space="0" w:color="auto"/>
              <w:bottom w:val="single" w:sz="4" w:space="0" w:color="auto"/>
              <w:right w:val="single" w:sz="4" w:space="0" w:color="auto"/>
            </w:tcBorders>
          </w:tcPr>
          <w:p w14:paraId="0B28EB08" w14:textId="77777777" w:rsidR="00FA5826" w:rsidRDefault="005C66B7">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3BCD569E" w14:textId="0B62F6B3" w:rsidR="00FA5826" w:rsidRDefault="005C66B7">
            <w:pPr>
              <w:spacing w:line="420" w:lineRule="exact"/>
              <w:rPr>
                <w:rFonts w:ascii="宋体" w:hAnsi="宋体"/>
                <w:bCs/>
                <w:sz w:val="24"/>
              </w:rPr>
            </w:pPr>
            <w:r>
              <w:rPr>
                <w:rFonts w:ascii="宋体" w:hAnsi="宋体"/>
                <w:bCs/>
                <w:sz w:val="24"/>
              </w:rPr>
              <w:t>1</w:t>
            </w:r>
            <w:r>
              <w:rPr>
                <w:rFonts w:ascii="宋体" w:hAnsi="宋体"/>
                <w:bCs/>
                <w:sz w:val="24"/>
              </w:rPr>
              <w:t>、</w:t>
            </w:r>
            <w:r w:rsidR="002F6542">
              <w:rPr>
                <w:rFonts w:ascii="宋体" w:hAnsi="宋体" w:hint="eastAsia"/>
                <w:bCs/>
                <w:sz w:val="24"/>
              </w:rPr>
              <w:t>董事长：张之翔</w:t>
            </w:r>
          </w:p>
          <w:p w14:paraId="627FC5B6" w14:textId="5A1FFE38" w:rsidR="002F6542" w:rsidRDefault="005C66B7">
            <w:pPr>
              <w:spacing w:line="420" w:lineRule="exact"/>
              <w:rPr>
                <w:rFonts w:ascii="宋体" w:hAnsi="宋体"/>
                <w:bCs/>
                <w:sz w:val="24"/>
              </w:rPr>
            </w:pPr>
            <w:r>
              <w:rPr>
                <w:rFonts w:ascii="宋体" w:hAnsi="宋体"/>
                <w:bCs/>
                <w:sz w:val="24"/>
              </w:rPr>
              <w:t>2</w:t>
            </w:r>
            <w:r>
              <w:rPr>
                <w:rFonts w:ascii="宋体" w:hAnsi="宋体"/>
                <w:bCs/>
                <w:sz w:val="24"/>
              </w:rPr>
              <w:t>、</w:t>
            </w:r>
            <w:r w:rsidR="002F6542">
              <w:rPr>
                <w:rFonts w:ascii="宋体" w:hAnsi="宋体" w:hint="eastAsia"/>
                <w:bCs/>
                <w:sz w:val="24"/>
              </w:rPr>
              <w:t>财务总监：王世红</w:t>
            </w:r>
          </w:p>
          <w:p w14:paraId="4F80B487" w14:textId="1720CAA3" w:rsidR="00FA5826" w:rsidRDefault="002F6542">
            <w:pPr>
              <w:spacing w:line="420" w:lineRule="exact"/>
              <w:rPr>
                <w:rFonts w:ascii="宋体" w:hAnsi="宋体"/>
                <w:bCs/>
                <w:sz w:val="24"/>
              </w:rPr>
            </w:pPr>
            <w:r>
              <w:rPr>
                <w:rFonts w:ascii="宋体" w:hAnsi="宋体"/>
                <w:bCs/>
                <w:sz w:val="24"/>
              </w:rPr>
              <w:t>3</w:t>
            </w:r>
            <w:r>
              <w:rPr>
                <w:rFonts w:ascii="宋体" w:hAnsi="宋体" w:hint="eastAsia"/>
                <w:bCs/>
                <w:sz w:val="24"/>
              </w:rPr>
              <w:t>、</w:t>
            </w:r>
            <w:r w:rsidR="005C66B7">
              <w:rPr>
                <w:rFonts w:ascii="宋体" w:hAnsi="宋体"/>
                <w:bCs/>
                <w:sz w:val="24"/>
              </w:rPr>
              <w:t>证券代表</w:t>
            </w:r>
            <w:r>
              <w:rPr>
                <w:rFonts w:ascii="宋体" w:hAnsi="宋体" w:hint="eastAsia"/>
                <w:bCs/>
                <w:sz w:val="24"/>
              </w:rPr>
              <w:t>：</w:t>
            </w:r>
            <w:r>
              <w:rPr>
                <w:rFonts w:ascii="宋体" w:hAnsi="宋体"/>
                <w:bCs/>
                <w:sz w:val="24"/>
              </w:rPr>
              <w:t>石婧文</w:t>
            </w:r>
            <w:r>
              <w:rPr>
                <w:rFonts w:ascii="宋体" w:hAnsi="宋体" w:hint="eastAsia"/>
                <w:bCs/>
                <w:sz w:val="24"/>
              </w:rPr>
              <w:t>、</w:t>
            </w:r>
            <w:r w:rsidR="005C66B7">
              <w:rPr>
                <w:rFonts w:ascii="宋体" w:hAnsi="宋体"/>
                <w:bCs/>
                <w:sz w:val="24"/>
              </w:rPr>
              <w:t>曹渤杨</w:t>
            </w:r>
          </w:p>
        </w:tc>
      </w:tr>
      <w:tr w:rsidR="00FA5826" w14:paraId="61272C63" w14:textId="77777777">
        <w:tc>
          <w:tcPr>
            <w:tcW w:w="1908" w:type="dxa"/>
            <w:tcBorders>
              <w:top w:val="single" w:sz="4" w:space="0" w:color="auto"/>
              <w:left w:val="single" w:sz="4" w:space="0" w:color="auto"/>
              <w:bottom w:val="single" w:sz="4" w:space="0" w:color="auto"/>
              <w:right w:val="single" w:sz="4" w:space="0" w:color="auto"/>
            </w:tcBorders>
            <w:vAlign w:val="center"/>
          </w:tcPr>
          <w:p w14:paraId="1DBA3527" w14:textId="77777777" w:rsidR="00FA5826" w:rsidRDefault="005C66B7">
            <w:pPr>
              <w:spacing w:line="420" w:lineRule="exact"/>
              <w:rPr>
                <w:bCs/>
                <w:iCs/>
                <w:color w:val="000000"/>
                <w:kern w:val="0"/>
                <w:sz w:val="24"/>
              </w:rPr>
            </w:pPr>
            <w:r>
              <w:rPr>
                <w:rFonts w:hAnsi="宋体"/>
                <w:bCs/>
                <w:iCs/>
                <w:color w:val="000000"/>
                <w:kern w:val="0"/>
                <w:sz w:val="24"/>
              </w:rPr>
              <w:t>投资者关系活动主要内容介绍</w:t>
            </w:r>
          </w:p>
          <w:p w14:paraId="0B95E094" w14:textId="77777777" w:rsidR="00FA5826" w:rsidRDefault="00FA582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FD54537" w14:textId="77777777" w:rsidR="00FA5826" w:rsidRDefault="005C66B7">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14:paraId="03CD1258" w14:textId="77777777" w:rsidR="00FA5826" w:rsidRDefault="005C66B7">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6D4578C2"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1</w:t>
            </w:r>
            <w:r>
              <w:rPr>
                <w:rFonts w:ascii="宋体" w:hAnsi="宋体"/>
                <w:b/>
                <w:sz w:val="24"/>
                <w:szCs w:val="24"/>
              </w:rPr>
              <w:t>、目前政策支持鼓励上市公司并购重组，希望贵公司能尽快并购上下游企业做大做强。为西部大开发做出应有的贡献，，也能为信任你们的中小股东带去更大的回报</w:t>
            </w:r>
          </w:p>
          <w:p w14:paraId="1D368C8F"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尊敬的投资者您好！感谢您的信任和建议，公司未来如有相关事项，将根据相关法律、法规和业务规则及时履行信息披露义务，感谢您对公司的关注！</w:t>
            </w:r>
          </w:p>
          <w:p w14:paraId="50BB1AF2"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2</w:t>
            </w:r>
            <w:r>
              <w:rPr>
                <w:rFonts w:ascii="宋体" w:hAnsi="宋体"/>
                <w:b/>
                <w:sz w:val="24"/>
                <w:szCs w:val="24"/>
              </w:rPr>
              <w:t>、你好</w:t>
            </w:r>
            <w:r>
              <w:rPr>
                <w:rFonts w:ascii="宋体" w:hAnsi="宋体"/>
                <w:b/>
                <w:sz w:val="24"/>
                <w:szCs w:val="24"/>
              </w:rPr>
              <w:t xml:space="preserve">  </w:t>
            </w:r>
            <w:r>
              <w:rPr>
                <w:rFonts w:ascii="宋体" w:hAnsi="宋体"/>
                <w:b/>
                <w:sz w:val="24"/>
                <w:szCs w:val="24"/>
              </w:rPr>
              <w:t>公司有没有回购的打算</w:t>
            </w:r>
          </w:p>
          <w:p w14:paraId="35059D51"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2023</w:t>
            </w:r>
            <w:r>
              <w:rPr>
                <w:rFonts w:ascii="宋体" w:hAnsi="宋体"/>
                <w:sz w:val="24"/>
                <w:szCs w:val="24"/>
              </w:rPr>
              <w:t>年</w:t>
            </w:r>
            <w:r>
              <w:rPr>
                <w:rFonts w:ascii="宋体" w:hAnsi="宋体"/>
                <w:sz w:val="24"/>
                <w:szCs w:val="24"/>
              </w:rPr>
              <w:t>6</w:t>
            </w:r>
            <w:r>
              <w:rPr>
                <w:rFonts w:ascii="宋体" w:hAnsi="宋体"/>
                <w:sz w:val="24"/>
                <w:szCs w:val="24"/>
              </w:rPr>
              <w:t>月部分董监高、核心技术人员基于对公司未来发展的信心和对公司长期价值投资的认可，通过集中竞价方式累计增持公司股份</w:t>
            </w:r>
            <w:r>
              <w:rPr>
                <w:rFonts w:ascii="宋体" w:hAnsi="宋体"/>
                <w:sz w:val="24"/>
                <w:szCs w:val="24"/>
              </w:rPr>
              <w:t>158,590</w:t>
            </w:r>
            <w:r>
              <w:rPr>
                <w:rFonts w:ascii="宋体" w:hAnsi="宋体"/>
                <w:sz w:val="24"/>
                <w:szCs w:val="24"/>
              </w:rPr>
              <w:t>股，增持</w:t>
            </w:r>
            <w:r>
              <w:rPr>
                <w:rFonts w:ascii="宋体" w:hAnsi="宋体"/>
                <w:sz w:val="24"/>
                <w:szCs w:val="24"/>
              </w:rPr>
              <w:t>988.07</w:t>
            </w:r>
            <w:r>
              <w:rPr>
                <w:rFonts w:ascii="宋体" w:hAnsi="宋体"/>
                <w:sz w:val="24"/>
                <w:szCs w:val="24"/>
              </w:rPr>
              <w:t>万元。对于股份回购事项暂无安排。未来如有回购或增持等相关事项，公司将根据相关法律、法规和业务规则及时履行信息披露义</w:t>
            </w:r>
            <w:r>
              <w:rPr>
                <w:rFonts w:ascii="宋体" w:hAnsi="宋体"/>
                <w:sz w:val="24"/>
                <w:szCs w:val="24"/>
              </w:rPr>
              <w:lastRenderedPageBreak/>
              <w:t>务，感谢您对公司的关注！</w:t>
            </w:r>
          </w:p>
          <w:p w14:paraId="3370F961"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3</w:t>
            </w:r>
            <w:r>
              <w:rPr>
                <w:rFonts w:ascii="宋体" w:hAnsi="宋体"/>
                <w:b/>
                <w:sz w:val="24"/>
                <w:szCs w:val="24"/>
              </w:rPr>
              <w:t>、</w:t>
            </w:r>
            <w:r>
              <w:rPr>
                <w:rFonts w:ascii="宋体" w:hAnsi="宋体"/>
                <w:b/>
                <w:sz w:val="24"/>
                <w:szCs w:val="24"/>
              </w:rPr>
              <w:t>2024</w:t>
            </w:r>
            <w:r>
              <w:rPr>
                <w:rFonts w:ascii="宋体" w:hAnsi="宋体"/>
                <w:b/>
                <w:sz w:val="24"/>
                <w:szCs w:val="24"/>
              </w:rPr>
              <w:t>年行业竞对（如庄信万丰、优美科）通过并购整合扩大市场份额，公司如何应对竞争压力？是否有通过并购补强技术短板（如纳米催化剂）或区域市场的计划？并购标的筛选标准与整合风险如何管控？</w:t>
            </w:r>
          </w:p>
          <w:p w14:paraId="101BC69F"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w:t>
            </w:r>
            <w:r>
              <w:rPr>
                <w:rFonts w:ascii="宋体" w:hAnsi="宋体"/>
                <w:sz w:val="24"/>
                <w:szCs w:val="24"/>
              </w:rPr>
              <w:t>资者您好！行业的竞争是全方位的，体现在技术、市场、生产及管理各个方面，公司一直以技术创新为驱动，提升产品性价比，为客户提供从工艺改进到三废排放等全流程的解决方案。在此过程中公司在技术方面以自主研发为主，同时与复旦大学、中科院大连化学物理研究所等高校院所开展产学研合作，助力科研成果的转化，提升公司的专业水平及行业影响力。与上下游主要通过发挥各自特点和优势，完善拓展强化延伸公司技术和产品链，加快新技术新产品的落地。公司也高度关注行业发展动态，未来，如有相关并购事项，公司将根据相关法律、法规和业务规则及时履行信息</w:t>
            </w:r>
            <w:r>
              <w:rPr>
                <w:rFonts w:ascii="宋体" w:hAnsi="宋体"/>
                <w:sz w:val="24"/>
                <w:szCs w:val="24"/>
              </w:rPr>
              <w:t>披露义务。感谢您对公司的关注！</w:t>
            </w:r>
          </w:p>
          <w:p w14:paraId="149F8713"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4</w:t>
            </w:r>
            <w:r>
              <w:rPr>
                <w:rFonts w:ascii="宋体" w:hAnsi="宋体"/>
                <w:b/>
                <w:sz w:val="24"/>
                <w:szCs w:val="24"/>
              </w:rPr>
              <w:t>、氢化丁氰橡胶项目投产后，是否如公告所说的能够达到国际领先水平？该项目投产后销路是否通畅？另外，请问一下，铜川的工厂项目是否已经全部顺利达产？</w:t>
            </w:r>
          </w:p>
          <w:p w14:paraId="470D980D"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尊敬的投资者您好！氢化丁腈橡胶产业化项目正在进行工程建设及设备安装，预计</w:t>
            </w:r>
            <w:r>
              <w:rPr>
                <w:rFonts w:ascii="宋体" w:hAnsi="宋体"/>
                <w:sz w:val="24"/>
                <w:szCs w:val="24"/>
              </w:rPr>
              <w:t>2025</w:t>
            </w:r>
            <w:r>
              <w:rPr>
                <w:rFonts w:ascii="宋体" w:hAnsi="宋体"/>
                <w:sz w:val="24"/>
                <w:szCs w:val="24"/>
              </w:rPr>
              <w:t>年下半年投放市场。该项目采用高效绿色的低成本催化加氢技术和配套公司自主研发的高性能催化剂，能够大幅提高氢化丁腈橡胶的生产效率和产品质量并降低催化成本，使产品性价比达到国际先进水平，推动行业技术进步并不断拓宽氢化丁腈橡胶的应用场景和市场空间，为下游各行业对</w:t>
            </w:r>
            <w:r>
              <w:rPr>
                <w:rFonts w:ascii="宋体" w:hAnsi="宋体"/>
                <w:sz w:val="24"/>
                <w:szCs w:val="24"/>
              </w:rPr>
              <w:t>氢化丁腈橡胶的需求提供国产自主供应。铜川凯立产能按照规划，正常释放产能，目前处于爬坡阶段，</w:t>
            </w:r>
            <w:r>
              <w:rPr>
                <w:rFonts w:ascii="宋体" w:hAnsi="宋体"/>
                <w:sz w:val="24"/>
                <w:szCs w:val="24"/>
              </w:rPr>
              <w:t>2024</w:t>
            </w:r>
            <w:r>
              <w:rPr>
                <w:rFonts w:ascii="宋体" w:hAnsi="宋体"/>
                <w:sz w:val="24"/>
                <w:szCs w:val="24"/>
              </w:rPr>
              <w:t>年，铜川凯立产能利用率为</w:t>
            </w:r>
            <w:r>
              <w:rPr>
                <w:rFonts w:ascii="宋体" w:hAnsi="宋体"/>
                <w:sz w:val="24"/>
                <w:szCs w:val="24"/>
              </w:rPr>
              <w:t>15.25%/34.63%</w:t>
            </w:r>
            <w:r>
              <w:rPr>
                <w:rFonts w:ascii="宋体" w:hAnsi="宋体"/>
                <w:sz w:val="24"/>
                <w:szCs w:val="24"/>
              </w:rPr>
              <w:t>。感谢您对公司的关注！</w:t>
            </w:r>
          </w:p>
          <w:p w14:paraId="6F8F14BE"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5</w:t>
            </w:r>
            <w:r>
              <w:rPr>
                <w:rFonts w:ascii="宋体" w:hAnsi="宋体"/>
                <w:b/>
                <w:sz w:val="24"/>
                <w:szCs w:val="24"/>
              </w:rPr>
              <w:t>、</w:t>
            </w:r>
            <w:r>
              <w:rPr>
                <w:rFonts w:ascii="宋体" w:hAnsi="宋体"/>
                <w:b/>
                <w:sz w:val="24"/>
                <w:szCs w:val="24"/>
              </w:rPr>
              <w:t>24</w:t>
            </w:r>
            <w:r>
              <w:rPr>
                <w:rFonts w:ascii="宋体" w:hAnsi="宋体"/>
                <w:b/>
                <w:sz w:val="24"/>
                <w:szCs w:val="24"/>
              </w:rPr>
              <w:t>年医药行业占收入的比例多少。基础化工行业收入占比多少？</w:t>
            </w:r>
          </w:p>
          <w:p w14:paraId="5F1BBE0C"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2024</w:t>
            </w:r>
            <w:r>
              <w:rPr>
                <w:rFonts w:ascii="宋体" w:hAnsi="宋体"/>
                <w:sz w:val="24"/>
                <w:szCs w:val="24"/>
              </w:rPr>
              <w:t>年公司主营业务收入中占比较高</w:t>
            </w:r>
            <w:r>
              <w:rPr>
                <w:rFonts w:ascii="宋体" w:hAnsi="宋体"/>
                <w:sz w:val="24"/>
                <w:szCs w:val="24"/>
              </w:rPr>
              <w:lastRenderedPageBreak/>
              <w:t>的主要领域依次为</w:t>
            </w:r>
            <w:r>
              <w:rPr>
                <w:rFonts w:ascii="宋体" w:hAnsi="宋体"/>
                <w:sz w:val="24"/>
                <w:szCs w:val="24"/>
              </w:rPr>
              <w:t>:</w:t>
            </w:r>
            <w:r>
              <w:rPr>
                <w:rFonts w:ascii="宋体" w:hAnsi="宋体"/>
                <w:sz w:val="24"/>
                <w:szCs w:val="24"/>
              </w:rPr>
              <w:t>医药领域占比</w:t>
            </w:r>
            <w:r>
              <w:rPr>
                <w:rFonts w:ascii="宋体" w:hAnsi="宋体"/>
                <w:sz w:val="24"/>
                <w:szCs w:val="24"/>
              </w:rPr>
              <w:t>40.75%</w:t>
            </w:r>
            <w:r>
              <w:rPr>
                <w:rFonts w:ascii="宋体" w:hAnsi="宋体"/>
                <w:sz w:val="24"/>
                <w:szCs w:val="24"/>
              </w:rPr>
              <w:t>，化工新材料占比</w:t>
            </w:r>
            <w:r>
              <w:rPr>
                <w:rFonts w:ascii="宋体" w:hAnsi="宋体"/>
                <w:sz w:val="24"/>
                <w:szCs w:val="24"/>
              </w:rPr>
              <w:t>24.61%</w:t>
            </w:r>
            <w:r>
              <w:rPr>
                <w:rFonts w:ascii="宋体" w:hAnsi="宋体"/>
                <w:sz w:val="24"/>
                <w:szCs w:val="24"/>
              </w:rPr>
              <w:t>，基础化工占比</w:t>
            </w:r>
            <w:r>
              <w:rPr>
                <w:rFonts w:ascii="宋体" w:hAnsi="宋体"/>
                <w:sz w:val="24"/>
                <w:szCs w:val="24"/>
              </w:rPr>
              <w:t>22.57%</w:t>
            </w:r>
            <w:r>
              <w:rPr>
                <w:rFonts w:ascii="宋体" w:hAnsi="宋体"/>
                <w:sz w:val="24"/>
                <w:szCs w:val="24"/>
              </w:rPr>
              <w:t>。感谢您对公司的关注！</w:t>
            </w:r>
          </w:p>
          <w:p w14:paraId="4656CA78"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6</w:t>
            </w:r>
            <w:r>
              <w:rPr>
                <w:rFonts w:ascii="宋体" w:hAnsi="宋体"/>
                <w:b/>
                <w:sz w:val="24"/>
                <w:szCs w:val="24"/>
              </w:rPr>
              <w:t>、烷烃脱氢催化剂项目生产的氧化铝。钯氧化铝能用吗</w:t>
            </w:r>
          </w:p>
          <w:p w14:paraId="0AA23DF5"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尊敬的投资者您好！烷烃脱氢催化剂项目完成自主研发设</w:t>
            </w:r>
            <w:r>
              <w:rPr>
                <w:rFonts w:ascii="宋体" w:hAnsi="宋体"/>
                <w:sz w:val="24"/>
                <w:szCs w:val="24"/>
              </w:rPr>
              <w:t>计的氧化铝载体产线和后段催化剂产线安装调试。该项目的产业化将实现从铝源到铂氧化铝催化剂产品的全链条自主可控生产，为下游烷烃脱氢客户提供催化剂完全国产化供应保障。感谢您对公司的关注！</w:t>
            </w:r>
          </w:p>
          <w:p w14:paraId="0D2F83C0"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7</w:t>
            </w:r>
            <w:r>
              <w:rPr>
                <w:rFonts w:ascii="宋体" w:hAnsi="宋体"/>
                <w:b/>
                <w:sz w:val="24"/>
                <w:szCs w:val="24"/>
              </w:rPr>
              <w:t>、</w:t>
            </w:r>
            <w:r>
              <w:rPr>
                <w:rFonts w:ascii="宋体" w:hAnsi="宋体"/>
                <w:b/>
                <w:sz w:val="24"/>
                <w:szCs w:val="24"/>
              </w:rPr>
              <w:t>pvc</w:t>
            </w:r>
            <w:r>
              <w:rPr>
                <w:rFonts w:ascii="宋体" w:hAnsi="宋体"/>
                <w:b/>
                <w:sz w:val="24"/>
                <w:szCs w:val="24"/>
              </w:rPr>
              <w:t>用催化剂能盈利吗</w:t>
            </w:r>
          </w:p>
          <w:p w14:paraId="72DE0283"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尊敬的投资者您好！公司研究开发的乙炔氢氯化法生产</w:t>
            </w:r>
            <w:r>
              <w:rPr>
                <w:rFonts w:ascii="宋体" w:hAnsi="宋体"/>
                <w:sz w:val="24"/>
                <w:szCs w:val="24"/>
              </w:rPr>
              <w:t>PVC</w:t>
            </w:r>
            <w:r>
              <w:rPr>
                <w:rFonts w:ascii="宋体" w:hAnsi="宋体"/>
                <w:sz w:val="24"/>
                <w:szCs w:val="24"/>
              </w:rPr>
              <w:t>用金炭无汞催化剂实现了规模化生产和销售，填补了国内空白，对推动</w:t>
            </w:r>
            <w:r>
              <w:rPr>
                <w:rFonts w:ascii="宋体" w:hAnsi="宋体"/>
                <w:sz w:val="24"/>
                <w:szCs w:val="24"/>
              </w:rPr>
              <w:t>PVC</w:t>
            </w:r>
            <w:r>
              <w:rPr>
                <w:rFonts w:ascii="宋体" w:hAnsi="宋体"/>
                <w:sz w:val="24"/>
                <w:szCs w:val="24"/>
              </w:rPr>
              <w:t>产业绿色化、高质量发展意义重大。截止</w:t>
            </w:r>
            <w:r>
              <w:rPr>
                <w:rFonts w:ascii="宋体" w:hAnsi="宋体"/>
                <w:sz w:val="24"/>
                <w:szCs w:val="24"/>
              </w:rPr>
              <w:t>25</w:t>
            </w:r>
            <w:r>
              <w:rPr>
                <w:rFonts w:ascii="宋体" w:hAnsi="宋体"/>
                <w:sz w:val="24"/>
                <w:szCs w:val="24"/>
              </w:rPr>
              <w:t>年一季度，</w:t>
            </w:r>
            <w:r>
              <w:rPr>
                <w:rFonts w:ascii="宋体" w:hAnsi="宋体"/>
                <w:sz w:val="24"/>
                <w:szCs w:val="24"/>
              </w:rPr>
              <w:t>PVC</w:t>
            </w:r>
            <w:r>
              <w:rPr>
                <w:rFonts w:ascii="宋体" w:hAnsi="宋体"/>
                <w:sz w:val="24"/>
                <w:szCs w:val="24"/>
              </w:rPr>
              <w:t>催化剂实现销售</w:t>
            </w:r>
            <w:r>
              <w:rPr>
                <w:rFonts w:ascii="宋体" w:hAnsi="宋体"/>
                <w:sz w:val="24"/>
                <w:szCs w:val="24"/>
              </w:rPr>
              <w:t>140</w:t>
            </w:r>
            <w:r>
              <w:rPr>
                <w:rFonts w:ascii="宋体" w:hAnsi="宋体"/>
                <w:sz w:val="24"/>
                <w:szCs w:val="24"/>
              </w:rPr>
              <w:t>吨，已签订未执行的订单为</w:t>
            </w:r>
            <w:r>
              <w:rPr>
                <w:rFonts w:ascii="宋体" w:hAnsi="宋体"/>
                <w:sz w:val="24"/>
                <w:szCs w:val="24"/>
              </w:rPr>
              <w:t>461</w:t>
            </w:r>
            <w:r>
              <w:rPr>
                <w:rFonts w:ascii="宋体" w:hAnsi="宋体"/>
                <w:sz w:val="24"/>
                <w:szCs w:val="24"/>
              </w:rPr>
              <w:t>吨。感谢您对公司的关注！</w:t>
            </w:r>
          </w:p>
          <w:p w14:paraId="4A134A69"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8</w:t>
            </w:r>
            <w:r>
              <w:rPr>
                <w:rFonts w:ascii="宋体" w:hAnsi="宋体"/>
                <w:b/>
                <w:sz w:val="24"/>
                <w:szCs w:val="24"/>
              </w:rPr>
              <w:t>、请问，国家政策上鼓励上市公司进行回购和增持等</w:t>
            </w:r>
            <w:r>
              <w:rPr>
                <w:rFonts w:ascii="宋体" w:hAnsi="宋体"/>
                <w:b/>
                <w:sz w:val="24"/>
                <w:szCs w:val="24"/>
              </w:rPr>
              <w:t>方式来提升上市公司的内在价值，并提供了低息贷款来方便上市公司回购。公司作为陕西国企的一员，是否会响应国家的政策号召进行回购和增持？如果并无回购计划，主要是什么原因？</w:t>
            </w:r>
          </w:p>
          <w:p w14:paraId="611A6A7F"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尊敬的投资者您好！公司始终高度重视公司全体股东权益及公司市值管理，积极响应国家政策，</w:t>
            </w:r>
            <w:r>
              <w:rPr>
                <w:rFonts w:ascii="宋体" w:hAnsi="宋体"/>
                <w:sz w:val="24"/>
                <w:szCs w:val="24"/>
              </w:rPr>
              <w:t>2023</w:t>
            </w:r>
            <w:r>
              <w:rPr>
                <w:rFonts w:ascii="宋体" w:hAnsi="宋体"/>
                <w:sz w:val="24"/>
                <w:szCs w:val="24"/>
              </w:rPr>
              <w:t>年</w:t>
            </w:r>
            <w:r>
              <w:rPr>
                <w:rFonts w:ascii="宋体" w:hAnsi="宋体"/>
                <w:sz w:val="24"/>
                <w:szCs w:val="24"/>
              </w:rPr>
              <w:t>6</w:t>
            </w:r>
            <w:r>
              <w:rPr>
                <w:rFonts w:ascii="宋体" w:hAnsi="宋体"/>
                <w:sz w:val="24"/>
                <w:szCs w:val="24"/>
              </w:rPr>
              <w:t>月部分董监高、核心技术人员基于对公司未来发展的信心和对公司长期价值投资的认可，通过集中竞价方式累计增持公司股份</w:t>
            </w:r>
            <w:r>
              <w:rPr>
                <w:rFonts w:ascii="宋体" w:hAnsi="宋体"/>
                <w:sz w:val="24"/>
                <w:szCs w:val="24"/>
              </w:rPr>
              <w:t>158,590</w:t>
            </w:r>
            <w:r>
              <w:rPr>
                <w:rFonts w:ascii="宋体" w:hAnsi="宋体"/>
                <w:sz w:val="24"/>
                <w:szCs w:val="24"/>
              </w:rPr>
              <w:t>股，增持</w:t>
            </w:r>
            <w:r>
              <w:rPr>
                <w:rFonts w:ascii="宋体" w:hAnsi="宋体"/>
                <w:sz w:val="24"/>
                <w:szCs w:val="24"/>
              </w:rPr>
              <w:t>988.07</w:t>
            </w:r>
            <w:r>
              <w:rPr>
                <w:rFonts w:ascii="宋体" w:hAnsi="宋体"/>
                <w:sz w:val="24"/>
                <w:szCs w:val="24"/>
              </w:rPr>
              <w:t>万元。对于股份回购事项暂无安排。未来如有回购或增持等相关事项，公司将根据相关法律、法规和业务规则及时履行信</w:t>
            </w:r>
            <w:r>
              <w:rPr>
                <w:rFonts w:ascii="宋体" w:hAnsi="宋体"/>
                <w:sz w:val="24"/>
                <w:szCs w:val="24"/>
              </w:rPr>
              <w:t>息披露义务，感谢您对公司的关注！</w:t>
            </w:r>
          </w:p>
          <w:p w14:paraId="4D74677F"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9</w:t>
            </w:r>
            <w:r>
              <w:rPr>
                <w:rFonts w:ascii="宋体" w:hAnsi="宋体"/>
                <w:b/>
                <w:sz w:val="24"/>
                <w:szCs w:val="24"/>
              </w:rPr>
              <w:t>、请问，公司</w:t>
            </w:r>
            <w:r>
              <w:rPr>
                <w:rFonts w:ascii="宋体" w:hAnsi="宋体"/>
                <w:b/>
                <w:sz w:val="24"/>
                <w:szCs w:val="24"/>
              </w:rPr>
              <w:t>2024</w:t>
            </w:r>
            <w:r>
              <w:rPr>
                <w:rFonts w:ascii="宋体" w:hAnsi="宋体"/>
                <w:b/>
                <w:sz w:val="24"/>
                <w:szCs w:val="24"/>
              </w:rPr>
              <w:t>年技术服务的订单情况有所下滑，今年这个业务是否有好转的迹象？目前这个业务的</w:t>
            </w:r>
            <w:r>
              <w:rPr>
                <w:rFonts w:ascii="宋体" w:hAnsi="宋体"/>
                <w:b/>
                <w:sz w:val="24"/>
                <w:szCs w:val="24"/>
              </w:rPr>
              <w:t xml:space="preserve"> </w:t>
            </w:r>
            <w:r>
              <w:rPr>
                <w:rFonts w:ascii="宋体" w:hAnsi="宋体"/>
                <w:b/>
                <w:sz w:val="24"/>
                <w:szCs w:val="24"/>
              </w:rPr>
              <w:t>订单情况如何？</w:t>
            </w:r>
          </w:p>
          <w:p w14:paraId="05B3596B"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尊敬的投资者您好，催化剂应用技术服务较上年同期减少</w:t>
            </w:r>
            <w:r>
              <w:rPr>
                <w:rFonts w:ascii="宋体" w:hAnsi="宋体"/>
                <w:sz w:val="24"/>
                <w:szCs w:val="24"/>
              </w:rPr>
              <w:lastRenderedPageBreak/>
              <w:t>83.97%</w:t>
            </w:r>
            <w:r>
              <w:rPr>
                <w:rFonts w:ascii="宋体" w:hAnsi="宋体"/>
                <w:sz w:val="24"/>
                <w:szCs w:val="24"/>
              </w:rPr>
              <w:t>，主要系报告期内在手订单未达到确认条件所致。公司催化应用技术服务模式是根据客户需求，结合公司的技术储备和研发能力，公司与客户协商确定需要开发的工艺技术的技术指标及经济指标，双方达成一致后，公司将根据技术指标要求进行研究开发，向客户提供全流程或部分环节的解决方案并收取费用，该业务未来订单情况敬请关注公司</w:t>
            </w:r>
            <w:r>
              <w:rPr>
                <w:rFonts w:ascii="宋体" w:hAnsi="宋体"/>
                <w:sz w:val="24"/>
                <w:szCs w:val="24"/>
              </w:rPr>
              <w:t>披露的定期报告、业绩预告。感谢您对公司的关注！</w:t>
            </w:r>
          </w:p>
          <w:p w14:paraId="4C7A0F06"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10</w:t>
            </w:r>
            <w:r>
              <w:rPr>
                <w:rFonts w:ascii="宋体" w:hAnsi="宋体"/>
                <w:b/>
                <w:sz w:val="24"/>
                <w:szCs w:val="24"/>
              </w:rPr>
              <w:t>、请问，公司今年</w:t>
            </w:r>
            <w:r>
              <w:rPr>
                <w:rFonts w:ascii="宋体" w:hAnsi="宋体"/>
                <w:b/>
                <w:sz w:val="24"/>
                <w:szCs w:val="24"/>
              </w:rPr>
              <w:t>1</w:t>
            </w:r>
            <w:r>
              <w:rPr>
                <w:rFonts w:ascii="宋体" w:hAnsi="宋体"/>
                <w:b/>
                <w:sz w:val="24"/>
                <w:szCs w:val="24"/>
              </w:rPr>
              <w:t>季度业绩有转好的迹象，</w:t>
            </w:r>
            <w:r>
              <w:rPr>
                <w:rFonts w:ascii="宋体" w:hAnsi="宋体"/>
                <w:b/>
                <w:sz w:val="24"/>
                <w:szCs w:val="24"/>
              </w:rPr>
              <w:t>2</w:t>
            </w:r>
            <w:r>
              <w:rPr>
                <w:rFonts w:ascii="宋体" w:hAnsi="宋体"/>
                <w:b/>
                <w:sz w:val="24"/>
                <w:szCs w:val="24"/>
              </w:rPr>
              <w:t>季度是否会延续这个趋势？公司</w:t>
            </w:r>
            <w:r>
              <w:rPr>
                <w:rFonts w:ascii="宋体" w:hAnsi="宋体"/>
                <w:b/>
                <w:sz w:val="24"/>
                <w:szCs w:val="24"/>
              </w:rPr>
              <w:t>2</w:t>
            </w:r>
            <w:r>
              <w:rPr>
                <w:rFonts w:ascii="宋体" w:hAnsi="宋体"/>
                <w:b/>
                <w:sz w:val="24"/>
                <w:szCs w:val="24"/>
              </w:rPr>
              <w:t>季度的经营状况如何？</w:t>
            </w:r>
          </w:p>
          <w:p w14:paraId="019F3904"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尊敬的投资者您好，公司</w:t>
            </w:r>
            <w:r>
              <w:rPr>
                <w:rFonts w:ascii="宋体" w:hAnsi="宋体"/>
                <w:sz w:val="24"/>
                <w:szCs w:val="24"/>
              </w:rPr>
              <w:t>2025</w:t>
            </w:r>
            <w:r>
              <w:rPr>
                <w:rFonts w:ascii="宋体" w:hAnsi="宋体"/>
                <w:sz w:val="24"/>
                <w:szCs w:val="24"/>
              </w:rPr>
              <w:t>年一季度营业收入较上年同期增加</w:t>
            </w:r>
            <w:r>
              <w:rPr>
                <w:rFonts w:ascii="宋体" w:hAnsi="宋体"/>
                <w:sz w:val="24"/>
                <w:szCs w:val="24"/>
              </w:rPr>
              <w:t>105.25%</w:t>
            </w:r>
            <w:r>
              <w:rPr>
                <w:rFonts w:ascii="宋体" w:hAnsi="宋体"/>
                <w:sz w:val="24"/>
                <w:szCs w:val="24"/>
              </w:rPr>
              <w:t>，主要系本期催化剂产品销量增加及业务结构变化所致；归属于上市公司股东的净利润较上年同期增长</w:t>
            </w:r>
            <w:r>
              <w:rPr>
                <w:rFonts w:ascii="宋体" w:hAnsi="宋体"/>
                <w:sz w:val="24"/>
                <w:szCs w:val="24"/>
              </w:rPr>
              <w:t>90.48%</w:t>
            </w:r>
            <w:r>
              <w:rPr>
                <w:rFonts w:ascii="宋体" w:hAnsi="宋体"/>
                <w:sz w:val="24"/>
                <w:szCs w:val="24"/>
              </w:rPr>
              <w:t>，主要系本期催化剂产品销量增加，带动收入及利润增加所致。公司始终坚持创新驱动发展战略，持续研发投入，加速研发成果转化落地，一季度，公司医药领域和基础化工领域销量较上年同期分别增长</w:t>
            </w:r>
            <w:r>
              <w:rPr>
                <w:rFonts w:ascii="宋体" w:hAnsi="宋体"/>
                <w:sz w:val="24"/>
                <w:szCs w:val="24"/>
              </w:rPr>
              <w:t>174.88</w:t>
            </w:r>
            <w:r>
              <w:rPr>
                <w:rFonts w:ascii="宋体" w:hAnsi="宋体"/>
                <w:sz w:val="24"/>
                <w:szCs w:val="24"/>
              </w:rPr>
              <w:t>%</w:t>
            </w:r>
            <w:r>
              <w:rPr>
                <w:rFonts w:ascii="宋体" w:hAnsi="宋体"/>
                <w:sz w:val="24"/>
                <w:szCs w:val="24"/>
              </w:rPr>
              <w:t>和</w:t>
            </w:r>
            <w:r>
              <w:rPr>
                <w:rFonts w:ascii="宋体" w:hAnsi="宋体"/>
                <w:sz w:val="24"/>
                <w:szCs w:val="24"/>
              </w:rPr>
              <w:t>285.60%</w:t>
            </w:r>
            <w:r>
              <w:rPr>
                <w:rFonts w:ascii="宋体" w:hAnsi="宋体"/>
                <w:sz w:val="24"/>
                <w:szCs w:val="24"/>
              </w:rPr>
              <w:t>。公司二季度经营状况敬请关注公司披露的定期报告、业绩预告。感谢您对公司的关注！</w:t>
            </w:r>
          </w:p>
          <w:p w14:paraId="545B0E24"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11</w:t>
            </w:r>
            <w:r>
              <w:rPr>
                <w:rFonts w:ascii="宋体" w:hAnsi="宋体"/>
                <w:b/>
                <w:sz w:val="24"/>
                <w:szCs w:val="24"/>
              </w:rPr>
              <w:t>、铜川基地的产能利用率有多少</w:t>
            </w:r>
          </w:p>
          <w:p w14:paraId="443A640E"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尊敬的投资者您好！铜川公司所设计的</w:t>
            </w:r>
            <w:r>
              <w:rPr>
                <w:rFonts w:ascii="宋体" w:hAnsi="宋体"/>
                <w:sz w:val="24"/>
                <w:szCs w:val="24"/>
              </w:rPr>
              <w:t>3000</w:t>
            </w:r>
            <w:r>
              <w:rPr>
                <w:rFonts w:ascii="宋体" w:hAnsi="宋体"/>
                <w:sz w:val="24"/>
                <w:szCs w:val="24"/>
              </w:rPr>
              <w:t>吨产品产能的产能利用率为</w:t>
            </w:r>
            <w:r>
              <w:rPr>
                <w:rFonts w:ascii="宋体" w:hAnsi="宋体"/>
                <w:sz w:val="24"/>
                <w:szCs w:val="24"/>
              </w:rPr>
              <w:t>15.25%</w:t>
            </w:r>
            <w:r>
              <w:rPr>
                <w:rFonts w:ascii="宋体" w:hAnsi="宋体"/>
                <w:sz w:val="24"/>
                <w:szCs w:val="24"/>
              </w:rPr>
              <w:t>，所设计的</w:t>
            </w:r>
            <w:r>
              <w:rPr>
                <w:rFonts w:ascii="宋体" w:hAnsi="宋体"/>
                <w:sz w:val="24"/>
                <w:szCs w:val="24"/>
              </w:rPr>
              <w:t>2000</w:t>
            </w:r>
            <w:r>
              <w:rPr>
                <w:rFonts w:ascii="宋体" w:hAnsi="宋体"/>
                <w:sz w:val="24"/>
                <w:szCs w:val="24"/>
              </w:rPr>
              <w:t>吨回收产能的产能利用率为</w:t>
            </w:r>
            <w:r>
              <w:rPr>
                <w:rFonts w:ascii="宋体" w:hAnsi="宋体"/>
                <w:sz w:val="24"/>
                <w:szCs w:val="24"/>
              </w:rPr>
              <w:t>34.63%</w:t>
            </w:r>
            <w:r>
              <w:rPr>
                <w:rFonts w:ascii="宋体" w:hAnsi="宋体"/>
                <w:sz w:val="24"/>
                <w:szCs w:val="24"/>
              </w:rPr>
              <w:t>。感谢您对公司的关注！</w:t>
            </w:r>
          </w:p>
          <w:p w14:paraId="0F1D3E63"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12</w:t>
            </w:r>
            <w:r>
              <w:rPr>
                <w:rFonts w:ascii="宋体" w:hAnsi="宋体"/>
                <w:b/>
                <w:sz w:val="24"/>
                <w:szCs w:val="24"/>
              </w:rPr>
              <w:t>、</w:t>
            </w:r>
            <w:r>
              <w:rPr>
                <w:rFonts w:ascii="宋体" w:hAnsi="宋体"/>
                <w:b/>
                <w:sz w:val="24"/>
                <w:szCs w:val="24"/>
              </w:rPr>
              <w:t>2024</w:t>
            </w:r>
            <w:r>
              <w:rPr>
                <w:rFonts w:ascii="宋体" w:hAnsi="宋体"/>
                <w:b/>
                <w:sz w:val="24"/>
                <w:szCs w:val="24"/>
              </w:rPr>
              <w:t>年分红比例维持在</w:t>
            </w:r>
            <w:r>
              <w:rPr>
                <w:rFonts w:ascii="宋体" w:hAnsi="宋体"/>
                <w:b/>
                <w:sz w:val="24"/>
                <w:szCs w:val="24"/>
              </w:rPr>
              <w:t>30%</w:t>
            </w:r>
            <w:r>
              <w:rPr>
                <w:rFonts w:ascii="宋体" w:hAnsi="宋体"/>
                <w:b/>
                <w:sz w:val="24"/>
                <w:szCs w:val="24"/>
              </w:rPr>
              <w:t>，但公司货币资金占总资产比例下降至</w:t>
            </w:r>
            <w:r>
              <w:rPr>
                <w:rFonts w:ascii="宋体" w:hAnsi="宋体"/>
                <w:b/>
                <w:sz w:val="24"/>
                <w:szCs w:val="24"/>
              </w:rPr>
              <w:t>15%</w:t>
            </w:r>
            <w:r>
              <w:rPr>
                <w:rFonts w:ascii="宋体" w:hAnsi="宋体"/>
                <w:b/>
                <w:sz w:val="24"/>
                <w:szCs w:val="24"/>
              </w:rPr>
              <w:t>，在资本开支（如新产能建设）与股东回报之间如何权衡？未来是否有通过再融资（如可转债）支持扩张的计划？</w:t>
            </w:r>
          </w:p>
          <w:p w14:paraId="6FEF1283"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尊敬的投资者您好！公司上市以来已连续四年执行现</w:t>
            </w:r>
            <w:r>
              <w:rPr>
                <w:rFonts w:ascii="宋体" w:hAnsi="宋体"/>
                <w:sz w:val="24"/>
                <w:szCs w:val="24"/>
              </w:rPr>
              <w:t>金分红政策，每年现金分红占合并报表中归属于母公司股东的净利润比例均不低于</w:t>
            </w:r>
            <w:r>
              <w:rPr>
                <w:rFonts w:ascii="宋体" w:hAnsi="宋体"/>
                <w:sz w:val="24"/>
                <w:szCs w:val="24"/>
              </w:rPr>
              <w:t>30%</w:t>
            </w:r>
            <w:r>
              <w:rPr>
                <w:rFonts w:ascii="宋体" w:hAnsi="宋体"/>
                <w:sz w:val="24"/>
                <w:szCs w:val="24"/>
              </w:rPr>
              <w:t>。公司高度重视对投资者的回报，在充分考虑公司所处行业特性、发展阶段和战略规划，以及公司经营模式、盈利水平和重大资金安排的情况下，为投资者提供连续、稳定的投</w:t>
            </w:r>
            <w:r>
              <w:rPr>
                <w:rFonts w:ascii="宋体" w:hAnsi="宋体"/>
                <w:sz w:val="24"/>
                <w:szCs w:val="24"/>
              </w:rPr>
              <w:lastRenderedPageBreak/>
              <w:t>资回报。公司已于</w:t>
            </w:r>
            <w:r>
              <w:rPr>
                <w:rFonts w:ascii="宋体" w:hAnsi="宋体"/>
                <w:sz w:val="24"/>
                <w:szCs w:val="24"/>
              </w:rPr>
              <w:t>2025</w:t>
            </w:r>
            <w:r>
              <w:rPr>
                <w:rFonts w:ascii="宋体" w:hAnsi="宋体"/>
                <w:sz w:val="24"/>
                <w:szCs w:val="24"/>
              </w:rPr>
              <w:t>年</w:t>
            </w:r>
            <w:r>
              <w:rPr>
                <w:rFonts w:ascii="宋体" w:hAnsi="宋体"/>
                <w:sz w:val="24"/>
                <w:szCs w:val="24"/>
              </w:rPr>
              <w:t>4</w:t>
            </w:r>
            <w:r>
              <w:rPr>
                <w:rFonts w:ascii="宋体" w:hAnsi="宋体"/>
                <w:sz w:val="24"/>
                <w:szCs w:val="24"/>
              </w:rPr>
              <w:t>月</w:t>
            </w:r>
            <w:r>
              <w:rPr>
                <w:rFonts w:ascii="宋体" w:hAnsi="宋体"/>
                <w:sz w:val="24"/>
                <w:szCs w:val="24"/>
              </w:rPr>
              <w:t>21</w:t>
            </w:r>
            <w:r>
              <w:rPr>
                <w:rFonts w:ascii="宋体" w:hAnsi="宋体"/>
                <w:sz w:val="24"/>
                <w:szCs w:val="24"/>
              </w:rPr>
              <w:t>日在上海证券交易所网站披露了关于提请股东大会授权董事会以简易程序向特定对象发行股票并办理相关事宜的公告（公告编号：</w:t>
            </w:r>
            <w:r>
              <w:rPr>
                <w:rFonts w:ascii="宋体" w:hAnsi="宋体"/>
                <w:sz w:val="24"/>
                <w:szCs w:val="24"/>
              </w:rPr>
              <w:t>2025-011</w:t>
            </w:r>
            <w:r>
              <w:rPr>
                <w:rFonts w:ascii="宋体" w:hAnsi="宋体"/>
                <w:sz w:val="24"/>
                <w:szCs w:val="24"/>
              </w:rPr>
              <w:t>），未来如有相关事项，公司将根据相关法律、法规和业务规则及时履行信息披露义务。感谢您对公司的关注！</w:t>
            </w:r>
          </w:p>
          <w:p w14:paraId="41A60E6C"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13</w:t>
            </w:r>
            <w:r>
              <w:rPr>
                <w:rFonts w:ascii="宋体" w:hAnsi="宋体"/>
                <w:b/>
                <w:sz w:val="24"/>
                <w:szCs w:val="24"/>
              </w:rPr>
              <w:t>、</w:t>
            </w:r>
            <w:r>
              <w:rPr>
                <w:rFonts w:ascii="宋体" w:hAnsi="宋体"/>
                <w:b/>
                <w:sz w:val="24"/>
                <w:szCs w:val="24"/>
              </w:rPr>
              <w:t>2024</w:t>
            </w:r>
            <w:r>
              <w:rPr>
                <w:rFonts w:ascii="宋体" w:hAnsi="宋体"/>
                <w:b/>
                <w:sz w:val="24"/>
                <w:szCs w:val="24"/>
              </w:rPr>
              <w:t>年</w:t>
            </w:r>
            <w:r>
              <w:rPr>
                <w:rFonts w:ascii="宋体" w:hAnsi="宋体"/>
                <w:b/>
                <w:sz w:val="24"/>
                <w:szCs w:val="24"/>
              </w:rPr>
              <w:t>贵金属催化剂业务收入占比超</w:t>
            </w:r>
            <w:r>
              <w:rPr>
                <w:rFonts w:ascii="宋体" w:hAnsi="宋体"/>
                <w:b/>
                <w:sz w:val="24"/>
                <w:szCs w:val="24"/>
              </w:rPr>
              <w:t>90%</w:t>
            </w:r>
            <w:r>
              <w:rPr>
                <w:rFonts w:ascii="宋体" w:hAnsi="宋体"/>
                <w:b/>
                <w:sz w:val="24"/>
                <w:szCs w:val="24"/>
              </w:rPr>
              <w:t>，但钯、铂等贵金属价格波动较大，公司如何通过套期保值工具或库存管理策略降低价格波动对毛利率的影响？是否有通过回收技术提升贵金属循环利用率的具体措施？</w:t>
            </w:r>
          </w:p>
          <w:p w14:paraId="1A840F31"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尊敬的投资者您好！公司套期保值相关措施详见《关于公司</w:t>
            </w:r>
            <w:r>
              <w:rPr>
                <w:rFonts w:ascii="宋体" w:hAnsi="宋体"/>
                <w:sz w:val="24"/>
                <w:szCs w:val="24"/>
              </w:rPr>
              <w:t>2025</w:t>
            </w:r>
            <w:r>
              <w:rPr>
                <w:rFonts w:ascii="宋体" w:hAnsi="宋体"/>
                <w:sz w:val="24"/>
                <w:szCs w:val="24"/>
              </w:rPr>
              <w:t>年度开展套期保值业务的公告》（公告编号：</w:t>
            </w:r>
            <w:r>
              <w:rPr>
                <w:rFonts w:ascii="宋体" w:hAnsi="宋体"/>
                <w:sz w:val="24"/>
                <w:szCs w:val="24"/>
              </w:rPr>
              <w:t>2025-012</w:t>
            </w:r>
            <w:r>
              <w:rPr>
                <w:rFonts w:ascii="宋体" w:hAnsi="宋体"/>
                <w:sz w:val="24"/>
                <w:szCs w:val="24"/>
              </w:rPr>
              <w:t>），公司目前未开展套期保值业务，如需，公司将开展套期保值业务降低公司原材料市场价格波动、汇率波动带来的经营风险。同时，公司通过加强与供应商的战略合作，并拓展废旧贵金属催化剂回收业务，来增加原料供应的稳定性，提高公司</w:t>
            </w:r>
            <w:r>
              <w:rPr>
                <w:rFonts w:ascii="宋体" w:hAnsi="宋体"/>
                <w:sz w:val="24"/>
                <w:szCs w:val="24"/>
              </w:rPr>
              <w:t>贵金属产品的循环利用率，有效面对贵金属市场变化。感谢您对公司的关注！</w:t>
            </w:r>
          </w:p>
          <w:p w14:paraId="574788FD"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14</w:t>
            </w:r>
            <w:r>
              <w:rPr>
                <w:rFonts w:ascii="宋体" w:hAnsi="宋体"/>
                <w:b/>
                <w:sz w:val="24"/>
                <w:szCs w:val="24"/>
              </w:rPr>
              <w:t>、</w:t>
            </w:r>
            <w:r>
              <w:rPr>
                <w:rFonts w:ascii="宋体" w:hAnsi="宋体"/>
                <w:b/>
                <w:sz w:val="24"/>
                <w:szCs w:val="24"/>
              </w:rPr>
              <w:t>2024</w:t>
            </w:r>
            <w:r>
              <w:rPr>
                <w:rFonts w:ascii="宋体" w:hAnsi="宋体"/>
                <w:b/>
                <w:sz w:val="24"/>
                <w:szCs w:val="24"/>
              </w:rPr>
              <w:t>年</w:t>
            </w:r>
            <w:r>
              <w:rPr>
                <w:rFonts w:ascii="宋体" w:hAnsi="宋体"/>
                <w:b/>
                <w:sz w:val="24"/>
                <w:szCs w:val="24"/>
              </w:rPr>
              <w:t>ESG</w:t>
            </w:r>
            <w:r>
              <w:rPr>
                <w:rFonts w:ascii="宋体" w:hAnsi="宋体"/>
                <w:b/>
                <w:sz w:val="24"/>
                <w:szCs w:val="24"/>
              </w:rPr>
              <w:t>评级未公开披露，但公司提到</w:t>
            </w:r>
            <w:r>
              <w:rPr>
                <w:rFonts w:ascii="宋体" w:hAnsi="宋体"/>
                <w:b/>
                <w:sz w:val="24"/>
                <w:szCs w:val="24"/>
              </w:rPr>
              <w:t>“</w:t>
            </w:r>
            <w:r>
              <w:rPr>
                <w:rFonts w:ascii="宋体" w:hAnsi="宋体"/>
                <w:b/>
                <w:sz w:val="24"/>
                <w:szCs w:val="24"/>
              </w:rPr>
              <w:t>绿色催化</w:t>
            </w:r>
            <w:r>
              <w:rPr>
                <w:rFonts w:ascii="宋体" w:hAnsi="宋体"/>
                <w:b/>
                <w:sz w:val="24"/>
                <w:szCs w:val="24"/>
              </w:rPr>
              <w:t>”</w:t>
            </w:r>
            <w:r>
              <w:rPr>
                <w:rFonts w:ascii="宋体" w:hAnsi="宋体"/>
                <w:b/>
                <w:sz w:val="24"/>
                <w:szCs w:val="24"/>
              </w:rPr>
              <w:t>理念，是否有制定明确的</w:t>
            </w:r>
            <w:r>
              <w:rPr>
                <w:rFonts w:ascii="宋体" w:hAnsi="宋体"/>
                <w:b/>
                <w:sz w:val="24"/>
                <w:szCs w:val="24"/>
              </w:rPr>
              <w:t>ESG</w:t>
            </w:r>
            <w:r>
              <w:rPr>
                <w:rFonts w:ascii="宋体" w:hAnsi="宋体"/>
                <w:b/>
                <w:sz w:val="24"/>
                <w:szCs w:val="24"/>
              </w:rPr>
              <w:t>目标（如碳排放强度下降比例）？如何将</w:t>
            </w:r>
            <w:r>
              <w:rPr>
                <w:rFonts w:ascii="宋体" w:hAnsi="宋体"/>
                <w:b/>
                <w:sz w:val="24"/>
                <w:szCs w:val="24"/>
              </w:rPr>
              <w:t>ESG</w:t>
            </w:r>
            <w:r>
              <w:rPr>
                <w:rFonts w:ascii="宋体" w:hAnsi="宋体"/>
                <w:b/>
                <w:sz w:val="24"/>
                <w:szCs w:val="24"/>
              </w:rPr>
              <w:t>理念融入产品全生命周期（如原料采购、生产工艺、回收利用）？</w:t>
            </w:r>
          </w:p>
          <w:p w14:paraId="6E5F48F8"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国家降碳规划给公司带来了发展机遇和挑战，公司坚持绿色低碳发展战略，通过技术攻关从催化剂制备、催化应用技术及资源循环回收再利用三方面，向更加低能耗、低废水、资源循环利用等有利于减少碳生成的方向发展。同时公司也积极布局环保、新能源等领域，从能源端支持碳减排。相关信息主要在年报和提质增效报告中予以披露。感谢您对公司的关注！</w:t>
            </w:r>
          </w:p>
          <w:p w14:paraId="587F43FC"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15</w:t>
            </w:r>
            <w:r>
              <w:rPr>
                <w:rFonts w:ascii="宋体" w:hAnsi="宋体"/>
                <w:b/>
                <w:sz w:val="24"/>
                <w:szCs w:val="24"/>
              </w:rPr>
              <w:t>、</w:t>
            </w:r>
            <w:r>
              <w:rPr>
                <w:rFonts w:ascii="宋体" w:hAnsi="宋体"/>
                <w:b/>
                <w:sz w:val="24"/>
                <w:szCs w:val="24"/>
              </w:rPr>
              <w:t>2024</w:t>
            </w:r>
            <w:r>
              <w:rPr>
                <w:rFonts w:ascii="宋体" w:hAnsi="宋体"/>
                <w:b/>
                <w:sz w:val="24"/>
                <w:szCs w:val="24"/>
              </w:rPr>
              <w:t>年产能利用率同比下降至</w:t>
            </w:r>
            <w:r>
              <w:rPr>
                <w:rFonts w:ascii="宋体" w:hAnsi="宋体"/>
                <w:b/>
                <w:sz w:val="24"/>
                <w:szCs w:val="24"/>
              </w:rPr>
              <w:t>78%</w:t>
            </w:r>
            <w:r>
              <w:rPr>
                <w:rFonts w:ascii="宋体" w:hAnsi="宋体"/>
                <w:b/>
                <w:sz w:val="24"/>
                <w:szCs w:val="24"/>
              </w:rPr>
              <w:t>，主要因部分新产能爬坡期延长，公司如何评估新增产能的消化能力？是否有通过定制化产品开发或与下游客户共建产能锁定订单的计</w:t>
            </w:r>
            <w:r>
              <w:rPr>
                <w:rFonts w:ascii="宋体" w:hAnsi="宋体"/>
                <w:b/>
                <w:sz w:val="24"/>
                <w:szCs w:val="24"/>
              </w:rPr>
              <w:lastRenderedPageBreak/>
              <w:t>划？</w:t>
            </w:r>
          </w:p>
          <w:p w14:paraId="255FF7FC"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w:t>
            </w:r>
            <w:r>
              <w:rPr>
                <w:rFonts w:ascii="宋体" w:hAnsi="宋体"/>
                <w:sz w:val="24"/>
                <w:szCs w:val="24"/>
              </w:rPr>
              <w:t>资者您好！公司</w:t>
            </w:r>
            <w:r>
              <w:rPr>
                <w:rFonts w:ascii="宋体" w:hAnsi="宋体"/>
                <w:sz w:val="24"/>
                <w:szCs w:val="24"/>
              </w:rPr>
              <w:t>2024</w:t>
            </w:r>
            <w:r>
              <w:rPr>
                <w:rFonts w:ascii="宋体" w:hAnsi="宋体"/>
                <w:sz w:val="24"/>
                <w:szCs w:val="24"/>
              </w:rPr>
              <w:t>年分厂区产能利用率分别为凯立新材</w:t>
            </w:r>
            <w:r>
              <w:rPr>
                <w:rFonts w:ascii="宋体" w:hAnsi="宋体"/>
                <w:sz w:val="24"/>
                <w:szCs w:val="24"/>
              </w:rPr>
              <w:t>92.18%</w:t>
            </w:r>
            <w:r>
              <w:rPr>
                <w:rFonts w:ascii="宋体" w:hAnsi="宋体"/>
                <w:sz w:val="24"/>
                <w:szCs w:val="24"/>
              </w:rPr>
              <w:t>，铜川凯立</w:t>
            </w:r>
            <w:r>
              <w:rPr>
                <w:rFonts w:ascii="宋体" w:hAnsi="宋体"/>
                <w:sz w:val="24"/>
                <w:szCs w:val="24"/>
              </w:rPr>
              <w:t>15.25%</w:t>
            </w:r>
            <w:r>
              <w:rPr>
                <w:rFonts w:ascii="宋体" w:hAnsi="宋体"/>
                <w:sz w:val="24"/>
                <w:szCs w:val="24"/>
              </w:rPr>
              <w:t>、</w:t>
            </w:r>
            <w:r>
              <w:rPr>
                <w:rFonts w:ascii="宋体" w:hAnsi="宋体"/>
                <w:sz w:val="24"/>
                <w:szCs w:val="24"/>
              </w:rPr>
              <w:t>34.63%</w:t>
            </w:r>
            <w:r>
              <w:rPr>
                <w:rFonts w:ascii="宋体" w:hAnsi="宋体"/>
                <w:sz w:val="24"/>
                <w:szCs w:val="24"/>
              </w:rPr>
              <w:t>，铜川凯立产能利用率是由于公司募投项目稀贵金属催化材料生产再利用产业化项目产能持续释放中，项目按照规划的产能释放节奏，增强了公司生产能力和综合服务能力，完善产业链，有助于公司进一步提高市场竞争力、市场响应力和行业影响力。感谢您对公司的关注！</w:t>
            </w:r>
          </w:p>
          <w:p w14:paraId="6DB9456D"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16</w:t>
            </w:r>
            <w:r>
              <w:rPr>
                <w:rFonts w:ascii="宋体" w:hAnsi="宋体"/>
                <w:b/>
                <w:sz w:val="24"/>
                <w:szCs w:val="24"/>
              </w:rPr>
              <w:t>、</w:t>
            </w:r>
            <w:r>
              <w:rPr>
                <w:rFonts w:ascii="宋体" w:hAnsi="宋体"/>
                <w:b/>
                <w:sz w:val="24"/>
                <w:szCs w:val="24"/>
              </w:rPr>
              <w:t>2024</w:t>
            </w:r>
            <w:r>
              <w:rPr>
                <w:rFonts w:ascii="宋体" w:hAnsi="宋体"/>
                <w:b/>
                <w:sz w:val="24"/>
                <w:szCs w:val="24"/>
              </w:rPr>
              <w:t>年毛利率同比下降</w:t>
            </w:r>
            <w:r>
              <w:rPr>
                <w:rFonts w:ascii="宋体" w:hAnsi="宋体"/>
                <w:b/>
                <w:sz w:val="24"/>
                <w:szCs w:val="24"/>
              </w:rPr>
              <w:t>2.3</w:t>
            </w:r>
            <w:r>
              <w:rPr>
                <w:rFonts w:ascii="宋体" w:hAnsi="宋体"/>
                <w:b/>
                <w:sz w:val="24"/>
                <w:szCs w:val="24"/>
              </w:rPr>
              <w:t>个百分点至</w:t>
            </w:r>
            <w:r>
              <w:rPr>
                <w:rFonts w:ascii="宋体" w:hAnsi="宋体"/>
                <w:b/>
                <w:sz w:val="24"/>
                <w:szCs w:val="24"/>
              </w:rPr>
              <w:t>28.5%</w:t>
            </w:r>
            <w:r>
              <w:rPr>
                <w:rFonts w:ascii="宋体" w:hAnsi="宋体"/>
                <w:b/>
                <w:sz w:val="24"/>
                <w:szCs w:val="24"/>
              </w:rPr>
              <w:t>，主要因贵金属成本占比提升，公司如何通过产品定价策略（如成本加成与市场联动）或工艺改进（如降低贵金属负载量）保持</w:t>
            </w:r>
            <w:r>
              <w:rPr>
                <w:rFonts w:ascii="宋体" w:hAnsi="宋体"/>
                <w:b/>
                <w:sz w:val="24"/>
                <w:szCs w:val="24"/>
              </w:rPr>
              <w:t>盈利能力？</w:t>
            </w:r>
          </w:p>
          <w:p w14:paraId="77A9605A"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尊敬的投资者您好！公司营业收入毛利率较上年同期相比下降</w:t>
            </w:r>
            <w:r>
              <w:rPr>
                <w:rFonts w:ascii="宋体" w:hAnsi="宋体"/>
                <w:sz w:val="24"/>
                <w:szCs w:val="24"/>
              </w:rPr>
              <w:t>0.76%</w:t>
            </w:r>
            <w:r>
              <w:rPr>
                <w:rFonts w:ascii="宋体" w:hAnsi="宋体"/>
                <w:sz w:val="24"/>
                <w:szCs w:val="24"/>
              </w:rPr>
              <w:t>至</w:t>
            </w:r>
            <w:r>
              <w:rPr>
                <w:rFonts w:ascii="宋体" w:hAnsi="宋体"/>
                <w:sz w:val="24"/>
                <w:szCs w:val="24"/>
              </w:rPr>
              <w:t>11.23%</w:t>
            </w:r>
            <w:r>
              <w:rPr>
                <w:rFonts w:ascii="宋体" w:hAnsi="宋体"/>
                <w:sz w:val="24"/>
                <w:szCs w:val="24"/>
              </w:rPr>
              <w:t>。主要是（</w:t>
            </w:r>
            <w:r>
              <w:rPr>
                <w:rFonts w:ascii="宋体" w:hAnsi="宋体"/>
                <w:sz w:val="24"/>
                <w:szCs w:val="24"/>
              </w:rPr>
              <w:t>1</w:t>
            </w:r>
            <w:r>
              <w:rPr>
                <w:rFonts w:ascii="宋体" w:hAnsi="宋体"/>
                <w:sz w:val="24"/>
                <w:szCs w:val="24"/>
              </w:rPr>
              <w:t>）先进催化材料与技术创新中心及产业化建设项目、稀贵金属催化材料生产再利用产业化项目、催化氢化技术示范性生产平台项目完工投入运营，折旧及人员等运营成本增加导致成本费用较上年同期增加；（</w:t>
            </w:r>
            <w:r>
              <w:rPr>
                <w:rFonts w:ascii="宋体" w:hAnsi="宋体"/>
                <w:sz w:val="24"/>
                <w:szCs w:val="24"/>
              </w:rPr>
              <w:t>2</w:t>
            </w:r>
            <w:r>
              <w:rPr>
                <w:rFonts w:ascii="宋体" w:hAnsi="宋体"/>
                <w:sz w:val="24"/>
                <w:szCs w:val="24"/>
              </w:rPr>
              <w:t>）报告期毛利率较高的技术服务收入较上年同期减少</w:t>
            </w:r>
            <w:r>
              <w:rPr>
                <w:rFonts w:ascii="宋体" w:hAnsi="宋体"/>
                <w:sz w:val="24"/>
                <w:szCs w:val="24"/>
              </w:rPr>
              <w:t xml:space="preserve"> 2,171.67 </w:t>
            </w:r>
            <w:r>
              <w:rPr>
                <w:rFonts w:ascii="宋体" w:hAnsi="宋体"/>
                <w:sz w:val="24"/>
                <w:szCs w:val="24"/>
              </w:rPr>
              <w:t>万元。公司催化剂产品为下游客户生产过程中核心试剂与助剂，定制化程度高，公司主要通过性能优势提升市场竞争力，其中也包括降低贵金属负载量的等效减量研究提升产品竞争力</w:t>
            </w:r>
            <w:r>
              <w:rPr>
                <w:rFonts w:ascii="宋体" w:hAnsi="宋体"/>
                <w:sz w:val="24"/>
                <w:szCs w:val="24"/>
              </w:rPr>
              <w:t>。感谢您对公司的关注！</w:t>
            </w:r>
          </w:p>
          <w:p w14:paraId="37E26358"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17</w:t>
            </w:r>
            <w:r>
              <w:rPr>
                <w:rFonts w:ascii="宋体" w:hAnsi="宋体"/>
                <w:b/>
                <w:sz w:val="24"/>
                <w:szCs w:val="24"/>
              </w:rPr>
              <w:t>、</w:t>
            </w:r>
            <w:r>
              <w:rPr>
                <w:rFonts w:ascii="宋体" w:hAnsi="宋体"/>
                <w:b/>
                <w:sz w:val="24"/>
                <w:szCs w:val="24"/>
              </w:rPr>
              <w:t>2024</w:t>
            </w:r>
            <w:r>
              <w:rPr>
                <w:rFonts w:ascii="宋体" w:hAnsi="宋体"/>
                <w:b/>
                <w:sz w:val="24"/>
                <w:szCs w:val="24"/>
              </w:rPr>
              <w:t>年核心技术人员流失率同比上升，公司如何通过激励机制（如股权激励、项目分红）或研发平台建设稳定人才队伍？是否有针对青年科研人员的培养计划？</w:t>
            </w:r>
          </w:p>
          <w:p w14:paraId="0309EA2F"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尊敬的投资者您好！公司上市以来认定核心技术人员</w:t>
            </w:r>
            <w:r>
              <w:rPr>
                <w:rFonts w:ascii="宋体" w:hAnsi="宋体"/>
                <w:sz w:val="24"/>
                <w:szCs w:val="24"/>
              </w:rPr>
              <w:t>8</w:t>
            </w:r>
            <w:r>
              <w:rPr>
                <w:rFonts w:ascii="宋体" w:hAnsi="宋体"/>
                <w:sz w:val="24"/>
                <w:szCs w:val="24"/>
              </w:rPr>
              <w:t>名，认定至今，未有核心技术人员流失。公司股权激励充分，董监高及员工股东持股占比</w:t>
            </w:r>
            <w:r>
              <w:rPr>
                <w:rFonts w:ascii="宋体" w:hAnsi="宋体"/>
                <w:sz w:val="24"/>
                <w:szCs w:val="24"/>
              </w:rPr>
              <w:t>20%</w:t>
            </w:r>
            <w:r>
              <w:rPr>
                <w:rFonts w:ascii="宋体" w:hAnsi="宋体"/>
                <w:sz w:val="24"/>
                <w:szCs w:val="24"/>
              </w:rPr>
              <w:t>左右，激励员工人数占公司总人数的近五分之一。进行股权激励的同时，公司实行薪酬双向通道，一个是通过管理能力和岗位的提升来提升薪酬，一个是通过专业领域能力提升来提升薪酬，专业领域的通道可以使技术人员的薪酬达</w:t>
            </w:r>
            <w:r>
              <w:rPr>
                <w:rFonts w:ascii="宋体" w:hAnsi="宋体"/>
                <w:sz w:val="24"/>
                <w:szCs w:val="24"/>
              </w:rPr>
              <w:lastRenderedPageBreak/>
              <w:t>到</w:t>
            </w:r>
            <w:r>
              <w:rPr>
                <w:rFonts w:ascii="宋体" w:hAnsi="宋体"/>
                <w:sz w:val="24"/>
                <w:szCs w:val="24"/>
              </w:rPr>
              <w:t>甚至超过董事长的级别，有利于保护和激励核心技术人员专注在专业发展。日常考核中公司将创新能力及成果转化作为指标，研发工作围绕短中长期研发目标结合开展，倡导研发人员以研发成果产业化为目标开展研发活动。同时公司也与专业研究院校院所开展合作，外聘专家团队，定期开展学术交流，指导研发活动，提升公司研发团队专业水平。感谢您对公司的关注！</w:t>
            </w:r>
          </w:p>
          <w:p w14:paraId="2E69BDEE"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18</w:t>
            </w:r>
            <w:r>
              <w:rPr>
                <w:rFonts w:ascii="宋体" w:hAnsi="宋体"/>
                <w:b/>
                <w:sz w:val="24"/>
                <w:szCs w:val="24"/>
              </w:rPr>
              <w:t>、</w:t>
            </w:r>
            <w:r>
              <w:rPr>
                <w:rFonts w:ascii="宋体" w:hAnsi="宋体"/>
                <w:b/>
                <w:sz w:val="24"/>
                <w:szCs w:val="24"/>
              </w:rPr>
              <w:t>2024</w:t>
            </w:r>
            <w:r>
              <w:rPr>
                <w:rFonts w:ascii="宋体" w:hAnsi="宋体"/>
                <w:b/>
                <w:sz w:val="24"/>
                <w:szCs w:val="24"/>
              </w:rPr>
              <w:t>年数字化营销投入同比增长</w:t>
            </w:r>
            <w:r>
              <w:rPr>
                <w:rFonts w:ascii="宋体" w:hAnsi="宋体"/>
                <w:b/>
                <w:sz w:val="24"/>
                <w:szCs w:val="24"/>
              </w:rPr>
              <w:t>30%</w:t>
            </w:r>
            <w:r>
              <w:rPr>
                <w:rFonts w:ascii="宋体" w:hAnsi="宋体"/>
                <w:b/>
                <w:sz w:val="24"/>
                <w:szCs w:val="24"/>
              </w:rPr>
              <w:t>，但线上渠道收入占比不足</w:t>
            </w:r>
            <w:r>
              <w:rPr>
                <w:rFonts w:ascii="宋体" w:hAnsi="宋体"/>
                <w:b/>
                <w:sz w:val="24"/>
                <w:szCs w:val="24"/>
              </w:rPr>
              <w:t>5%</w:t>
            </w:r>
            <w:r>
              <w:rPr>
                <w:rFonts w:ascii="宋体" w:hAnsi="宋体"/>
                <w:b/>
                <w:sz w:val="24"/>
                <w:szCs w:val="24"/>
              </w:rPr>
              <w:t>，公司如何评估数字化营销的投入产出比？是否有通过行业展会直播、技术研讨会等线上活动提升品牌影响力的计划？</w:t>
            </w:r>
          </w:p>
          <w:p w14:paraId="29A8176D"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w:t>
            </w:r>
            <w:r>
              <w:rPr>
                <w:rFonts w:ascii="宋体" w:hAnsi="宋体"/>
                <w:sz w:val="24"/>
                <w:szCs w:val="24"/>
              </w:rPr>
              <w:t>投资者您好！公司产品及技术为催化剂产品及其应用技术，需要经过小试、中试及工业放大来评估适用性，定制化程度高，因此以直销为主，线上渠道主要功能为宣传。公司也会通过定期参加行业内展会与上下游客户交流以拓宽公司销售渠道，在自主研发的同时，积极与复旦大学、中科院大连化学物理研究所等高校院所开展产学研合作，助力科研成果的转化，提升公司的专业水平及行业影响力。感谢您对公司的关注！</w:t>
            </w:r>
          </w:p>
          <w:p w14:paraId="30977169"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19</w:t>
            </w:r>
            <w:r>
              <w:rPr>
                <w:rFonts w:ascii="宋体" w:hAnsi="宋体"/>
                <w:b/>
                <w:sz w:val="24"/>
                <w:szCs w:val="24"/>
              </w:rPr>
              <w:t>、请问，国家政策上鼓励上市公司进行回购和增持等方式来提升上市公司的内在价值，并提供了低息贷款来方便上市公司回购。公司作为陕西国企的一员，</w:t>
            </w:r>
            <w:r>
              <w:rPr>
                <w:rFonts w:ascii="宋体" w:hAnsi="宋体"/>
                <w:b/>
                <w:sz w:val="24"/>
                <w:szCs w:val="24"/>
              </w:rPr>
              <w:t>是否会响应国家的政策号召进行回购和增持？如果并无回购计划，主要是什么原因？</w:t>
            </w:r>
          </w:p>
          <w:p w14:paraId="3CE6A78E"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尊敬的投资者您好！公司始终高度重视公司全体股东权益及公司市值管理，积极响应国家政策，</w:t>
            </w:r>
            <w:r>
              <w:rPr>
                <w:rFonts w:ascii="宋体" w:hAnsi="宋体"/>
                <w:sz w:val="24"/>
                <w:szCs w:val="24"/>
              </w:rPr>
              <w:t>2023</w:t>
            </w:r>
            <w:r>
              <w:rPr>
                <w:rFonts w:ascii="宋体" w:hAnsi="宋体"/>
                <w:sz w:val="24"/>
                <w:szCs w:val="24"/>
              </w:rPr>
              <w:t>年</w:t>
            </w:r>
            <w:r>
              <w:rPr>
                <w:rFonts w:ascii="宋体" w:hAnsi="宋体"/>
                <w:sz w:val="24"/>
                <w:szCs w:val="24"/>
              </w:rPr>
              <w:t>6</w:t>
            </w:r>
            <w:r>
              <w:rPr>
                <w:rFonts w:ascii="宋体" w:hAnsi="宋体"/>
                <w:sz w:val="24"/>
                <w:szCs w:val="24"/>
              </w:rPr>
              <w:t>月部分董监高、核心技术人员基于对公司未来发展的信心和对公司长期价值投资的认可，通过集中竞价方式累计增持公司股份</w:t>
            </w:r>
            <w:r>
              <w:rPr>
                <w:rFonts w:ascii="宋体" w:hAnsi="宋体"/>
                <w:sz w:val="24"/>
                <w:szCs w:val="24"/>
              </w:rPr>
              <w:t>158,590</w:t>
            </w:r>
            <w:r>
              <w:rPr>
                <w:rFonts w:ascii="宋体" w:hAnsi="宋体"/>
                <w:sz w:val="24"/>
                <w:szCs w:val="24"/>
              </w:rPr>
              <w:t>股，增持</w:t>
            </w:r>
            <w:r>
              <w:rPr>
                <w:rFonts w:ascii="宋体" w:hAnsi="宋体"/>
                <w:sz w:val="24"/>
                <w:szCs w:val="24"/>
              </w:rPr>
              <w:t>988.07</w:t>
            </w:r>
            <w:r>
              <w:rPr>
                <w:rFonts w:ascii="宋体" w:hAnsi="宋体"/>
                <w:sz w:val="24"/>
                <w:szCs w:val="24"/>
              </w:rPr>
              <w:t>万元。对于股份回购事项暂无安排。未来如有回购或增持等相关事项，公司将根据相关法律、法规和业务规则及时履行信息披露义务，感谢您对公司的关注！</w:t>
            </w:r>
          </w:p>
          <w:p w14:paraId="77B6C754"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20</w:t>
            </w:r>
            <w:r>
              <w:rPr>
                <w:rFonts w:ascii="宋体" w:hAnsi="宋体"/>
                <w:b/>
                <w:sz w:val="24"/>
                <w:szCs w:val="24"/>
              </w:rPr>
              <w:t>、请问，公司</w:t>
            </w:r>
            <w:r>
              <w:rPr>
                <w:rFonts w:ascii="宋体" w:hAnsi="宋体"/>
                <w:b/>
                <w:sz w:val="24"/>
                <w:szCs w:val="24"/>
              </w:rPr>
              <w:t>2024</w:t>
            </w:r>
            <w:r>
              <w:rPr>
                <w:rFonts w:ascii="宋体" w:hAnsi="宋体"/>
                <w:b/>
                <w:sz w:val="24"/>
                <w:szCs w:val="24"/>
              </w:rPr>
              <w:t>年技术服务的订单情况有所下滑，今</w:t>
            </w:r>
            <w:r>
              <w:rPr>
                <w:rFonts w:ascii="宋体" w:hAnsi="宋体"/>
                <w:b/>
                <w:sz w:val="24"/>
                <w:szCs w:val="24"/>
              </w:rPr>
              <w:lastRenderedPageBreak/>
              <w:t>年这个业务是否有好转的迹象？目前这个业务的</w:t>
            </w:r>
            <w:r>
              <w:rPr>
                <w:rFonts w:ascii="宋体" w:hAnsi="宋体"/>
                <w:b/>
                <w:sz w:val="24"/>
                <w:szCs w:val="24"/>
              </w:rPr>
              <w:t xml:space="preserve"> </w:t>
            </w:r>
            <w:r>
              <w:rPr>
                <w:rFonts w:ascii="宋体" w:hAnsi="宋体"/>
                <w:b/>
                <w:sz w:val="24"/>
                <w:szCs w:val="24"/>
              </w:rPr>
              <w:br/>
            </w:r>
            <w:r>
              <w:rPr>
                <w:rFonts w:ascii="宋体" w:hAnsi="宋体"/>
                <w:b/>
                <w:sz w:val="24"/>
                <w:szCs w:val="24"/>
              </w:rPr>
              <w:t>订单情况如何？</w:t>
            </w:r>
          </w:p>
          <w:p w14:paraId="3A09CC10"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尊敬的投资者您好，催化剂应用技术服务较上年同期减少</w:t>
            </w:r>
            <w:r>
              <w:rPr>
                <w:rFonts w:ascii="宋体" w:hAnsi="宋体"/>
                <w:sz w:val="24"/>
                <w:szCs w:val="24"/>
              </w:rPr>
              <w:t>83.97%</w:t>
            </w:r>
            <w:r>
              <w:rPr>
                <w:rFonts w:ascii="宋体" w:hAnsi="宋体"/>
                <w:sz w:val="24"/>
                <w:szCs w:val="24"/>
              </w:rPr>
              <w:t>，主要系报告期内在手订单未达到确认条件所致。公司催化应用技术服务模式是根据客户需求，结合公司的技术储备和研发能力，公司与客户协商确定需要开发的工艺技术的技术指标及经济指标，双方达成一致后，公司将根据技术指标要求进行研究开发，向客户提供全流程或部分环节的解决方案并收取费用，该业务未来订单情况敬请关注公司披露的定期报告、业绩预告。感谢您对公司的关注！</w:t>
            </w:r>
          </w:p>
          <w:p w14:paraId="24E6670B" w14:textId="77777777" w:rsidR="00FA5826" w:rsidRDefault="005C66B7">
            <w:pPr>
              <w:pStyle w:val="Style6"/>
              <w:spacing w:line="460" w:lineRule="exact"/>
              <w:ind w:left="413" w:firstLineChars="0" w:firstLine="0"/>
              <w:rPr>
                <w:rFonts w:ascii="宋体" w:hAnsi="宋体"/>
                <w:b/>
                <w:sz w:val="24"/>
                <w:szCs w:val="24"/>
              </w:rPr>
            </w:pPr>
            <w:r>
              <w:rPr>
                <w:rFonts w:ascii="宋体" w:hAnsi="宋体"/>
                <w:b/>
                <w:sz w:val="24"/>
                <w:szCs w:val="24"/>
              </w:rPr>
              <w:t>21</w:t>
            </w:r>
            <w:r>
              <w:rPr>
                <w:rFonts w:ascii="宋体" w:hAnsi="宋体"/>
                <w:b/>
                <w:sz w:val="24"/>
                <w:szCs w:val="24"/>
              </w:rPr>
              <w:t>、请问，公司今年</w:t>
            </w:r>
            <w:r>
              <w:rPr>
                <w:rFonts w:ascii="宋体" w:hAnsi="宋体"/>
                <w:b/>
                <w:sz w:val="24"/>
                <w:szCs w:val="24"/>
              </w:rPr>
              <w:t>1</w:t>
            </w:r>
            <w:r>
              <w:rPr>
                <w:rFonts w:ascii="宋体" w:hAnsi="宋体"/>
                <w:b/>
                <w:sz w:val="24"/>
                <w:szCs w:val="24"/>
              </w:rPr>
              <w:t>季度业绩有转好的</w:t>
            </w:r>
            <w:r>
              <w:rPr>
                <w:rFonts w:ascii="宋体" w:hAnsi="宋体"/>
                <w:b/>
                <w:sz w:val="24"/>
                <w:szCs w:val="24"/>
              </w:rPr>
              <w:t>迹象，</w:t>
            </w:r>
            <w:r>
              <w:rPr>
                <w:rFonts w:ascii="宋体" w:hAnsi="宋体"/>
                <w:b/>
                <w:sz w:val="24"/>
                <w:szCs w:val="24"/>
              </w:rPr>
              <w:t>2</w:t>
            </w:r>
            <w:r>
              <w:rPr>
                <w:rFonts w:ascii="宋体" w:hAnsi="宋体"/>
                <w:b/>
                <w:sz w:val="24"/>
                <w:szCs w:val="24"/>
              </w:rPr>
              <w:t>季度是否会延续这个趋势？公司</w:t>
            </w:r>
            <w:r>
              <w:rPr>
                <w:rFonts w:ascii="宋体" w:hAnsi="宋体"/>
                <w:b/>
                <w:sz w:val="24"/>
                <w:szCs w:val="24"/>
              </w:rPr>
              <w:t>2</w:t>
            </w:r>
            <w:r>
              <w:rPr>
                <w:rFonts w:ascii="宋体" w:hAnsi="宋体"/>
                <w:b/>
                <w:sz w:val="24"/>
                <w:szCs w:val="24"/>
              </w:rPr>
              <w:t>季度的经营状况如何？</w:t>
            </w:r>
          </w:p>
          <w:p w14:paraId="360BD3AF" w14:textId="77777777" w:rsidR="00FA5826" w:rsidRDefault="005C66B7">
            <w:pPr>
              <w:pStyle w:val="Style6"/>
              <w:spacing w:line="460" w:lineRule="exact"/>
              <w:ind w:leftChars="-1" w:left="-2" w:firstLine="480"/>
              <w:rPr>
                <w:rFonts w:ascii="宋体" w:hAnsi="宋体"/>
                <w:sz w:val="24"/>
                <w:szCs w:val="24"/>
              </w:rPr>
            </w:pPr>
            <w:r>
              <w:rPr>
                <w:rFonts w:ascii="宋体" w:hAnsi="宋体"/>
                <w:sz w:val="24"/>
                <w:szCs w:val="24"/>
              </w:rPr>
              <w:t>尊敬的投资者您好，公司</w:t>
            </w:r>
            <w:r>
              <w:rPr>
                <w:rFonts w:ascii="宋体" w:hAnsi="宋体"/>
                <w:sz w:val="24"/>
                <w:szCs w:val="24"/>
              </w:rPr>
              <w:t>2025</w:t>
            </w:r>
            <w:r>
              <w:rPr>
                <w:rFonts w:ascii="宋体" w:hAnsi="宋体"/>
                <w:sz w:val="24"/>
                <w:szCs w:val="24"/>
              </w:rPr>
              <w:t>年一季度营业收入较上年同期增加</w:t>
            </w:r>
            <w:r>
              <w:rPr>
                <w:rFonts w:ascii="宋体" w:hAnsi="宋体"/>
                <w:sz w:val="24"/>
                <w:szCs w:val="24"/>
              </w:rPr>
              <w:t>105.25%</w:t>
            </w:r>
            <w:r>
              <w:rPr>
                <w:rFonts w:ascii="宋体" w:hAnsi="宋体"/>
                <w:sz w:val="24"/>
                <w:szCs w:val="24"/>
              </w:rPr>
              <w:t>，主要系本期催化剂产品销量增加及业务结构变化所致；归属于上市公司股东的净利润较上年同期增长</w:t>
            </w:r>
            <w:r>
              <w:rPr>
                <w:rFonts w:ascii="宋体" w:hAnsi="宋体"/>
                <w:sz w:val="24"/>
                <w:szCs w:val="24"/>
              </w:rPr>
              <w:t>90.48%</w:t>
            </w:r>
            <w:r>
              <w:rPr>
                <w:rFonts w:ascii="宋体" w:hAnsi="宋体"/>
                <w:sz w:val="24"/>
                <w:szCs w:val="24"/>
              </w:rPr>
              <w:t>，主要系本期催化剂产品销量增加，带动收入及利润增加所致。公司始终坚持创新驱动发展战略，持续研发投入，加速研发成果转化落地，一季度，公司医药领域和基础化工领域销量较上年同期分别增长</w:t>
            </w:r>
            <w:r>
              <w:rPr>
                <w:rFonts w:ascii="宋体" w:hAnsi="宋体"/>
                <w:sz w:val="24"/>
                <w:szCs w:val="24"/>
              </w:rPr>
              <w:t>174.88%</w:t>
            </w:r>
            <w:r>
              <w:rPr>
                <w:rFonts w:ascii="宋体" w:hAnsi="宋体"/>
                <w:sz w:val="24"/>
                <w:szCs w:val="24"/>
              </w:rPr>
              <w:t>和</w:t>
            </w:r>
            <w:r>
              <w:rPr>
                <w:rFonts w:ascii="宋体" w:hAnsi="宋体"/>
                <w:sz w:val="24"/>
                <w:szCs w:val="24"/>
              </w:rPr>
              <w:t>285.60%</w:t>
            </w:r>
            <w:r>
              <w:rPr>
                <w:rFonts w:ascii="宋体" w:hAnsi="宋体"/>
                <w:sz w:val="24"/>
                <w:szCs w:val="24"/>
              </w:rPr>
              <w:t>。公司二季度经营状况敬请关注公司披露的定期报告、业绩预告。感谢您对公</w:t>
            </w:r>
            <w:r>
              <w:rPr>
                <w:rFonts w:ascii="宋体" w:hAnsi="宋体"/>
                <w:sz w:val="24"/>
                <w:szCs w:val="24"/>
              </w:rPr>
              <w:t>司的关注！</w:t>
            </w:r>
          </w:p>
          <w:p w14:paraId="4F253320" w14:textId="77777777" w:rsidR="00FA5826" w:rsidRDefault="00FA5826">
            <w:pPr>
              <w:adjustRightInd w:val="0"/>
              <w:snapToGrid w:val="0"/>
              <w:spacing w:line="500" w:lineRule="exact"/>
              <w:rPr>
                <w:rFonts w:ascii="宋体" w:hAnsi="宋体" w:hint="eastAsia"/>
                <w:bCs/>
                <w:iCs/>
                <w:color w:val="000000"/>
                <w:sz w:val="24"/>
              </w:rPr>
            </w:pPr>
          </w:p>
        </w:tc>
      </w:tr>
      <w:tr w:rsidR="00FA5826" w14:paraId="6F854FB6" w14:textId="77777777">
        <w:tc>
          <w:tcPr>
            <w:tcW w:w="1908" w:type="dxa"/>
            <w:tcBorders>
              <w:top w:val="single" w:sz="4" w:space="0" w:color="auto"/>
              <w:left w:val="single" w:sz="4" w:space="0" w:color="auto"/>
              <w:bottom w:val="single" w:sz="4" w:space="0" w:color="auto"/>
              <w:right w:val="single" w:sz="4" w:space="0" w:color="auto"/>
            </w:tcBorders>
            <w:vAlign w:val="center"/>
          </w:tcPr>
          <w:p w14:paraId="1FF2A57C" w14:textId="77777777" w:rsidR="00FA5826" w:rsidRDefault="005C66B7">
            <w:pPr>
              <w:spacing w:line="420" w:lineRule="exact"/>
              <w:rPr>
                <w:bCs/>
                <w:iCs/>
                <w:color w:val="000000"/>
                <w:kern w:val="0"/>
                <w:sz w:val="24"/>
              </w:rPr>
            </w:pPr>
            <w:r>
              <w:rPr>
                <w:rFonts w:hAnsi="宋体"/>
                <w:bCs/>
                <w:iCs/>
                <w:color w:val="000000"/>
                <w:kern w:val="0"/>
                <w:sz w:val="24"/>
              </w:rPr>
              <w:lastRenderedPageBreak/>
              <w:t>日期</w:t>
            </w:r>
          </w:p>
        </w:tc>
        <w:tc>
          <w:tcPr>
            <w:tcW w:w="6847" w:type="dxa"/>
            <w:tcBorders>
              <w:top w:val="single" w:sz="4" w:space="0" w:color="auto"/>
              <w:left w:val="single" w:sz="4" w:space="0" w:color="auto"/>
              <w:bottom w:val="single" w:sz="4" w:space="0" w:color="auto"/>
              <w:right w:val="single" w:sz="4" w:space="0" w:color="auto"/>
            </w:tcBorders>
          </w:tcPr>
          <w:p w14:paraId="3AC34044" w14:textId="7D0B4C16" w:rsidR="00FA5826" w:rsidRDefault="005C66B7">
            <w:pPr>
              <w:spacing w:line="420" w:lineRule="exact"/>
              <w:rPr>
                <w:bCs/>
                <w:iCs/>
                <w:color w:val="000000"/>
                <w:sz w:val="24"/>
              </w:rPr>
            </w:pPr>
            <w:r>
              <w:rPr>
                <w:bCs/>
                <w:iCs/>
                <w:color w:val="000000"/>
                <w:sz w:val="24"/>
              </w:rPr>
              <w:t>2025-05-2</w:t>
            </w:r>
            <w:r w:rsidR="002F6542">
              <w:rPr>
                <w:bCs/>
                <w:iCs/>
                <w:color w:val="000000"/>
                <w:sz w:val="24"/>
              </w:rPr>
              <w:t>2</w:t>
            </w:r>
          </w:p>
        </w:tc>
      </w:tr>
    </w:tbl>
    <w:p w14:paraId="684FDF3E" w14:textId="77777777" w:rsidR="00FA5826" w:rsidRDefault="00FA5826"/>
    <w:sectPr w:rsidR="00FA582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4311" w14:textId="77777777" w:rsidR="005C66B7" w:rsidRDefault="005C66B7">
      <w:r>
        <w:separator/>
      </w:r>
    </w:p>
  </w:endnote>
  <w:endnote w:type="continuationSeparator" w:id="0">
    <w:p w14:paraId="628ABADD" w14:textId="77777777" w:rsidR="005C66B7" w:rsidRDefault="005C6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4DB9" w14:textId="652FD94F" w:rsidR="00FA5826" w:rsidRDefault="00FA582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67D3D" w14:textId="77777777" w:rsidR="005C66B7" w:rsidRDefault="005C66B7">
      <w:r>
        <w:separator/>
      </w:r>
    </w:p>
  </w:footnote>
  <w:footnote w:type="continuationSeparator" w:id="0">
    <w:p w14:paraId="6D17BB2D" w14:textId="77777777" w:rsidR="005C66B7" w:rsidRDefault="005C6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F4FA" w14:textId="6670BA26" w:rsidR="00FA5826" w:rsidRDefault="00FA582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F6542"/>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C66B7"/>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561E"/>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5826"/>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C150A"/>
  <w15:docId w15:val="{61781938-C66C-4CA1-BBD6-F38B5C41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878</Words>
  <Characters>5005</Characters>
  <Application>Microsoft Office Word</Application>
  <DocSecurity>0</DocSecurity>
  <Lines>41</Lines>
  <Paragraphs>11</Paragraphs>
  <ScaleCrop>false</ScaleCrop>
  <Company>微软中国</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shijingwen</cp:lastModifiedBy>
  <cp:revision>264</cp:revision>
  <cp:lastPrinted>2014-02-21T05:34:00Z</cp:lastPrinted>
  <dcterms:created xsi:type="dcterms:W3CDTF">2012-09-09T08:59:00Z</dcterms:created>
  <dcterms:modified xsi:type="dcterms:W3CDTF">2025-05-22T08:46:00Z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