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7F333E69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2025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BB7CF5">
        <w:rPr>
          <w:rFonts w:ascii="Times New Roman" w:eastAsia="宋体" w:hAnsi="Times New Roman" w:cs="宋体" w:hint="eastAsia"/>
          <w:b/>
          <w:bCs/>
          <w:sz w:val="30"/>
          <w:szCs w:val="30"/>
        </w:rPr>
        <w:t>5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DF7EA1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2E53F5">
        <w:rPr>
          <w:rFonts w:ascii="Times New Roman" w:eastAsia="宋体" w:hAnsi="Times New Roman" w:cs="宋体" w:hint="eastAsia"/>
          <w:b/>
          <w:bCs/>
          <w:sz w:val="30"/>
          <w:szCs w:val="30"/>
        </w:rPr>
        <w:t>4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 w:rsidR="002E53F5">
        <w:rPr>
          <w:rFonts w:ascii="Times New Roman" w:eastAsia="宋体" w:hAnsi="Times New Roman" w:cs="宋体" w:hint="eastAsia"/>
          <w:b/>
          <w:bCs/>
          <w:sz w:val="30"/>
          <w:szCs w:val="30"/>
        </w:rPr>
        <w:t>-5</w:t>
      </w:r>
      <w:r w:rsidR="002E53F5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2E53F5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27748A">
        <w:rPr>
          <w:rFonts w:ascii="Times New Roman" w:eastAsia="宋体" w:hAnsi="Times New Roman" w:cs="宋体" w:hint="eastAsia"/>
          <w:b/>
          <w:bCs/>
          <w:sz w:val="30"/>
          <w:szCs w:val="30"/>
        </w:rPr>
        <w:t>5</w:t>
      </w:r>
      <w:r w:rsidR="002E53F5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02E54D4D" w:rsidR="00172309" w:rsidRDefault="002E53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289E7C75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2E53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12C8493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DF7EA1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77651987" w:rsidR="00172309" w:rsidRPr="00BB7CF5" w:rsidRDefault="002E53F5" w:rsidP="00AA7941">
            <w:r w:rsidRPr="002E53F5">
              <w:t>华富基金</w:t>
            </w:r>
            <w:r>
              <w:rPr>
                <w:rFonts w:hint="eastAsia"/>
              </w:rPr>
              <w:t xml:space="preserve"> </w:t>
            </w:r>
            <w:r w:rsidRPr="002E53F5">
              <w:rPr>
                <w:rFonts w:hint="eastAsia"/>
              </w:rPr>
              <w:t>姚明昊</w:t>
            </w:r>
            <w:r>
              <w:rPr>
                <w:rFonts w:hint="eastAsia"/>
              </w:rPr>
              <w:t>、</w:t>
            </w:r>
            <w:r w:rsidRPr="002E53F5">
              <w:t>国联基金</w:t>
            </w:r>
            <w:r>
              <w:rPr>
                <w:rFonts w:hint="eastAsia"/>
              </w:rPr>
              <w:t xml:space="preserve"> </w:t>
            </w:r>
            <w:r w:rsidRPr="002E53F5">
              <w:rPr>
                <w:rFonts w:hint="eastAsia"/>
              </w:rPr>
              <w:t>陈祖睿</w:t>
            </w:r>
            <w:r>
              <w:rPr>
                <w:rFonts w:hint="eastAsia"/>
              </w:rPr>
              <w:t>、</w:t>
            </w:r>
            <w:r w:rsidRPr="002E53F5">
              <w:rPr>
                <w:rFonts w:hint="eastAsia"/>
              </w:rPr>
              <w:t>嘉实基金</w:t>
            </w:r>
            <w:r>
              <w:rPr>
                <w:rFonts w:hint="eastAsia"/>
              </w:rPr>
              <w:t xml:space="preserve"> </w:t>
            </w:r>
            <w:r w:rsidRPr="002E53F5">
              <w:t>陈俊杰</w:t>
            </w:r>
            <w:r>
              <w:rPr>
                <w:rFonts w:hint="eastAsia"/>
              </w:rPr>
              <w:t>、中银资管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周喆、</w:t>
            </w:r>
            <w:r w:rsidRPr="002E53F5">
              <w:t>浦银安盛</w:t>
            </w:r>
            <w:r>
              <w:rPr>
                <w:rFonts w:hint="eastAsia"/>
              </w:rPr>
              <w:t xml:space="preserve"> </w:t>
            </w:r>
            <w:r w:rsidRPr="002E53F5">
              <w:t>刘妍雪</w:t>
            </w:r>
            <w:r>
              <w:rPr>
                <w:rFonts w:hint="eastAsia"/>
              </w:rPr>
              <w:t>、</w:t>
            </w:r>
            <w:r w:rsidRPr="002E53F5">
              <w:t>远望角投资</w:t>
            </w:r>
            <w:r>
              <w:rPr>
                <w:rFonts w:hint="eastAsia"/>
              </w:rPr>
              <w:t xml:space="preserve"> </w:t>
            </w:r>
            <w:r w:rsidRPr="002E53F5">
              <w:t>张煜桐</w:t>
            </w:r>
            <w:r>
              <w:rPr>
                <w:rFonts w:hint="eastAsia"/>
              </w:rPr>
              <w:t>、</w:t>
            </w:r>
            <w:r w:rsidRPr="002E53F5">
              <w:t>诺安基金</w:t>
            </w:r>
            <w:r>
              <w:rPr>
                <w:rFonts w:hint="eastAsia"/>
              </w:rPr>
              <w:t xml:space="preserve"> </w:t>
            </w:r>
            <w:r w:rsidRPr="002E53F5">
              <w:t>王浩然</w:t>
            </w:r>
            <w:r>
              <w:rPr>
                <w:rFonts w:hint="eastAsia"/>
              </w:rPr>
              <w:t>、长江资管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严艺鸣、方正证券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金晶、诺安基金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陈衍鹏、</w:t>
            </w:r>
            <w:r w:rsidR="002D19BE">
              <w:rPr>
                <w:rFonts w:hint="eastAsia"/>
              </w:rPr>
              <w:t>长乐汇资本</w:t>
            </w:r>
            <w:r w:rsidR="002D19BE">
              <w:rPr>
                <w:rFonts w:hint="eastAsia"/>
              </w:rPr>
              <w:t xml:space="preserve"> </w:t>
            </w:r>
            <w:r w:rsidR="002D19BE">
              <w:rPr>
                <w:rFonts w:hint="eastAsia"/>
              </w:rPr>
              <w:t>赖建清</w:t>
            </w:r>
            <w:r>
              <w:rPr>
                <w:rFonts w:hint="eastAsia"/>
              </w:rPr>
              <w:t>、</w:t>
            </w:r>
            <w:r w:rsidR="00C74476" w:rsidRPr="00C74476">
              <w:t>硕丰基金</w:t>
            </w:r>
            <w:r w:rsidR="00C74476">
              <w:rPr>
                <w:rFonts w:hint="eastAsia"/>
              </w:rPr>
              <w:t xml:space="preserve"> </w:t>
            </w:r>
            <w:r w:rsidR="00C74476" w:rsidRPr="00C74476">
              <w:t>盛军锋</w:t>
            </w:r>
            <w:r w:rsidR="00C74476">
              <w:rPr>
                <w:rFonts w:hint="eastAsia"/>
              </w:rPr>
              <w:t>、</w:t>
            </w:r>
            <w:r w:rsidR="00C74476" w:rsidRPr="00C74476">
              <w:rPr>
                <w:rFonts w:hint="eastAsia"/>
              </w:rPr>
              <w:t>诚朴资产</w:t>
            </w:r>
            <w:r w:rsidR="00C74476">
              <w:rPr>
                <w:rFonts w:hint="eastAsia"/>
              </w:rPr>
              <w:t xml:space="preserve"> </w:t>
            </w:r>
            <w:r w:rsidR="00C74476" w:rsidRPr="00C74476">
              <w:t>乔磊</w:t>
            </w:r>
            <w:r w:rsidR="00C74476">
              <w:rPr>
                <w:rFonts w:hint="eastAsia"/>
              </w:rPr>
              <w:t>、国信证券</w:t>
            </w:r>
            <w:r w:rsidR="00C74476">
              <w:rPr>
                <w:rFonts w:hint="eastAsia"/>
              </w:rPr>
              <w:t xml:space="preserve"> </w:t>
            </w:r>
            <w:r w:rsidR="00C74476">
              <w:rPr>
                <w:rFonts w:hint="eastAsia"/>
              </w:rPr>
              <w:t>叶子、诺安基金</w:t>
            </w:r>
            <w:r w:rsidR="00C74476">
              <w:rPr>
                <w:rFonts w:hint="eastAsia"/>
              </w:rPr>
              <w:t xml:space="preserve"> </w:t>
            </w:r>
            <w:r w:rsidR="00C74476">
              <w:rPr>
                <w:rFonts w:hint="eastAsia"/>
              </w:rPr>
              <w:t>周</w:t>
            </w:r>
            <w:r w:rsidR="00C74476" w:rsidRPr="00C74476">
              <w:t>靖翔</w:t>
            </w:r>
            <w:r w:rsidR="00C74476">
              <w:rPr>
                <w:rFonts w:hint="eastAsia"/>
              </w:rPr>
              <w:t>、诺安基金</w:t>
            </w:r>
            <w:r w:rsidR="00C74476">
              <w:rPr>
                <w:rFonts w:hint="eastAsia"/>
              </w:rPr>
              <w:t xml:space="preserve"> </w:t>
            </w:r>
            <w:r w:rsidR="00C74476">
              <w:rPr>
                <w:rFonts w:hint="eastAsia"/>
              </w:rPr>
              <w:t>李迪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49AE0D67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BB7CF5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DF7EA1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</w:t>
            </w:r>
            <w:r w:rsidR="00DF7EA1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00-16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  <w:p w14:paraId="649A6305" w14:textId="2ED43483" w:rsidR="002E53F5" w:rsidRDefault="002E53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15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10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00-11</w:t>
            </w:r>
            <w:r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325B36A9" w14:textId="009982C5" w:rsidR="00172309" w:rsidRPr="002E53F5" w:rsidRDefault="002E53F5">
            <w:pPr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佰维存储三楼会议室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0C63B9C2" w14:textId="4F3286BD" w:rsidR="00BB7CF5" w:rsidRDefault="002E53F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公司管理层</w:t>
            </w:r>
          </w:p>
          <w:p w14:paraId="3FC601F7" w14:textId="68291DA9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13943703" w14:textId="48BC4AE6" w:rsidR="00172309" w:rsidRPr="005C764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FB235E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9574D3" w:rsidRPr="009574D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2024</w:t>
            </w:r>
            <w:r w:rsidR="009574D3" w:rsidRPr="009574D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年四季度以来存储价格变化趋势</w:t>
            </w:r>
            <w:r w:rsidR="009574D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</w:t>
            </w:r>
            <w:r w:rsidR="009574D3" w:rsidRPr="009574D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  <w:r w:rsidR="009574D3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如何看待今年的价格趋势？</w:t>
            </w:r>
          </w:p>
          <w:p w14:paraId="380F30B4" w14:textId="334B1C52" w:rsidR="00172309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FB235E">
              <w:rPr>
                <w:rFonts w:ascii="Calibri" w:hAnsi="Calibri" w:cs="Calibri" w:hint="eastAsia"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受全球宏观经济环境影响，存储价格从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年第三季度开始逐季下滑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年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底部分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原厂开始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减产。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9574D3" w:rsidRPr="005C764F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年第二季度开始，存储价格企稳回升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个别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LPDDR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物料出现紧缺态势，价格不断上涨。</w:t>
            </w:r>
            <w:r w:rsidR="00456EDC">
              <w:rPr>
                <w:rFonts w:ascii="Calibri" w:hAnsi="Calibri" w:cs="Calibri" w:hint="eastAsia"/>
                <w:color w:val="000000" w:themeColor="text1"/>
                <w:szCs w:val="21"/>
              </w:rPr>
              <w:t>涨价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一方面</w:t>
            </w:r>
            <w:r w:rsidR="00456EDC">
              <w:rPr>
                <w:rFonts w:ascii="Calibri" w:hAnsi="Calibri" w:cs="Calibri" w:hint="eastAsia"/>
                <w:color w:val="000000" w:themeColor="text1"/>
                <w:szCs w:val="21"/>
              </w:rPr>
              <w:t>是由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需求</w:t>
            </w:r>
            <w:r w:rsidR="00456EDC">
              <w:rPr>
                <w:rFonts w:ascii="Calibri" w:hAnsi="Calibri" w:cs="Calibri" w:hint="eastAsia"/>
                <w:color w:val="000000" w:themeColor="text1"/>
                <w:szCs w:val="21"/>
              </w:rPr>
              <w:t>带来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产业链库存</w:t>
            </w:r>
            <w:r w:rsidR="00456EDC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去化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至健康水平，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另一方面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是今年发布的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产品在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端对存储容量需求增加。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年存储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市场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表现为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前高后低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的情况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年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可能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为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前低后高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的市场情况，但是</w:t>
            </w:r>
            <w:r w:rsidR="00742714">
              <w:rPr>
                <w:rFonts w:ascii="Calibri" w:hAnsi="Calibri" w:cs="Calibri" w:hint="eastAsia"/>
                <w:color w:val="000000" w:themeColor="text1"/>
                <w:szCs w:val="21"/>
              </w:rPr>
              <w:t>由于</w:t>
            </w:r>
            <w:r w:rsidR="001F7652" w:rsidRPr="001F7652">
              <w:rPr>
                <w:rFonts w:ascii="Calibri" w:hAnsi="Calibri" w:cs="Calibri"/>
                <w:color w:val="000000" w:themeColor="text1"/>
                <w:szCs w:val="21"/>
              </w:rPr>
              <w:t>关税政策的不确定性较强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，未来市场走势难以独立清晰判断，目前</w:t>
            </w:r>
            <w:r w:rsidR="009574D3">
              <w:rPr>
                <w:rFonts w:ascii="Calibri" w:hAnsi="Calibri" w:cs="Calibri" w:hint="eastAsia"/>
                <w:color w:val="000000" w:themeColor="text1"/>
                <w:szCs w:val="21"/>
              </w:rPr>
              <w:t>来看</w:t>
            </w:r>
            <w:r w:rsidR="009574D3" w:rsidRPr="009574D3">
              <w:rPr>
                <w:rFonts w:ascii="Calibri" w:hAnsi="Calibri" w:cs="Calibri" w:hint="eastAsia"/>
                <w:color w:val="000000" w:themeColor="text1"/>
                <w:szCs w:val="21"/>
              </w:rPr>
              <w:t>产业链景气度在复苏。</w:t>
            </w:r>
          </w:p>
          <w:p w14:paraId="3B50ED8D" w14:textId="77777777" w:rsidR="00172309" w:rsidRPr="00986F1F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1368610A" w14:textId="1DB86169" w:rsidR="005C764F" w:rsidRPr="00986F1F" w:rsidRDefault="003D2ED4" w:rsidP="002147E7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EF11B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</w:t>
            </w: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9574D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能否从下游应用领域拆分公司</w:t>
            </w:r>
            <w:r w:rsidR="009574D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2024</w:t>
            </w:r>
            <w:r w:rsidR="009574D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年的营收结构？</w:t>
            </w:r>
          </w:p>
          <w:p w14:paraId="59F6DC92" w14:textId="59A5AD39" w:rsidR="002147E7" w:rsidRPr="00986F1F" w:rsidRDefault="00000000" w:rsidP="002147E7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EF11B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2</w:t>
            </w: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2024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年公司营业收入中，手机应用占比</w:t>
            </w:r>
            <w:r w:rsidR="005C19E6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约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4-5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成，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PC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应用占比约</w:t>
            </w:r>
            <w:r w:rsidR="00F140A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成，智能穿戴应用占比约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1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成，其余为工车规应用、先进封测业务等。</w:t>
            </w:r>
          </w:p>
          <w:p w14:paraId="6441E391" w14:textId="77777777" w:rsidR="00EF11B3" w:rsidRPr="00986F1F" w:rsidRDefault="00EF11B3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0B23B5C2" w14:textId="57704EE5" w:rsidR="00172309" w:rsidRPr="00986F1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61D7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3</w:t>
            </w: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C764F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9574D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如何看待整个存储行业未来的发展趋势，作为存储解决方案商如何在竞争中保持竞争力？</w:t>
            </w:r>
          </w:p>
          <w:p w14:paraId="74009929" w14:textId="576EF2FA" w:rsidR="00172309" w:rsidRPr="00986F1F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3</w:t>
            </w: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我们认为存储行业未来有三个发展趋势。一是在云、边、端三个方面的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深度应用。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要求存储具有大容量和高带宽的特点，边缘、端侧更强调存储低延迟、高性能和小尺寸，因此需在芯片设计、先进封装、测试设备等多</w:t>
            </w:r>
            <w:r w:rsidR="00456EDC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个技术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领域适应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时代，做出满足更大容量、更高性能、更低功耗、更小尺寸综合要求的产品，</w:t>
            </w:r>
            <w:r w:rsidR="001434F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通过差异化的解决方案提升方案价值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t>公司在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t>端侧存储拥有较强的竞争力，主要得益于研发封测一体化布局，公司在主控芯片设计、解决方案研发和先进封测等领域的技术能力行业领先，可为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t>端侧产品提供低功耗、高性</w:t>
            </w:r>
            <w:r w:rsidR="0096121E" w:rsidRPr="00986F1F">
              <w:rPr>
                <w:rFonts w:ascii="Calibri" w:hAnsi="Calibri" w:cs="Calibri"/>
                <w:color w:val="000000" w:themeColor="text1"/>
                <w:szCs w:val="21"/>
              </w:rPr>
              <w:lastRenderedPageBreak/>
              <w:t>能、小尺寸、大容量的存储解决方案</w:t>
            </w:r>
            <w:r w:rsidR="0074271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；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二是全球贸易摩擦使市场割裂，更加强调本地化交付能力，公司积极进行区域产能布局，在国内、巴西、印度、墨西哥等地布局，</w:t>
            </w:r>
            <w:r w:rsidR="0074271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能够为公司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带来新商业机会。三是存储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与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先进封装深度整合，先进封装成为技术前进</w:t>
            </w:r>
            <w:r w:rsidR="00456EDC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主要方向，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公司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能为终端客户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和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芯片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设计厂商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提供一站式解决方案，</w:t>
            </w:r>
            <w:r w:rsidR="00742714" w:rsidRPr="00986F1F">
              <w:rPr>
                <w:rFonts w:ascii="Calibri" w:hAnsi="Calibri" w:cs="Calibri"/>
                <w:color w:val="000000" w:themeColor="text1"/>
                <w:szCs w:val="21"/>
              </w:rPr>
              <w:t>相较于提供单一的存储解决方案或者先进封测服务，具备综合的竞争力；公司提供的综合解决方案的价值量相比单独的先进封测服务，具有显著的放大效应</w:t>
            </w:r>
            <w:r w:rsidR="0074271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，可以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在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9574D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时代持续创造价值。</w:t>
            </w:r>
          </w:p>
          <w:p w14:paraId="5600A7E1" w14:textId="77777777" w:rsidR="00172309" w:rsidRPr="00986F1F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72354651" w14:textId="25B54CB7" w:rsidR="00172309" w:rsidRPr="00986F1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4</w:t>
            </w: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8276D4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一季度利基产品涨价的原因是需求拉动还是原厂减产？产品涨价的持续性如何？展望二季度及未来，公司收入和毛利率的趋势是怎样的？</w:t>
            </w:r>
          </w:p>
          <w:p w14:paraId="00D77AA1" w14:textId="4F31295C" w:rsidR="00172309" w:rsidRPr="00986F1F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4</w:t>
            </w: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由于存储市场较大，不同领域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玩家和供需格局不同。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MLC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等产品涨价主要与原厂停产相关，市场供应大幅收缩，导致产品价格涨幅超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100%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公司有充分的储备，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相关产品且可用于车规领域。在主流市场应用方面，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涨价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一方面是由于原厂减产调整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投资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并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扩张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HBM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产能，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导致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对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其他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产品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产能扩张有所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挤压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以及过去几年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原厂对于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DRAM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和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NAND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的资本开支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处于</w:t>
            </w:r>
            <w:r w:rsidR="00D8482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低位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等因素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有关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，另一方面，</w:t>
            </w:r>
            <w:r w:rsidR="00D8482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与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需求的拉动也有关系，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带动了存储产品</w:t>
            </w:r>
            <w:r w:rsidR="00A158F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F42F8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升级和扩容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。从三月底开始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各大原厂都发布了涨价消息，价格涨幅较大，且行业预估今年会保持同期上涨态势。小容量产品因供给急速收缩，价格会维持在一定水平。从公司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角度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来看，</w:t>
            </w:r>
            <w:r w:rsidR="00DD079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一方面，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价格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改善对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公司产品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有积极影响，</w:t>
            </w:r>
            <w:r w:rsidR="00DD079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另一方面，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高端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产品如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眼镜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、车规产品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毛利率较高，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随着高端产品的出货量增加，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后续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公司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毛利率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有望提升</w:t>
            </w:r>
            <w:r w:rsidR="008276D4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</w:p>
          <w:p w14:paraId="658826DC" w14:textId="77777777" w:rsidR="00172309" w:rsidRPr="00986F1F" w:rsidRDefault="00172309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3347C4DA" w14:textId="3F74C605" w:rsidR="00172309" w:rsidRPr="00986F1F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Q</w:t>
            </w:r>
            <w:r w:rsidR="00861D7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 w:rsidRPr="00986F1F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.</w:t>
            </w:r>
            <w:r w:rsidR="00800673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1E0CAB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公司在</w:t>
            </w:r>
            <w:r w:rsidR="001E0CAB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371329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</w:t>
            </w:r>
            <w:r w:rsidR="001E0CAB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存储领域有先发优势，领先其他竞争对手，背后的核心竞争力是什么？</w:t>
            </w:r>
          </w:p>
          <w:p w14:paraId="2D0391EF" w14:textId="4C8DEC56" w:rsidR="00172309" w:rsidRPr="00986F1F" w:rsidRDefault="00000000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61D7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 w:rsidR="00800673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端侧场景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要求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存储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产品具有高性能、低功耗的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特性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，过去</w:t>
            </w:r>
            <w:r w:rsidR="005F1FB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存储产品</w:t>
            </w:r>
            <w:r w:rsidR="005F1FB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主要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通过固件</w:t>
            </w:r>
            <w:r w:rsidR="005F1FB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来优化</w:t>
            </w:r>
            <w:r w:rsidR="001E0CA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性能，未来要通过</w:t>
            </w:r>
            <w:r w:rsidR="004321E6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主控芯片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设计</w:t>
            </w:r>
            <w:r w:rsidR="004321E6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、固件算法与先进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封装</w:t>
            </w:r>
            <w:r w:rsidR="004321E6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能力实现差异化竞争</w:t>
            </w:r>
            <w:r w:rsidR="0027748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在主控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芯片</w:t>
            </w:r>
            <w:r w:rsidR="008634E2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设计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方面，公司积极布局芯片研发与设计领域，</w:t>
            </w:r>
            <w:r w:rsidR="00A2266C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将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采用业界领先的架构设计，提升公司在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手机、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穿戴、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智驾等领域的高端存储解决方案的产品竞争力；在固件</w:t>
            </w:r>
            <w:r w:rsidR="008634E2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算法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方面，</w:t>
            </w:r>
            <w:r w:rsidR="00DD6D1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公司全面掌握了存储固件核心技术，有能力匹配各类客户典型应用场景，为客户提供创新、优质的存储解决方案</w:t>
            </w:r>
            <w:r w:rsidR="00864D5B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；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在先进封装方面，公司已掌握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16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层叠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Die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30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～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40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μ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m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超薄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Die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、多芯片异构集成等先进工艺量产能力，达到国际一流水平，并构建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Bumping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RDL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Fanout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等晶圆级先进封装能力。通过主控芯片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设计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、固件算法与先进封装的协同</w:t>
            </w:r>
            <w:r w:rsidR="00FD032F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效应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，公司</w:t>
            </w:r>
            <w:r w:rsidR="00FD032F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存储解决方案实现行业领先的产品创新能力和可靠性，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能够持续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为终端客户提供</w:t>
            </w:r>
            <w:r w:rsidR="00FD032F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适合</w:t>
            </w:r>
            <w:r w:rsidR="00FD032F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37132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端侧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场景的高性能</w:t>
            </w:r>
            <w:r w:rsidR="00FD032F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、低功耗</w:t>
            </w:r>
            <w:r w:rsidR="00451881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的存储器产品。</w:t>
            </w:r>
          </w:p>
          <w:p w14:paraId="6C768786" w14:textId="77777777" w:rsidR="00CF39AA" w:rsidRPr="00986F1F" w:rsidRDefault="00CF39AA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41C96E0" w14:textId="00EBB2C7" w:rsidR="005C764F" w:rsidRPr="00986F1F" w:rsidRDefault="005C764F" w:rsidP="005C7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DD0798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6</w:t>
            </w: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CF39AA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如何看待嵌入式存储本土化需求的成长，在</w:t>
            </w:r>
            <w:r w:rsidR="00CF39AA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CF39AA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端侧落地、本土化替代趋势下，解决方案厂商的增量空间如何？</w:t>
            </w:r>
          </w:p>
          <w:p w14:paraId="5BB94F09" w14:textId="77C641F0" w:rsidR="005C764F" w:rsidRPr="00986F1F" w:rsidRDefault="005C764F" w:rsidP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 w:rsidR="00DD079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6</w:t>
            </w: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嵌入式存储产品迭代非常快，在接口性能容量、封装平台等方面变化较大，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时代对嵌入式存储产品提出了更高要求，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尤其是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端侧领域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，先进封装的技术含量会越来越高。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公司在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端侧领域的产品线布局以高性能存储技术为核心，通过自研主控芯片、固件算法与先进封测能力实现差异化竞争，覆盖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手机、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 PC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眼镜、具身智能等多场景。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2024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年，公司在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新兴端侧（在非手机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/PC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领域）合计营收超过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10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亿元，同比增长约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294%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，</w:t>
            </w:r>
            <w:r w:rsidR="00C2750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C2750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年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公司预计在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t>新</w:t>
            </w:r>
            <w:r w:rsidR="00C27508" w:rsidRPr="00986F1F">
              <w:rPr>
                <w:rFonts w:ascii="Calibri" w:hAnsi="Calibri" w:cs="Calibri"/>
                <w:color w:val="000000" w:themeColor="text1"/>
                <w:szCs w:val="21"/>
              </w:rPr>
              <w:lastRenderedPageBreak/>
              <w:t>兴端侧领域仍将保持良好的增长趋势</w:t>
            </w:r>
            <w:r w:rsidR="00C2750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当前是产业创新爆发阶段，解决方案厂商能够凭借对市场需求的快速响应取得较好商业机会。</w:t>
            </w:r>
            <w:r w:rsidR="001434F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从产业链重构角度看，在当前国际市场格局下，解决方案厂商通过全球产业布局，实现各区域市场的覆盖</w:t>
            </w:r>
            <w:r w:rsidR="00C04EE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，并与</w:t>
            </w:r>
            <w:r w:rsidR="001434F9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原厂和下游客户实现丰富的协同合作，携手开拓市场。</w:t>
            </w:r>
          </w:p>
          <w:p w14:paraId="3EFFCD93" w14:textId="77777777" w:rsidR="001434F9" w:rsidRPr="00986F1F" w:rsidRDefault="001434F9" w:rsidP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49133A24" w14:textId="1B0E1A4B" w:rsidR="005C764F" w:rsidRPr="00986F1F" w:rsidRDefault="005C764F" w:rsidP="005C764F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DD0798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7</w:t>
            </w:r>
            <w:r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CF39AA" w:rsidRPr="00986F1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作为解决方案厂商，公司在存算一体领域的战略地位和不可替代的价值体现在哪里？</w:t>
            </w:r>
          </w:p>
          <w:p w14:paraId="37E097B0" w14:textId="110C3EDC" w:rsidR="005C764F" w:rsidRPr="005C764F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986F1F">
              <w:rPr>
                <w:rFonts w:ascii="Calibri" w:hAnsi="Calibri" w:cs="Calibri"/>
                <w:color w:val="000000" w:themeColor="text1"/>
                <w:szCs w:val="21"/>
              </w:rPr>
              <w:t>A</w:t>
            </w:r>
            <w:r w:rsidR="00DD0798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7</w:t>
            </w:r>
            <w:r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存算一体是未来大的产业趋势，在很多场景下，系统厂商或大的设计厂商需要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与合作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伙伴协同开发存算一体解决方案，例如将逻辑单元与存储合并，可使芯片尺寸更小、功耗更低，提升边缘计算性能和客户体验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。比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如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在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自动驾驶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的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应用场景，客户需要定制化适配和成本可接受的方案，解决方案厂商能</w:t>
            </w:r>
            <w:r w:rsidR="00FF7FF5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从中</w:t>
            </w:r>
            <w:r w:rsidR="00CF39AA" w:rsidRPr="00986F1F">
              <w:rPr>
                <w:rFonts w:ascii="Calibri" w:hAnsi="Calibri" w:cs="Calibri" w:hint="eastAsia"/>
                <w:color w:val="000000" w:themeColor="text1"/>
                <w:szCs w:val="21"/>
              </w:rPr>
              <w:t>找到商业机会。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公司积极推进与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IC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设计厂商、晶圆制造厂商以及终端客户等产业链伙伴的合作。针对边缘推理芯片、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手机、智能驾驶、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AR/VR</w:t>
            </w:r>
            <w:r w:rsidR="00661A00" w:rsidRPr="00986F1F">
              <w:rPr>
                <w:rFonts w:ascii="Calibri" w:hAnsi="Calibri" w:cs="Calibri"/>
                <w:color w:val="000000" w:themeColor="text1"/>
                <w:szCs w:val="21"/>
              </w:rPr>
              <w:t>等领域的存力需求，公司技术团队正在开发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多种存算合封技术方案和先进存储芯片技术方案，覆盖了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Chiplet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RDL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Fanout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、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SiP</w:t>
            </w:r>
            <w:r w:rsidR="00661A00" w:rsidRPr="00661A00">
              <w:rPr>
                <w:rFonts w:ascii="Calibri" w:hAnsi="Calibri" w:cs="Calibri"/>
                <w:color w:val="000000" w:themeColor="text1"/>
                <w:szCs w:val="21"/>
              </w:rPr>
              <w:t>等多种先进封装形式</w:t>
            </w:r>
            <w:r w:rsidR="0096121E">
              <w:rPr>
                <w:rFonts w:ascii="Calibri" w:hAnsi="Calibri" w:cs="Calibri" w:hint="eastAsia"/>
                <w:color w:val="000000" w:themeColor="text1"/>
                <w:szCs w:val="21"/>
              </w:rPr>
              <w:t>，能够为客户提供整套</w:t>
            </w:r>
            <w:r w:rsidR="0096121E" w:rsidRPr="0096121E">
              <w:rPr>
                <w:rFonts w:ascii="Calibri" w:hAnsi="Calibri" w:cs="Calibri"/>
                <w:color w:val="000000" w:themeColor="text1"/>
                <w:szCs w:val="21"/>
              </w:rPr>
              <w:t>的存储</w:t>
            </w:r>
            <w:r w:rsidR="0096121E" w:rsidRPr="0096121E">
              <w:rPr>
                <w:rFonts w:ascii="Calibri" w:hAnsi="Calibri" w:cs="Calibri"/>
                <w:color w:val="000000" w:themeColor="text1"/>
                <w:szCs w:val="21"/>
              </w:rPr>
              <w:t>+</w:t>
            </w:r>
            <w:r w:rsidR="0096121E">
              <w:rPr>
                <w:rFonts w:ascii="Calibri" w:hAnsi="Calibri" w:cs="Calibri" w:hint="eastAsia"/>
                <w:color w:val="000000" w:themeColor="text1"/>
                <w:szCs w:val="21"/>
              </w:rPr>
              <w:t>晶圆级</w:t>
            </w:r>
            <w:r w:rsidR="0096121E" w:rsidRPr="0096121E">
              <w:rPr>
                <w:rFonts w:ascii="Calibri" w:hAnsi="Calibri" w:cs="Calibri"/>
                <w:color w:val="000000" w:themeColor="text1"/>
                <w:szCs w:val="21"/>
              </w:rPr>
              <w:t>先进封装测试综合解决方案</w:t>
            </w:r>
            <w:r w:rsidR="00F7746B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</w:p>
          <w:p w14:paraId="6357B8F5" w14:textId="4C7ED353" w:rsidR="005C764F" w:rsidRPr="00C4139C" w:rsidRDefault="005C764F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77777777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36311C4E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2025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5C764F">
              <w:rPr>
                <w:rFonts w:ascii="Times New Roman" w:eastAsia="宋体" w:hAnsi="Times New Roman" w:cs="宋体" w:hint="eastAsia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2147E7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4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-5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742714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="002E53F5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C1E5E3E" w14:textId="7260B2B5" w:rsidR="00172309" w:rsidRDefault="00172309">
      <w:pPr>
        <w:rPr>
          <w:rFonts w:ascii="Times New Roman" w:eastAsia="宋体" w:hAnsi="Times New Roman" w:cs="宋体"/>
          <w:sz w:val="24"/>
        </w:rPr>
      </w:pPr>
    </w:p>
    <w:sectPr w:rsidR="0017230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A96C" w14:textId="77777777" w:rsidR="008203C8" w:rsidRDefault="008203C8">
      <w:r>
        <w:separator/>
      </w:r>
    </w:p>
  </w:endnote>
  <w:endnote w:type="continuationSeparator" w:id="0">
    <w:p w14:paraId="37D0C6E9" w14:textId="77777777" w:rsidR="008203C8" w:rsidRDefault="0082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C7FA" w14:textId="77777777" w:rsidR="008203C8" w:rsidRDefault="008203C8">
      <w:r>
        <w:separator/>
      </w:r>
    </w:p>
  </w:footnote>
  <w:footnote w:type="continuationSeparator" w:id="0">
    <w:p w14:paraId="151D2122" w14:textId="77777777" w:rsidR="008203C8" w:rsidRDefault="0082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证券简称：佰维存储</w:t>
    </w:r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EF4"/>
    <w:rsid w:val="000323BD"/>
    <w:rsid w:val="0003269F"/>
    <w:rsid w:val="00034C98"/>
    <w:rsid w:val="00035246"/>
    <w:rsid w:val="00035813"/>
    <w:rsid w:val="00037286"/>
    <w:rsid w:val="00037A15"/>
    <w:rsid w:val="00040BA0"/>
    <w:rsid w:val="00042411"/>
    <w:rsid w:val="0004273E"/>
    <w:rsid w:val="000427FB"/>
    <w:rsid w:val="00042CF9"/>
    <w:rsid w:val="00044A35"/>
    <w:rsid w:val="00045AD9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6948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C0887"/>
    <w:rsid w:val="000C16E8"/>
    <w:rsid w:val="000C3707"/>
    <w:rsid w:val="000C5E56"/>
    <w:rsid w:val="000C7FE8"/>
    <w:rsid w:val="000D00B7"/>
    <w:rsid w:val="000D06BC"/>
    <w:rsid w:val="000D0B68"/>
    <w:rsid w:val="000D26F2"/>
    <w:rsid w:val="000D3EFA"/>
    <w:rsid w:val="000D4655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100E20"/>
    <w:rsid w:val="0010248C"/>
    <w:rsid w:val="00114FA9"/>
    <w:rsid w:val="00116553"/>
    <w:rsid w:val="00120068"/>
    <w:rsid w:val="001213BF"/>
    <w:rsid w:val="00125748"/>
    <w:rsid w:val="00125F91"/>
    <w:rsid w:val="001269F5"/>
    <w:rsid w:val="00130057"/>
    <w:rsid w:val="00130090"/>
    <w:rsid w:val="0013048C"/>
    <w:rsid w:val="00132840"/>
    <w:rsid w:val="00134380"/>
    <w:rsid w:val="00134D44"/>
    <w:rsid w:val="00135DDA"/>
    <w:rsid w:val="00137043"/>
    <w:rsid w:val="001411C8"/>
    <w:rsid w:val="00142E58"/>
    <w:rsid w:val="001434F9"/>
    <w:rsid w:val="0014382F"/>
    <w:rsid w:val="00147123"/>
    <w:rsid w:val="00147193"/>
    <w:rsid w:val="00147418"/>
    <w:rsid w:val="00153DF0"/>
    <w:rsid w:val="00153FD0"/>
    <w:rsid w:val="00154546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6737"/>
    <w:rsid w:val="001A300B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0CA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1F7652"/>
    <w:rsid w:val="002008F6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22F71"/>
    <w:rsid w:val="002244D1"/>
    <w:rsid w:val="0022544E"/>
    <w:rsid w:val="00225959"/>
    <w:rsid w:val="002263A1"/>
    <w:rsid w:val="00227D69"/>
    <w:rsid w:val="00235E72"/>
    <w:rsid w:val="002405B5"/>
    <w:rsid w:val="00240AC3"/>
    <w:rsid w:val="00244407"/>
    <w:rsid w:val="0024599E"/>
    <w:rsid w:val="002460E8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7748A"/>
    <w:rsid w:val="00280DDF"/>
    <w:rsid w:val="0028308A"/>
    <w:rsid w:val="00284AD4"/>
    <w:rsid w:val="00284C5F"/>
    <w:rsid w:val="00285824"/>
    <w:rsid w:val="00285C7D"/>
    <w:rsid w:val="00287EF0"/>
    <w:rsid w:val="00290818"/>
    <w:rsid w:val="002914E8"/>
    <w:rsid w:val="002922A4"/>
    <w:rsid w:val="00294303"/>
    <w:rsid w:val="00294791"/>
    <w:rsid w:val="002950C7"/>
    <w:rsid w:val="002976F5"/>
    <w:rsid w:val="002A268C"/>
    <w:rsid w:val="002A2832"/>
    <w:rsid w:val="002A2B97"/>
    <w:rsid w:val="002A3F71"/>
    <w:rsid w:val="002A4FD4"/>
    <w:rsid w:val="002A73D6"/>
    <w:rsid w:val="002B1CC1"/>
    <w:rsid w:val="002B31FD"/>
    <w:rsid w:val="002B402E"/>
    <w:rsid w:val="002B4363"/>
    <w:rsid w:val="002B4A61"/>
    <w:rsid w:val="002B4E1F"/>
    <w:rsid w:val="002B566C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19BE"/>
    <w:rsid w:val="002D35A6"/>
    <w:rsid w:val="002D6E2A"/>
    <w:rsid w:val="002E042E"/>
    <w:rsid w:val="002E1347"/>
    <w:rsid w:val="002E1B52"/>
    <w:rsid w:val="002E222A"/>
    <w:rsid w:val="002E43FD"/>
    <w:rsid w:val="002E4C29"/>
    <w:rsid w:val="002E4DF3"/>
    <w:rsid w:val="002E53F5"/>
    <w:rsid w:val="002E5C10"/>
    <w:rsid w:val="002E60B6"/>
    <w:rsid w:val="002E750B"/>
    <w:rsid w:val="002E76D5"/>
    <w:rsid w:val="002F1E6D"/>
    <w:rsid w:val="002F246F"/>
    <w:rsid w:val="002F4AC0"/>
    <w:rsid w:val="002F53BF"/>
    <w:rsid w:val="002F664B"/>
    <w:rsid w:val="002F767F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789"/>
    <w:rsid w:val="0035796E"/>
    <w:rsid w:val="00360A31"/>
    <w:rsid w:val="00362F7E"/>
    <w:rsid w:val="00365FA7"/>
    <w:rsid w:val="00366015"/>
    <w:rsid w:val="00366F4F"/>
    <w:rsid w:val="00371329"/>
    <w:rsid w:val="003723DA"/>
    <w:rsid w:val="00377E2D"/>
    <w:rsid w:val="00383066"/>
    <w:rsid w:val="00383618"/>
    <w:rsid w:val="00385706"/>
    <w:rsid w:val="003863EB"/>
    <w:rsid w:val="00387442"/>
    <w:rsid w:val="003918C9"/>
    <w:rsid w:val="003936A4"/>
    <w:rsid w:val="00397DC7"/>
    <w:rsid w:val="003A011A"/>
    <w:rsid w:val="003A1588"/>
    <w:rsid w:val="003A269C"/>
    <w:rsid w:val="003A27FF"/>
    <w:rsid w:val="003A6949"/>
    <w:rsid w:val="003A79EB"/>
    <w:rsid w:val="003B0BC6"/>
    <w:rsid w:val="003B19A6"/>
    <w:rsid w:val="003B3AB5"/>
    <w:rsid w:val="003B3D11"/>
    <w:rsid w:val="003B427C"/>
    <w:rsid w:val="003B5AF3"/>
    <w:rsid w:val="003B687D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21E6"/>
    <w:rsid w:val="00434D54"/>
    <w:rsid w:val="00435688"/>
    <w:rsid w:val="00437630"/>
    <w:rsid w:val="004430CC"/>
    <w:rsid w:val="00444054"/>
    <w:rsid w:val="00445DC7"/>
    <w:rsid w:val="00447B9D"/>
    <w:rsid w:val="00451881"/>
    <w:rsid w:val="00452582"/>
    <w:rsid w:val="004537B2"/>
    <w:rsid w:val="00454E0F"/>
    <w:rsid w:val="00456EDC"/>
    <w:rsid w:val="00457B14"/>
    <w:rsid w:val="00460388"/>
    <w:rsid w:val="00460C07"/>
    <w:rsid w:val="00461C28"/>
    <w:rsid w:val="004634C0"/>
    <w:rsid w:val="00466787"/>
    <w:rsid w:val="0047013E"/>
    <w:rsid w:val="004703D7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2AE1"/>
    <w:rsid w:val="0052300E"/>
    <w:rsid w:val="0052475D"/>
    <w:rsid w:val="005251FC"/>
    <w:rsid w:val="00526875"/>
    <w:rsid w:val="00530356"/>
    <w:rsid w:val="0053046B"/>
    <w:rsid w:val="00532C81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40B0"/>
    <w:rsid w:val="00575010"/>
    <w:rsid w:val="00575B15"/>
    <w:rsid w:val="005803BE"/>
    <w:rsid w:val="005820ED"/>
    <w:rsid w:val="00582739"/>
    <w:rsid w:val="00583239"/>
    <w:rsid w:val="00590AD0"/>
    <w:rsid w:val="0059132B"/>
    <w:rsid w:val="005929C8"/>
    <w:rsid w:val="00593E4A"/>
    <w:rsid w:val="00597B98"/>
    <w:rsid w:val="005A3157"/>
    <w:rsid w:val="005A5B06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C0476"/>
    <w:rsid w:val="005C19E6"/>
    <w:rsid w:val="005C50C0"/>
    <w:rsid w:val="005C5CAD"/>
    <w:rsid w:val="005C764F"/>
    <w:rsid w:val="005D100F"/>
    <w:rsid w:val="005D6051"/>
    <w:rsid w:val="005D75D2"/>
    <w:rsid w:val="005E2D8B"/>
    <w:rsid w:val="005E40F1"/>
    <w:rsid w:val="005E4833"/>
    <w:rsid w:val="005F0027"/>
    <w:rsid w:val="005F1FB5"/>
    <w:rsid w:val="005F455E"/>
    <w:rsid w:val="005F4952"/>
    <w:rsid w:val="00601BF4"/>
    <w:rsid w:val="0060422D"/>
    <w:rsid w:val="00604F69"/>
    <w:rsid w:val="0060799D"/>
    <w:rsid w:val="006103F8"/>
    <w:rsid w:val="00611410"/>
    <w:rsid w:val="00611BC5"/>
    <w:rsid w:val="006122E8"/>
    <w:rsid w:val="00613AAF"/>
    <w:rsid w:val="00614CF8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0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11DF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047"/>
    <w:rsid w:val="006E28FF"/>
    <w:rsid w:val="006E2B9D"/>
    <w:rsid w:val="006E30CD"/>
    <w:rsid w:val="006E31A1"/>
    <w:rsid w:val="006E4AFF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703247"/>
    <w:rsid w:val="0070359A"/>
    <w:rsid w:val="0070369D"/>
    <w:rsid w:val="0070397A"/>
    <w:rsid w:val="0070470A"/>
    <w:rsid w:val="00707323"/>
    <w:rsid w:val="007073A2"/>
    <w:rsid w:val="00707927"/>
    <w:rsid w:val="00707978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406BB"/>
    <w:rsid w:val="00740E5C"/>
    <w:rsid w:val="00742714"/>
    <w:rsid w:val="00742AA8"/>
    <w:rsid w:val="00744466"/>
    <w:rsid w:val="0074457D"/>
    <w:rsid w:val="007452C0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E8B"/>
    <w:rsid w:val="00790E5D"/>
    <w:rsid w:val="00791079"/>
    <w:rsid w:val="007A1BA6"/>
    <w:rsid w:val="007A2497"/>
    <w:rsid w:val="007A6654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E7E"/>
    <w:rsid w:val="00805DAC"/>
    <w:rsid w:val="00815F09"/>
    <w:rsid w:val="00817472"/>
    <w:rsid w:val="0081797E"/>
    <w:rsid w:val="00817F35"/>
    <w:rsid w:val="00820217"/>
    <w:rsid w:val="008203C8"/>
    <w:rsid w:val="00820E9D"/>
    <w:rsid w:val="00821BC2"/>
    <w:rsid w:val="00822AAC"/>
    <w:rsid w:val="008243C5"/>
    <w:rsid w:val="00824F09"/>
    <w:rsid w:val="00824FBF"/>
    <w:rsid w:val="00825CC9"/>
    <w:rsid w:val="00826370"/>
    <w:rsid w:val="008269EA"/>
    <w:rsid w:val="008276D4"/>
    <w:rsid w:val="00830528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34E2"/>
    <w:rsid w:val="00863FFA"/>
    <w:rsid w:val="00864262"/>
    <w:rsid w:val="00864514"/>
    <w:rsid w:val="00864D5B"/>
    <w:rsid w:val="0086577A"/>
    <w:rsid w:val="008676E2"/>
    <w:rsid w:val="00867924"/>
    <w:rsid w:val="00870F76"/>
    <w:rsid w:val="00877DBF"/>
    <w:rsid w:val="008801AC"/>
    <w:rsid w:val="0088028C"/>
    <w:rsid w:val="00883717"/>
    <w:rsid w:val="00885239"/>
    <w:rsid w:val="00885D8B"/>
    <w:rsid w:val="0089329F"/>
    <w:rsid w:val="00897544"/>
    <w:rsid w:val="00897FCC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E000F"/>
    <w:rsid w:val="008E099A"/>
    <w:rsid w:val="008E2699"/>
    <w:rsid w:val="008E289A"/>
    <w:rsid w:val="008E41A6"/>
    <w:rsid w:val="008E6DAA"/>
    <w:rsid w:val="008E719A"/>
    <w:rsid w:val="008E71FA"/>
    <w:rsid w:val="008E75EE"/>
    <w:rsid w:val="008E7889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1104"/>
    <w:rsid w:val="009215AD"/>
    <w:rsid w:val="00924B61"/>
    <w:rsid w:val="00930578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6005"/>
    <w:rsid w:val="00950604"/>
    <w:rsid w:val="00950F31"/>
    <w:rsid w:val="00952111"/>
    <w:rsid w:val="00953B26"/>
    <w:rsid w:val="009558E3"/>
    <w:rsid w:val="00956188"/>
    <w:rsid w:val="009564B3"/>
    <w:rsid w:val="009574D3"/>
    <w:rsid w:val="0096121E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2CC8"/>
    <w:rsid w:val="0098312F"/>
    <w:rsid w:val="00983304"/>
    <w:rsid w:val="00986F1F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D19E8"/>
    <w:rsid w:val="009D23D1"/>
    <w:rsid w:val="009D3C8D"/>
    <w:rsid w:val="009D5662"/>
    <w:rsid w:val="009D5FF2"/>
    <w:rsid w:val="009D70CD"/>
    <w:rsid w:val="009E23FA"/>
    <w:rsid w:val="009E2D6F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158F3"/>
    <w:rsid w:val="00A20BCD"/>
    <w:rsid w:val="00A215CB"/>
    <w:rsid w:val="00A21CAB"/>
    <w:rsid w:val="00A2266C"/>
    <w:rsid w:val="00A24223"/>
    <w:rsid w:val="00A30B61"/>
    <w:rsid w:val="00A321D8"/>
    <w:rsid w:val="00A344AB"/>
    <w:rsid w:val="00A374ED"/>
    <w:rsid w:val="00A412A4"/>
    <w:rsid w:val="00A4190B"/>
    <w:rsid w:val="00A44337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55B8"/>
    <w:rsid w:val="00A75D10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53B6"/>
    <w:rsid w:val="00AA6A24"/>
    <w:rsid w:val="00AA7453"/>
    <w:rsid w:val="00AA7941"/>
    <w:rsid w:val="00AB09B0"/>
    <w:rsid w:val="00AB4D4B"/>
    <w:rsid w:val="00AB638F"/>
    <w:rsid w:val="00AB7D4B"/>
    <w:rsid w:val="00AC11AA"/>
    <w:rsid w:val="00AC6070"/>
    <w:rsid w:val="00AC6254"/>
    <w:rsid w:val="00AD157C"/>
    <w:rsid w:val="00AD2504"/>
    <w:rsid w:val="00AE07AD"/>
    <w:rsid w:val="00AE0ECA"/>
    <w:rsid w:val="00AE3865"/>
    <w:rsid w:val="00AE4BF7"/>
    <w:rsid w:val="00AE5203"/>
    <w:rsid w:val="00AE6283"/>
    <w:rsid w:val="00AF01DB"/>
    <w:rsid w:val="00AF0A93"/>
    <w:rsid w:val="00AF5F3A"/>
    <w:rsid w:val="00AF6CD7"/>
    <w:rsid w:val="00AF7CD2"/>
    <w:rsid w:val="00B01658"/>
    <w:rsid w:val="00B0177D"/>
    <w:rsid w:val="00B0197A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25CCC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B2D"/>
    <w:rsid w:val="00BB69FD"/>
    <w:rsid w:val="00BB7CF5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C0077A"/>
    <w:rsid w:val="00C03D9F"/>
    <w:rsid w:val="00C04EE9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27508"/>
    <w:rsid w:val="00C30944"/>
    <w:rsid w:val="00C30C3E"/>
    <w:rsid w:val="00C312C5"/>
    <w:rsid w:val="00C335D5"/>
    <w:rsid w:val="00C35AEF"/>
    <w:rsid w:val="00C4105F"/>
    <w:rsid w:val="00C4107B"/>
    <w:rsid w:val="00C4139C"/>
    <w:rsid w:val="00C41AE5"/>
    <w:rsid w:val="00C43786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476"/>
    <w:rsid w:val="00C74E8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66EE"/>
    <w:rsid w:val="00CE209D"/>
    <w:rsid w:val="00CE3F20"/>
    <w:rsid w:val="00CE7067"/>
    <w:rsid w:val="00CE7FA7"/>
    <w:rsid w:val="00CF0673"/>
    <w:rsid w:val="00CF1583"/>
    <w:rsid w:val="00CF39AA"/>
    <w:rsid w:val="00D00D65"/>
    <w:rsid w:val="00D01D7F"/>
    <w:rsid w:val="00D03C21"/>
    <w:rsid w:val="00D044AE"/>
    <w:rsid w:val="00D05726"/>
    <w:rsid w:val="00D05B83"/>
    <w:rsid w:val="00D10A40"/>
    <w:rsid w:val="00D113A6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B82"/>
    <w:rsid w:val="00D34ECA"/>
    <w:rsid w:val="00D36E9F"/>
    <w:rsid w:val="00D3784F"/>
    <w:rsid w:val="00D37A8E"/>
    <w:rsid w:val="00D425FF"/>
    <w:rsid w:val="00D42CAD"/>
    <w:rsid w:val="00D441F3"/>
    <w:rsid w:val="00D453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2DB2"/>
    <w:rsid w:val="00D73060"/>
    <w:rsid w:val="00D76A29"/>
    <w:rsid w:val="00D76BCC"/>
    <w:rsid w:val="00D77554"/>
    <w:rsid w:val="00D81175"/>
    <w:rsid w:val="00D8482A"/>
    <w:rsid w:val="00D908EE"/>
    <w:rsid w:val="00D92D51"/>
    <w:rsid w:val="00D96E9C"/>
    <w:rsid w:val="00DA0D97"/>
    <w:rsid w:val="00DA1E3D"/>
    <w:rsid w:val="00DA46A6"/>
    <w:rsid w:val="00DA4EFE"/>
    <w:rsid w:val="00DA6D2C"/>
    <w:rsid w:val="00DB6B62"/>
    <w:rsid w:val="00DB74E0"/>
    <w:rsid w:val="00DC0232"/>
    <w:rsid w:val="00DC4A08"/>
    <w:rsid w:val="00DC4FBD"/>
    <w:rsid w:val="00DC65F3"/>
    <w:rsid w:val="00DD0798"/>
    <w:rsid w:val="00DD23A5"/>
    <w:rsid w:val="00DD2A4F"/>
    <w:rsid w:val="00DD5401"/>
    <w:rsid w:val="00DD5DAC"/>
    <w:rsid w:val="00DD6706"/>
    <w:rsid w:val="00DD6D1A"/>
    <w:rsid w:val="00DD6E6B"/>
    <w:rsid w:val="00DD6FF4"/>
    <w:rsid w:val="00DE083A"/>
    <w:rsid w:val="00DE110A"/>
    <w:rsid w:val="00DE1964"/>
    <w:rsid w:val="00DE1D23"/>
    <w:rsid w:val="00DF10BF"/>
    <w:rsid w:val="00DF4153"/>
    <w:rsid w:val="00DF525D"/>
    <w:rsid w:val="00DF7EA1"/>
    <w:rsid w:val="00E02B7C"/>
    <w:rsid w:val="00E06A1B"/>
    <w:rsid w:val="00E10EB2"/>
    <w:rsid w:val="00E14BFA"/>
    <w:rsid w:val="00E15BD7"/>
    <w:rsid w:val="00E228CF"/>
    <w:rsid w:val="00E276AF"/>
    <w:rsid w:val="00E31FC7"/>
    <w:rsid w:val="00E32D7A"/>
    <w:rsid w:val="00E332EE"/>
    <w:rsid w:val="00E338E1"/>
    <w:rsid w:val="00E33FA0"/>
    <w:rsid w:val="00E354B3"/>
    <w:rsid w:val="00E36AD1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60313"/>
    <w:rsid w:val="00E60D2D"/>
    <w:rsid w:val="00E6102C"/>
    <w:rsid w:val="00E63384"/>
    <w:rsid w:val="00E63E92"/>
    <w:rsid w:val="00E659D4"/>
    <w:rsid w:val="00E65C1D"/>
    <w:rsid w:val="00E65DAF"/>
    <w:rsid w:val="00E664AA"/>
    <w:rsid w:val="00E675F3"/>
    <w:rsid w:val="00E67B6F"/>
    <w:rsid w:val="00E714EC"/>
    <w:rsid w:val="00E7327C"/>
    <w:rsid w:val="00E748A9"/>
    <w:rsid w:val="00E808AF"/>
    <w:rsid w:val="00E8394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484D"/>
    <w:rsid w:val="00EF11B3"/>
    <w:rsid w:val="00EF2503"/>
    <w:rsid w:val="00EF2621"/>
    <w:rsid w:val="00EF3BB3"/>
    <w:rsid w:val="00EF6F9D"/>
    <w:rsid w:val="00F00F24"/>
    <w:rsid w:val="00F03610"/>
    <w:rsid w:val="00F07ED0"/>
    <w:rsid w:val="00F10B80"/>
    <w:rsid w:val="00F125C9"/>
    <w:rsid w:val="00F136E1"/>
    <w:rsid w:val="00F13B9D"/>
    <w:rsid w:val="00F140A8"/>
    <w:rsid w:val="00F15B06"/>
    <w:rsid w:val="00F17AC8"/>
    <w:rsid w:val="00F20357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66C6"/>
    <w:rsid w:val="00F40535"/>
    <w:rsid w:val="00F41CF5"/>
    <w:rsid w:val="00F42F84"/>
    <w:rsid w:val="00F43C85"/>
    <w:rsid w:val="00F444AC"/>
    <w:rsid w:val="00F448E5"/>
    <w:rsid w:val="00F458C8"/>
    <w:rsid w:val="00F45A4D"/>
    <w:rsid w:val="00F46618"/>
    <w:rsid w:val="00F5096C"/>
    <w:rsid w:val="00F53368"/>
    <w:rsid w:val="00F53508"/>
    <w:rsid w:val="00F536A9"/>
    <w:rsid w:val="00F54984"/>
    <w:rsid w:val="00F54A04"/>
    <w:rsid w:val="00F565F2"/>
    <w:rsid w:val="00F60129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72AD"/>
    <w:rsid w:val="00F7746B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5723"/>
    <w:rsid w:val="00FB73EA"/>
    <w:rsid w:val="00FC0CB6"/>
    <w:rsid w:val="00FC0D05"/>
    <w:rsid w:val="00FC2550"/>
    <w:rsid w:val="00FC4F18"/>
    <w:rsid w:val="00FC560D"/>
    <w:rsid w:val="00FC7B5D"/>
    <w:rsid w:val="00FC7FCB"/>
    <w:rsid w:val="00FD032F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0FF7FF5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XINYI ZHAO</cp:lastModifiedBy>
  <cp:revision>4</cp:revision>
  <cp:lastPrinted>2023-01-12T08:57:00Z</cp:lastPrinted>
  <dcterms:created xsi:type="dcterms:W3CDTF">2025-05-22T01:11:00Z</dcterms:created>
  <dcterms:modified xsi:type="dcterms:W3CDTF">2025-05-22T01:12:00Z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