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AC" w:rsidRDefault="00ED1310">
      <w:pPr>
        <w:adjustRightInd w:val="0"/>
        <w:snapToGrid w:val="0"/>
        <w:spacing w:line="600" w:lineRule="exact"/>
        <w:jc w:val="right"/>
        <w:rPr>
          <w:rFonts w:ascii="黑体" w:eastAsia="黑体" w:hAnsi="黑体"/>
          <w:b/>
          <w:bCs/>
          <w:sz w:val="24"/>
          <w:szCs w:val="22"/>
        </w:rPr>
      </w:pPr>
      <w:r>
        <w:rPr>
          <w:rFonts w:ascii="黑体" w:eastAsia="黑体" w:hAnsi="黑体" w:hint="eastAsia"/>
          <w:b/>
          <w:bCs/>
          <w:sz w:val="24"/>
          <w:szCs w:val="22"/>
        </w:rPr>
        <w:t>证券代码：</w:t>
      </w:r>
      <w:r>
        <w:rPr>
          <w:rFonts w:ascii="黑体" w:eastAsia="黑体" w:hAnsi="黑体" w:hint="eastAsia"/>
          <w:b/>
          <w:bCs/>
          <w:sz w:val="24"/>
          <w:szCs w:val="22"/>
        </w:rPr>
        <w:t>688687</w:t>
      </w:r>
      <w:r>
        <w:rPr>
          <w:rFonts w:ascii="黑体" w:eastAsia="黑体" w:hAnsi="黑体"/>
          <w:b/>
          <w:bCs/>
          <w:sz w:val="24"/>
          <w:szCs w:val="22"/>
        </w:rPr>
        <w:t xml:space="preserve">        </w:t>
      </w:r>
      <w:r>
        <w:rPr>
          <w:rFonts w:ascii="黑体" w:eastAsia="黑体" w:hAnsi="黑体" w:hint="eastAsia"/>
          <w:b/>
          <w:bCs/>
          <w:sz w:val="24"/>
          <w:szCs w:val="22"/>
        </w:rPr>
        <w:t xml:space="preserve"> </w:t>
      </w:r>
      <w:r>
        <w:rPr>
          <w:rFonts w:ascii="黑体" w:eastAsia="黑体" w:hAnsi="黑体"/>
          <w:b/>
          <w:bCs/>
          <w:sz w:val="24"/>
          <w:szCs w:val="22"/>
        </w:rPr>
        <w:t xml:space="preserve">                        </w:t>
      </w:r>
      <w:r>
        <w:rPr>
          <w:rFonts w:ascii="黑体" w:eastAsia="黑体" w:hAnsi="黑体" w:hint="eastAsia"/>
          <w:b/>
          <w:bCs/>
          <w:sz w:val="24"/>
          <w:szCs w:val="22"/>
        </w:rPr>
        <w:t xml:space="preserve"> </w:t>
      </w:r>
      <w:r>
        <w:rPr>
          <w:rFonts w:ascii="黑体" w:eastAsia="黑体" w:hAnsi="黑体" w:hint="eastAsia"/>
          <w:b/>
          <w:bCs/>
          <w:sz w:val="24"/>
          <w:szCs w:val="22"/>
        </w:rPr>
        <w:t>证券简称：</w:t>
      </w:r>
      <w:proofErr w:type="gramStart"/>
      <w:r>
        <w:rPr>
          <w:rFonts w:ascii="黑体" w:eastAsia="黑体" w:hAnsi="黑体" w:hint="eastAsia"/>
          <w:b/>
          <w:bCs/>
          <w:sz w:val="24"/>
          <w:szCs w:val="22"/>
        </w:rPr>
        <w:t>凯</w:t>
      </w:r>
      <w:proofErr w:type="gramEnd"/>
      <w:r>
        <w:rPr>
          <w:rFonts w:ascii="黑体" w:eastAsia="黑体" w:hAnsi="黑体" w:hint="eastAsia"/>
          <w:b/>
          <w:bCs/>
          <w:sz w:val="24"/>
          <w:szCs w:val="22"/>
        </w:rPr>
        <w:t>因科技</w:t>
      </w:r>
    </w:p>
    <w:p w:rsidR="006C78AC" w:rsidRDefault="006C78AC"/>
    <w:p w:rsidR="006C78AC" w:rsidRDefault="006C78AC"/>
    <w:p w:rsidR="006C78AC" w:rsidRDefault="006C78AC"/>
    <w:p w:rsidR="006C78AC" w:rsidRDefault="006C78AC"/>
    <w:p w:rsidR="006C78AC" w:rsidRDefault="006C78AC"/>
    <w:p w:rsidR="006C78AC" w:rsidRDefault="006C78AC"/>
    <w:p w:rsidR="006C78AC" w:rsidRDefault="00ED1310">
      <w:r>
        <w:rPr>
          <w:rFonts w:eastAsia="仿宋_GB2312"/>
          <w:b/>
          <w:noProof/>
          <w:sz w:val="52"/>
          <w:szCs w:val="30"/>
        </w:rPr>
        <w:drawing>
          <wp:inline distT="0" distB="0" distL="0" distR="0">
            <wp:extent cx="5278120" cy="1125220"/>
            <wp:effectExtent l="0" t="0" r="0" b="0"/>
            <wp:docPr id="1026" name="图片 1" descr="C:\Users\chu\AppData\Local\Temp\WeChat Files\2867576971522645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C:\Users\chu\AppData\Local\Temp\WeChat Files\286757697152264561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252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8AC" w:rsidRDefault="006C78AC"/>
    <w:p w:rsidR="006C78AC" w:rsidRDefault="00ED1310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北京凯因科技股份有限公司</w:t>
      </w:r>
    </w:p>
    <w:p w:rsidR="006C78AC" w:rsidRDefault="00ED1310">
      <w:pPr>
        <w:autoSpaceDE w:val="0"/>
        <w:autoSpaceDN w:val="0"/>
        <w:adjustRightInd w:val="0"/>
        <w:spacing w:beforeLines="50" w:before="156" w:afterLines="50" w:after="156" w:line="480" w:lineRule="auto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6C78AC" w:rsidRDefault="006C78AC"/>
    <w:p w:rsidR="006C78AC" w:rsidRDefault="006C78AC"/>
    <w:p w:rsidR="006C78AC" w:rsidRDefault="006C78AC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6C78AC" w:rsidRDefault="006C78AC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6C78AC" w:rsidRDefault="00ED1310">
      <w:pPr>
        <w:tabs>
          <w:tab w:val="left" w:pos="6675"/>
        </w:tabs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tab/>
      </w:r>
    </w:p>
    <w:p w:rsidR="006C78AC" w:rsidRDefault="00ED1310">
      <w:pPr>
        <w:tabs>
          <w:tab w:val="center" w:pos="4156"/>
          <w:tab w:val="left" w:pos="6675"/>
        </w:tabs>
        <w:autoSpaceDE w:val="0"/>
        <w:autoSpaceDN w:val="0"/>
        <w:adjustRightInd w:val="0"/>
        <w:spacing w:beforeLines="100" w:before="312"/>
        <w:jc w:val="left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  <w:r>
        <w:rPr>
          <w:rFonts w:ascii="黑体" w:eastAsia="黑体" w:cs="黑体"/>
          <w:color w:val="000000"/>
          <w:kern w:val="0"/>
          <w:sz w:val="32"/>
          <w:szCs w:val="28"/>
        </w:rPr>
        <w:lastRenderedPageBreak/>
        <w:tab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t>北京凯因科技股份有限公司</w:t>
      </w:r>
      <w:r>
        <w:rPr>
          <w:rFonts w:ascii="黑体" w:eastAsia="黑体" w:cs="黑体"/>
          <w:color w:val="000000"/>
          <w:kern w:val="0"/>
          <w:sz w:val="32"/>
          <w:szCs w:val="28"/>
        </w:rPr>
        <w:tab/>
      </w:r>
    </w:p>
    <w:p w:rsidR="006C78AC" w:rsidRDefault="00ED131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746"/>
      </w:tblGrid>
      <w:tr w:rsidR="006C78AC">
        <w:trPr>
          <w:trHeight w:val="2545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instrText xml:space="preserve"> eq \o\ac(□</w:instrTex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</w:rPr>
              <w:instrText>,</w:instrTex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position w:val="2"/>
                <w:sz w:val="16"/>
              </w:rPr>
              <w:instrText>√</w:instrTex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instrText>)</w:instrTex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现场调研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□分析师会议</w:t>
            </w:r>
          </w:p>
          <w:p w:rsidR="006C78AC" w:rsidRDefault="00ED1310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□媒体采访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□业绩说明会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 </w:t>
            </w:r>
          </w:p>
          <w:p w:rsidR="006C78AC" w:rsidRDefault="00ED1310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□新闻发布会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□路演活动</w:t>
            </w:r>
          </w:p>
          <w:p w:rsidR="006C78AC" w:rsidRDefault="00ED1310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□现场参观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一对一沟通</w:t>
            </w:r>
          </w:p>
          <w:p w:rsidR="006C78AC" w:rsidRDefault="00ED1310">
            <w:pPr>
              <w:autoSpaceDE w:val="0"/>
              <w:autoSpaceDN w:val="0"/>
              <w:adjustRightInd w:val="0"/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instrText xml:space="preserve"> eq \o\ac(□)</w:instrTex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C78AC">
        <w:trPr>
          <w:trHeight w:val="718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spacing w:line="4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日</w:t>
            </w:r>
          </w:p>
        </w:tc>
      </w:tr>
      <w:tr w:rsidR="006C78AC">
        <w:trPr>
          <w:trHeight w:val="675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lang w:bidi="ar"/>
              </w:rPr>
              <w:t>公司会议室</w:t>
            </w:r>
          </w:p>
        </w:tc>
      </w:tr>
      <w:tr w:rsidR="006C78AC">
        <w:trPr>
          <w:trHeight w:val="675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spacing w:beforeLines="50" w:before="156" w:afterLines="50" w:after="156" w:line="360" w:lineRule="auto"/>
              <w:rPr>
                <w:rFonts w:asciiTheme="minorEastAsia" w:eastAsiaTheme="minorEastAsia" w:hAnsiTheme="minorEastAsia" w:cs="宋体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lang w:bidi="ar"/>
              </w:rPr>
              <w:t>中庚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lang w:bidi="ar"/>
              </w:rPr>
              <w:t>基金</w:t>
            </w:r>
            <w:proofErr w:type="gramEnd"/>
          </w:p>
        </w:tc>
      </w:tr>
      <w:tr w:rsidR="006C78AC">
        <w:trPr>
          <w:trHeight w:val="2142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董事长兼总裁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周德胜先生</w:t>
            </w:r>
          </w:p>
          <w:p w:rsidR="006C78AC" w:rsidRDefault="00ED1310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副总裁、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董秘兼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首席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人力资源官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王湛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先生</w:t>
            </w:r>
          </w:p>
          <w:p w:rsidR="006C78AC" w:rsidRDefault="00ED1310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首席财务官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刘洪娟女士</w:t>
            </w:r>
          </w:p>
          <w:p w:rsidR="006C78AC" w:rsidRDefault="00ED1310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总裁助理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刘紫馨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女士</w:t>
            </w:r>
          </w:p>
          <w:p w:rsidR="006C78AC" w:rsidRDefault="00454E51">
            <w:pPr>
              <w:autoSpaceDE w:val="0"/>
              <w:autoSpaceDN w:val="0"/>
              <w:adjustRightIn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454E5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董事会办公室主任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="00ED13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李军先生</w:t>
            </w:r>
          </w:p>
        </w:tc>
      </w:tr>
      <w:tr w:rsidR="006C78AC">
        <w:trPr>
          <w:trHeight w:val="841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问答交流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widowControl/>
              <w:numPr>
                <w:ilvl w:val="0"/>
                <w:numId w:val="1"/>
              </w:numPr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公司长效干扰素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审批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最新进度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？</w:t>
            </w:r>
          </w:p>
          <w:p w:rsidR="006C78AC" w:rsidRDefault="00ED1310">
            <w:pPr>
              <w:widowControl/>
              <w:spacing w:beforeLines="50" w:before="156"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答：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公司派益生</w:t>
            </w:r>
            <w:bookmarkStart w:id="0" w:name="_GoBack"/>
            <w:bookmarkEnd w:id="0"/>
            <w:proofErr w:type="gramEnd"/>
            <w:r w:rsidR="00710B52" w:rsidRPr="00710B52">
              <w:rPr>
                <w:color w:val="000000"/>
                <w:sz w:val="24"/>
                <w:shd w:val="clear" w:color="auto" w:fill="FFFFFF"/>
                <w:vertAlign w:val="superscript"/>
              </w:rPr>
              <w:t>®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新增成人慢性乙型肝炎适应症的上市许可申请已于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2024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月获国家药监局正式受理，后续审评进度及结果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请关注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监管部门公示及公司公告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。</w:t>
            </w:r>
          </w:p>
          <w:p w:rsidR="006C78AC" w:rsidRDefault="00ED1310">
            <w:pPr>
              <w:widowControl/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</w:t>
            </w:r>
            <w:r>
              <w:rPr>
                <w:rFonts w:ascii="宋体" w:hAnsi="宋体" w:cs="宋体" w:hint="eastAsia"/>
                <w:b/>
                <w:sz w:val="24"/>
              </w:rPr>
              <w:t>、公司</w:t>
            </w:r>
            <w:r>
              <w:rPr>
                <w:rFonts w:ascii="宋体" w:hAnsi="宋体" w:cs="宋体" w:hint="eastAsia"/>
                <w:b/>
                <w:sz w:val="24"/>
              </w:rPr>
              <w:t>2025</w:t>
            </w:r>
            <w:r>
              <w:rPr>
                <w:rFonts w:ascii="宋体" w:hAnsi="宋体" w:cs="宋体" w:hint="eastAsia"/>
                <w:b/>
                <w:sz w:val="24"/>
              </w:rPr>
              <w:t>年在研发投入方面有什么计划，在</w:t>
            </w: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>项目预计会有什么新进展</w:t>
            </w:r>
            <w:r>
              <w:rPr>
                <w:rFonts w:ascii="宋体" w:hAnsi="宋体" w:cs="宋体" w:hint="eastAsia"/>
                <w:b/>
                <w:sz w:val="24"/>
              </w:rPr>
              <w:t>？</w:t>
            </w:r>
          </w:p>
          <w:p w:rsidR="006C78AC" w:rsidRDefault="00ED1310">
            <w:pPr>
              <w:widowControl/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答：公司</w:t>
            </w:r>
            <w:r>
              <w:rPr>
                <w:rFonts w:ascii="宋体" w:hAnsi="宋体" w:cs="宋体" w:hint="eastAsia"/>
                <w:sz w:val="24"/>
              </w:rPr>
              <w:t>将</w:t>
            </w:r>
            <w:r>
              <w:rPr>
                <w:rFonts w:ascii="宋体" w:hAnsi="宋体" w:cs="宋体" w:hint="eastAsia"/>
                <w:sz w:val="24"/>
              </w:rPr>
              <w:t>根据</w:t>
            </w:r>
            <w:r>
              <w:rPr>
                <w:rFonts w:ascii="宋体" w:hAnsi="宋体" w:cs="宋体" w:hint="eastAsia"/>
                <w:sz w:val="24"/>
              </w:rPr>
              <w:t>整体经营</w:t>
            </w:r>
            <w:r>
              <w:rPr>
                <w:rFonts w:ascii="宋体" w:hAnsi="宋体" w:cs="宋体" w:hint="eastAsia"/>
                <w:sz w:val="24"/>
              </w:rPr>
              <w:t>规划</w:t>
            </w:r>
            <w:r>
              <w:rPr>
                <w:rFonts w:ascii="宋体" w:hAnsi="宋体" w:cs="宋体" w:hint="eastAsia"/>
                <w:sz w:val="24"/>
              </w:rPr>
              <w:t>和研发项目进展综合考虑研发投入节奏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  <w:r>
              <w:rPr>
                <w:rFonts w:ascii="宋体" w:hAnsi="宋体" w:cs="宋体" w:hint="eastAsia"/>
                <w:bCs/>
                <w:sz w:val="24"/>
              </w:rPr>
              <w:t>2025</w:t>
            </w:r>
            <w:r>
              <w:rPr>
                <w:rFonts w:ascii="宋体" w:hAnsi="宋体" w:cs="宋体" w:hint="eastAsia"/>
                <w:bCs/>
                <w:sz w:val="24"/>
              </w:rPr>
              <w:t>年，</w:t>
            </w:r>
            <w:r>
              <w:rPr>
                <w:rFonts w:ascii="宋体" w:hAnsi="宋体" w:cs="宋体" w:hint="eastAsia"/>
                <w:sz w:val="24"/>
              </w:rPr>
              <w:t>公司将加速推进</w:t>
            </w:r>
            <w:r>
              <w:rPr>
                <w:rFonts w:ascii="宋体" w:hAnsi="宋体" w:cs="宋体" w:hint="eastAsia"/>
                <w:sz w:val="24"/>
              </w:rPr>
              <w:t>KW-051</w:t>
            </w:r>
            <w:r>
              <w:rPr>
                <w:rFonts w:ascii="宋体" w:hAnsi="宋体" w:cs="宋体" w:hint="eastAsia"/>
                <w:sz w:val="24"/>
              </w:rPr>
              <w:t>（培集成干扰素</w:t>
            </w:r>
            <w:r>
              <w:rPr>
                <w:rFonts w:ascii="宋体" w:hAnsi="宋体" w:cs="宋体" w:hint="eastAsia"/>
                <w:sz w:val="24"/>
              </w:rPr>
              <w:lastRenderedPageBreak/>
              <w:t>α</w:t>
            </w:r>
            <w:r>
              <w:rPr>
                <w:rFonts w:ascii="宋体" w:hAnsi="宋体" w:cs="宋体" w:hint="eastAsia"/>
                <w:sz w:val="24"/>
              </w:rPr>
              <w:t>-2</w:t>
            </w:r>
            <w:r>
              <w:rPr>
                <w:rFonts w:ascii="宋体" w:hAnsi="宋体" w:cs="宋体" w:hint="eastAsia"/>
                <w:sz w:val="24"/>
              </w:rPr>
              <w:t>注射液治疗带状疱疹）项目、</w:t>
            </w:r>
            <w:r>
              <w:rPr>
                <w:rFonts w:ascii="宋体" w:hAnsi="宋体" w:cs="宋体" w:hint="eastAsia"/>
                <w:sz w:val="24"/>
              </w:rPr>
              <w:t>KW-045</w:t>
            </w:r>
            <w:r>
              <w:rPr>
                <w:rFonts w:ascii="宋体" w:hAnsi="宋体" w:cs="宋体" w:hint="eastAsia"/>
                <w:sz w:val="24"/>
              </w:rPr>
              <w:t>（人干扰素α</w:t>
            </w:r>
            <w:r>
              <w:rPr>
                <w:rFonts w:ascii="宋体" w:hAnsi="宋体" w:cs="宋体" w:hint="eastAsia"/>
                <w:sz w:val="24"/>
              </w:rPr>
              <w:t>2b</w:t>
            </w:r>
            <w:r>
              <w:rPr>
                <w:rFonts w:ascii="宋体" w:hAnsi="宋体" w:cs="宋体" w:hint="eastAsia"/>
                <w:sz w:val="24"/>
              </w:rPr>
              <w:t>喷雾剂治疗疱疹性咽峡炎）、</w:t>
            </w:r>
            <w:r>
              <w:rPr>
                <w:rFonts w:ascii="宋体" w:hAnsi="宋体" w:cs="宋体" w:hint="eastAsia"/>
                <w:sz w:val="24"/>
              </w:rPr>
              <w:t>KW-053</w:t>
            </w:r>
            <w:r>
              <w:rPr>
                <w:rFonts w:ascii="宋体" w:hAnsi="宋体" w:cs="宋体" w:hint="eastAsia"/>
                <w:sz w:val="24"/>
              </w:rPr>
              <w:t>（人干扰素α</w:t>
            </w:r>
            <w:r>
              <w:rPr>
                <w:rFonts w:ascii="宋体" w:hAnsi="宋体" w:cs="宋体" w:hint="eastAsia"/>
                <w:sz w:val="24"/>
              </w:rPr>
              <w:t>2b</w:t>
            </w:r>
            <w:r>
              <w:rPr>
                <w:rFonts w:ascii="宋体" w:hAnsi="宋体" w:cs="宋体" w:hint="eastAsia"/>
                <w:sz w:val="24"/>
              </w:rPr>
              <w:t>阴道泡腾片治疗尖锐湿疣）临床进展；着力推进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类新药</w:t>
            </w:r>
            <w:r>
              <w:rPr>
                <w:rFonts w:ascii="宋体" w:hAnsi="宋体" w:cs="宋体" w:hint="eastAsia"/>
                <w:sz w:val="24"/>
              </w:rPr>
              <w:t>KW-040</w:t>
            </w:r>
            <w:r>
              <w:rPr>
                <w:rFonts w:ascii="宋体" w:hAnsi="宋体" w:cs="宋体" w:hint="eastAsia"/>
                <w:sz w:val="24"/>
              </w:rPr>
              <w:t>的</w:t>
            </w:r>
            <w:r>
              <w:rPr>
                <w:rFonts w:ascii="宋体" w:hAnsi="宋体" w:cs="宋体" w:hint="eastAsia"/>
                <w:sz w:val="24"/>
              </w:rPr>
              <w:t>I</w:t>
            </w:r>
            <w:r>
              <w:rPr>
                <w:rFonts w:ascii="宋体" w:hAnsi="宋体" w:cs="宋体" w:hint="eastAsia"/>
                <w:sz w:val="24"/>
              </w:rPr>
              <w:t>期临床研究。</w:t>
            </w:r>
          </w:p>
          <w:p w:rsidR="006C78AC" w:rsidRDefault="00ED1310">
            <w:pPr>
              <w:widowControl/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、如何看待目前丙肝市场的竞争？</w:t>
            </w:r>
          </w:p>
          <w:p w:rsidR="006C78AC" w:rsidRDefault="00ED1310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</w:rPr>
              <w:t>答：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国内丙肝市场空间较大，存在进一步扩容机会；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2030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年消除丙肝目标的达成需要多方共同努力，助力国家完成该目标。公司丙肝产品</w:t>
            </w:r>
            <w:proofErr w:type="gramStart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凯</w:t>
            </w:r>
            <w:proofErr w:type="gramEnd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力唯</w:t>
            </w:r>
            <w:r w:rsidR="00710B52" w:rsidRPr="00710B52">
              <w:rPr>
                <w:color w:val="000000"/>
                <w:sz w:val="24"/>
                <w:shd w:val="clear" w:color="auto" w:fill="FFFFFF"/>
                <w:vertAlign w:val="superscript"/>
              </w:rPr>
              <w:t>®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在产品力、推广模式等方面均具备较强的竞争优势，未来有望实现新突破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。</w:t>
            </w:r>
          </w:p>
          <w:p w:rsidR="006C78AC" w:rsidRDefault="00ED1310">
            <w:pPr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金舒喜</w:t>
            </w:r>
            <w:r w:rsidR="00710B52" w:rsidRPr="00710B52">
              <w:rPr>
                <w:color w:val="000000"/>
                <w:sz w:val="24"/>
                <w:shd w:val="clear" w:color="auto" w:fill="FFFFFF"/>
                <w:vertAlign w:val="superscript"/>
              </w:rPr>
              <w:t>®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目前已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被纳入江西集采，请问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今年销售预期是多少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？</w:t>
            </w:r>
          </w:p>
          <w:p w:rsidR="006C78AC" w:rsidRDefault="00ED1310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答：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公司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会结合金舒喜</w:t>
            </w:r>
            <w:r w:rsidR="00710B52" w:rsidRPr="00710B52">
              <w:rPr>
                <w:color w:val="000000"/>
                <w:sz w:val="24"/>
                <w:shd w:val="clear" w:color="auto" w:fill="FFFFFF"/>
                <w:vertAlign w:val="superscript"/>
              </w:rPr>
              <w:t>®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自身产品优势，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深度拓展品牌影响力，并结合全国多省份开展</w:t>
            </w:r>
            <w:proofErr w:type="gramStart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有关两癌筛查</w:t>
            </w:r>
            <w:proofErr w:type="gramEnd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行动方案，实现增量；同时借此契机进一步优化渠道，做好长线布局，不断提升该产品市场份额。</w:t>
            </w:r>
          </w:p>
          <w:p w:rsidR="006C78AC" w:rsidRDefault="00ED1310">
            <w:pPr>
              <w:spacing w:beforeLines="50" w:before="156" w:line="360" w:lineRule="auto"/>
              <w:ind w:firstLineChars="200" w:firstLine="482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请介绍下公司针对乙肝功能性治愈的药物研发策略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以及目前的临床进展情况</w:t>
            </w:r>
            <w:r>
              <w:rPr>
                <w:rFonts w:ascii="宋体" w:hAnsi="宋体" w:cs="宋体" w:hint="eastAsia"/>
                <w:b/>
                <w:bCs/>
                <w:sz w:val="24"/>
                <w:shd w:val="clear" w:color="auto" w:fill="FFFFFF"/>
              </w:rPr>
              <w:t>？</w:t>
            </w:r>
          </w:p>
          <w:p w:rsidR="006C78AC" w:rsidRDefault="00ED1310">
            <w:pPr>
              <w:spacing w:beforeLines="50" w:before="156" w:line="360" w:lineRule="auto"/>
              <w:ind w:firstLineChars="200" w:firstLine="480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答：公司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当前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重点聚焦以创新药为核心的乙肝功能性治愈药物组合研发，围绕抗病毒、乙肝表面抗原抑制、免疫调节等多种机制，布局了涵盖重组蛋白、单克隆抗体、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siRNA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等多种药物类型在内的产品管线。目前，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KW-001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已完成Ⅲ期临床试验，并提交药品注册上市许可申请，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KW-027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目前处于</w:t>
            </w:r>
            <w:proofErr w:type="spellStart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Ib</w:t>
            </w:r>
            <w:proofErr w:type="spellEnd"/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期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临床试验阶段，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KW-040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临床试验申请已获国家药品监督管理局受理，各项研发项目均在有序推进中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。</w:t>
            </w:r>
          </w:p>
        </w:tc>
      </w:tr>
      <w:tr w:rsidR="006C78AC">
        <w:trPr>
          <w:trHeight w:val="884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jc w:val="center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黑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C78AC">
        <w:trPr>
          <w:trHeight w:val="2399"/>
        </w:trPr>
        <w:tc>
          <w:tcPr>
            <w:tcW w:w="2218" w:type="dxa"/>
            <w:vAlign w:val="center"/>
          </w:tcPr>
          <w:p w:rsidR="006C78AC" w:rsidRDefault="00ED131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6746" w:type="dxa"/>
            <w:vAlign w:val="center"/>
          </w:tcPr>
          <w:p w:rsidR="006C78AC" w:rsidRDefault="00ED1310">
            <w:pPr>
              <w:spacing w:beforeLines="50" w:before="156" w:line="360" w:lineRule="auto"/>
              <w:rPr>
                <w:rFonts w:asciiTheme="minorEastAsia" w:eastAsiaTheme="minorEastAsia" w:hAnsiTheme="minorEastAsia" w:cs="黑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19"/>
                <w:shd w:val="clear" w:color="auto" w:fill="FFFFFF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接待过程中，公司与投资者进行了充分的交流与沟通，并严格按照公司《信息披露管理制度》等规定，保证信息披露的真实、准确、完整、及时、公平，没有出现未公开重大信息泄露等情况。</w:t>
            </w:r>
          </w:p>
        </w:tc>
      </w:tr>
    </w:tbl>
    <w:p w:rsidR="006C78AC" w:rsidRDefault="006C78AC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6C78AC">
      <w:footerReference w:type="default" r:id="rId8"/>
      <w:headerReference w:type="first" r:id="rId9"/>
      <w:footerReference w:type="first" r:id="rId10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10" w:rsidRDefault="00ED1310">
      <w:r>
        <w:separator/>
      </w:r>
    </w:p>
  </w:endnote>
  <w:endnote w:type="continuationSeparator" w:id="0">
    <w:p w:rsidR="00ED1310" w:rsidRDefault="00ED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AC" w:rsidRDefault="00ED1310">
    <w:pPr>
      <w:pStyle w:val="a7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10B52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10B52">
      <w:rPr>
        <w:b/>
        <w:noProof/>
      </w:rPr>
      <w:t>4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AC" w:rsidRDefault="00ED1310">
    <w:pPr>
      <w:pStyle w:val="a7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710B52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:rsidR="006C78AC" w:rsidRDefault="006C78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10" w:rsidRDefault="00ED1310">
      <w:r>
        <w:separator/>
      </w:r>
    </w:p>
  </w:footnote>
  <w:footnote w:type="continuationSeparator" w:id="0">
    <w:p w:rsidR="00ED1310" w:rsidRDefault="00ED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8AC" w:rsidRDefault="006C78AC">
    <w:pPr>
      <w:pStyle w:val="a9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D2FACA"/>
    <w:multiLevelType w:val="singleLevel"/>
    <w:tmpl w:val="D5D2FA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F6"/>
    <w:rsid w:val="00004F2F"/>
    <w:rsid w:val="00017B4A"/>
    <w:rsid w:val="00031F2D"/>
    <w:rsid w:val="00050AB0"/>
    <w:rsid w:val="00050CB4"/>
    <w:rsid w:val="00052280"/>
    <w:rsid w:val="00052C3F"/>
    <w:rsid w:val="00052E0C"/>
    <w:rsid w:val="0005423C"/>
    <w:rsid w:val="000547F5"/>
    <w:rsid w:val="00060EC5"/>
    <w:rsid w:val="000670B8"/>
    <w:rsid w:val="00070C9B"/>
    <w:rsid w:val="00075593"/>
    <w:rsid w:val="000759DB"/>
    <w:rsid w:val="000804E4"/>
    <w:rsid w:val="00080CAC"/>
    <w:rsid w:val="00083D0E"/>
    <w:rsid w:val="00084B44"/>
    <w:rsid w:val="00093E67"/>
    <w:rsid w:val="00094429"/>
    <w:rsid w:val="00095671"/>
    <w:rsid w:val="00095E00"/>
    <w:rsid w:val="00096874"/>
    <w:rsid w:val="000A6B5E"/>
    <w:rsid w:val="000B2347"/>
    <w:rsid w:val="000B5391"/>
    <w:rsid w:val="000B7E2F"/>
    <w:rsid w:val="000C52E6"/>
    <w:rsid w:val="000D26F0"/>
    <w:rsid w:val="000D3B07"/>
    <w:rsid w:val="000D6327"/>
    <w:rsid w:val="000D7802"/>
    <w:rsid w:val="000D799E"/>
    <w:rsid w:val="000E1FED"/>
    <w:rsid w:val="000E2ED3"/>
    <w:rsid w:val="000E7ADD"/>
    <w:rsid w:val="000F0C9A"/>
    <w:rsid w:val="000F0F1C"/>
    <w:rsid w:val="000F20F2"/>
    <w:rsid w:val="000F3D78"/>
    <w:rsid w:val="000F6A44"/>
    <w:rsid w:val="000F7DC7"/>
    <w:rsid w:val="00100997"/>
    <w:rsid w:val="00100F3A"/>
    <w:rsid w:val="00105805"/>
    <w:rsid w:val="00106FC5"/>
    <w:rsid w:val="00110906"/>
    <w:rsid w:val="00113631"/>
    <w:rsid w:val="001229AF"/>
    <w:rsid w:val="00122FFB"/>
    <w:rsid w:val="0012460E"/>
    <w:rsid w:val="0013107E"/>
    <w:rsid w:val="00133303"/>
    <w:rsid w:val="00144672"/>
    <w:rsid w:val="00144EF1"/>
    <w:rsid w:val="00146C26"/>
    <w:rsid w:val="00151BFC"/>
    <w:rsid w:val="001536AF"/>
    <w:rsid w:val="00157324"/>
    <w:rsid w:val="001610E9"/>
    <w:rsid w:val="00163498"/>
    <w:rsid w:val="00172D4C"/>
    <w:rsid w:val="00174D87"/>
    <w:rsid w:val="00174EF7"/>
    <w:rsid w:val="00176017"/>
    <w:rsid w:val="00187E2D"/>
    <w:rsid w:val="00193A46"/>
    <w:rsid w:val="0019541F"/>
    <w:rsid w:val="001957FC"/>
    <w:rsid w:val="001A13BD"/>
    <w:rsid w:val="001A5927"/>
    <w:rsid w:val="001A6C7E"/>
    <w:rsid w:val="001A7356"/>
    <w:rsid w:val="001A7515"/>
    <w:rsid w:val="001B1F72"/>
    <w:rsid w:val="001B59D7"/>
    <w:rsid w:val="001B75E6"/>
    <w:rsid w:val="001B7D54"/>
    <w:rsid w:val="001C3B67"/>
    <w:rsid w:val="001D10C2"/>
    <w:rsid w:val="001D1E25"/>
    <w:rsid w:val="001D33EE"/>
    <w:rsid w:val="001D38F0"/>
    <w:rsid w:val="001D5AE4"/>
    <w:rsid w:val="001E68D0"/>
    <w:rsid w:val="001F0A39"/>
    <w:rsid w:val="001F1A00"/>
    <w:rsid w:val="001F25A7"/>
    <w:rsid w:val="001F332A"/>
    <w:rsid w:val="00201E5E"/>
    <w:rsid w:val="00203129"/>
    <w:rsid w:val="00203276"/>
    <w:rsid w:val="00204035"/>
    <w:rsid w:val="00212301"/>
    <w:rsid w:val="0021285C"/>
    <w:rsid w:val="0021354C"/>
    <w:rsid w:val="00213C9E"/>
    <w:rsid w:val="0021603E"/>
    <w:rsid w:val="00217C9C"/>
    <w:rsid w:val="002200E9"/>
    <w:rsid w:val="00223A11"/>
    <w:rsid w:val="00226260"/>
    <w:rsid w:val="00230119"/>
    <w:rsid w:val="00234FC8"/>
    <w:rsid w:val="00235FC5"/>
    <w:rsid w:val="002448F3"/>
    <w:rsid w:val="00246414"/>
    <w:rsid w:val="00250F60"/>
    <w:rsid w:val="002516D4"/>
    <w:rsid w:val="00255ACE"/>
    <w:rsid w:val="00264162"/>
    <w:rsid w:val="00274319"/>
    <w:rsid w:val="00275047"/>
    <w:rsid w:val="00280B9E"/>
    <w:rsid w:val="00280D08"/>
    <w:rsid w:val="00281866"/>
    <w:rsid w:val="00283D0F"/>
    <w:rsid w:val="0029094A"/>
    <w:rsid w:val="002959EF"/>
    <w:rsid w:val="00297DF1"/>
    <w:rsid w:val="002A0C59"/>
    <w:rsid w:val="002B2888"/>
    <w:rsid w:val="002C0D63"/>
    <w:rsid w:val="002C10C4"/>
    <w:rsid w:val="002D122F"/>
    <w:rsid w:val="002D1CA2"/>
    <w:rsid w:val="002E47B8"/>
    <w:rsid w:val="002E66E6"/>
    <w:rsid w:val="002F1759"/>
    <w:rsid w:val="002F7A6A"/>
    <w:rsid w:val="0030497D"/>
    <w:rsid w:val="00304BDB"/>
    <w:rsid w:val="00306E51"/>
    <w:rsid w:val="00307EB5"/>
    <w:rsid w:val="0031068A"/>
    <w:rsid w:val="00310827"/>
    <w:rsid w:val="00315E48"/>
    <w:rsid w:val="00320700"/>
    <w:rsid w:val="00322692"/>
    <w:rsid w:val="003228E3"/>
    <w:rsid w:val="0032359F"/>
    <w:rsid w:val="003334B7"/>
    <w:rsid w:val="0034518E"/>
    <w:rsid w:val="00345B8F"/>
    <w:rsid w:val="003576D8"/>
    <w:rsid w:val="00357DA9"/>
    <w:rsid w:val="00357FD3"/>
    <w:rsid w:val="00363214"/>
    <w:rsid w:val="00363764"/>
    <w:rsid w:val="00367740"/>
    <w:rsid w:val="00367BCB"/>
    <w:rsid w:val="00370C8B"/>
    <w:rsid w:val="00370CC1"/>
    <w:rsid w:val="00370E28"/>
    <w:rsid w:val="00376745"/>
    <w:rsid w:val="00380D0F"/>
    <w:rsid w:val="003951FC"/>
    <w:rsid w:val="00397C57"/>
    <w:rsid w:val="00397E19"/>
    <w:rsid w:val="003A0A1F"/>
    <w:rsid w:val="003A30D2"/>
    <w:rsid w:val="003B48D3"/>
    <w:rsid w:val="003C5E3A"/>
    <w:rsid w:val="003C7DD6"/>
    <w:rsid w:val="003D089D"/>
    <w:rsid w:val="003D1620"/>
    <w:rsid w:val="003D5C61"/>
    <w:rsid w:val="003D6191"/>
    <w:rsid w:val="003D7646"/>
    <w:rsid w:val="003E5DEA"/>
    <w:rsid w:val="003E77F0"/>
    <w:rsid w:val="003F651B"/>
    <w:rsid w:val="00400D5F"/>
    <w:rsid w:val="00400F10"/>
    <w:rsid w:val="00414801"/>
    <w:rsid w:val="0041789E"/>
    <w:rsid w:val="00421809"/>
    <w:rsid w:val="004253A2"/>
    <w:rsid w:val="00426F4A"/>
    <w:rsid w:val="0043237D"/>
    <w:rsid w:val="0043355A"/>
    <w:rsid w:val="00435C25"/>
    <w:rsid w:val="00441E67"/>
    <w:rsid w:val="004532DE"/>
    <w:rsid w:val="00454394"/>
    <w:rsid w:val="00454E51"/>
    <w:rsid w:val="00467ECC"/>
    <w:rsid w:val="00474BFD"/>
    <w:rsid w:val="0048015A"/>
    <w:rsid w:val="0048081E"/>
    <w:rsid w:val="004831EB"/>
    <w:rsid w:val="00483412"/>
    <w:rsid w:val="0048534E"/>
    <w:rsid w:val="00486A50"/>
    <w:rsid w:val="0049148F"/>
    <w:rsid w:val="0049220C"/>
    <w:rsid w:val="0049224F"/>
    <w:rsid w:val="00493C12"/>
    <w:rsid w:val="00494A56"/>
    <w:rsid w:val="0049713B"/>
    <w:rsid w:val="004A0042"/>
    <w:rsid w:val="004A3F2F"/>
    <w:rsid w:val="004B0FDD"/>
    <w:rsid w:val="004E2CA3"/>
    <w:rsid w:val="004E7960"/>
    <w:rsid w:val="004F2ACA"/>
    <w:rsid w:val="004F3F9E"/>
    <w:rsid w:val="004F58EB"/>
    <w:rsid w:val="004F7BFA"/>
    <w:rsid w:val="005071D2"/>
    <w:rsid w:val="00527448"/>
    <w:rsid w:val="005327F7"/>
    <w:rsid w:val="005337C3"/>
    <w:rsid w:val="00536664"/>
    <w:rsid w:val="005379BD"/>
    <w:rsid w:val="005404A4"/>
    <w:rsid w:val="005443D1"/>
    <w:rsid w:val="00544821"/>
    <w:rsid w:val="00550964"/>
    <w:rsid w:val="005518C5"/>
    <w:rsid w:val="00551D43"/>
    <w:rsid w:val="00551FFF"/>
    <w:rsid w:val="00554B1F"/>
    <w:rsid w:val="00556672"/>
    <w:rsid w:val="005616B1"/>
    <w:rsid w:val="005642B9"/>
    <w:rsid w:val="00566B60"/>
    <w:rsid w:val="00576DC9"/>
    <w:rsid w:val="00580352"/>
    <w:rsid w:val="00580563"/>
    <w:rsid w:val="0059153A"/>
    <w:rsid w:val="00591C01"/>
    <w:rsid w:val="005A3C5F"/>
    <w:rsid w:val="005A5B18"/>
    <w:rsid w:val="005B20E1"/>
    <w:rsid w:val="005B4442"/>
    <w:rsid w:val="005D5183"/>
    <w:rsid w:val="005D6EF2"/>
    <w:rsid w:val="005D71EC"/>
    <w:rsid w:val="005E5BE1"/>
    <w:rsid w:val="005F3D34"/>
    <w:rsid w:val="005F3F01"/>
    <w:rsid w:val="005F492E"/>
    <w:rsid w:val="005F500A"/>
    <w:rsid w:val="0060500F"/>
    <w:rsid w:val="006060BF"/>
    <w:rsid w:val="00606753"/>
    <w:rsid w:val="00613498"/>
    <w:rsid w:val="006226D9"/>
    <w:rsid w:val="00622CBD"/>
    <w:rsid w:val="00624F16"/>
    <w:rsid w:val="006260D8"/>
    <w:rsid w:val="006329CF"/>
    <w:rsid w:val="00636C42"/>
    <w:rsid w:val="00637E62"/>
    <w:rsid w:val="006405B2"/>
    <w:rsid w:val="0064146A"/>
    <w:rsid w:val="006427F7"/>
    <w:rsid w:val="0064338A"/>
    <w:rsid w:val="00644DFD"/>
    <w:rsid w:val="00645ACA"/>
    <w:rsid w:val="00647405"/>
    <w:rsid w:val="0065098A"/>
    <w:rsid w:val="00651D31"/>
    <w:rsid w:val="00652983"/>
    <w:rsid w:val="006574EF"/>
    <w:rsid w:val="00657A82"/>
    <w:rsid w:val="006623CA"/>
    <w:rsid w:val="0066248D"/>
    <w:rsid w:val="00671EAA"/>
    <w:rsid w:val="0067315D"/>
    <w:rsid w:val="00675E41"/>
    <w:rsid w:val="00681189"/>
    <w:rsid w:val="006863CC"/>
    <w:rsid w:val="0069276C"/>
    <w:rsid w:val="00692F3F"/>
    <w:rsid w:val="006A0E42"/>
    <w:rsid w:val="006A765E"/>
    <w:rsid w:val="006B1422"/>
    <w:rsid w:val="006B15A3"/>
    <w:rsid w:val="006B2330"/>
    <w:rsid w:val="006C0103"/>
    <w:rsid w:val="006C17FF"/>
    <w:rsid w:val="006C20D7"/>
    <w:rsid w:val="006C78AC"/>
    <w:rsid w:val="006D081F"/>
    <w:rsid w:val="006D0DA0"/>
    <w:rsid w:val="006D1870"/>
    <w:rsid w:val="006D1871"/>
    <w:rsid w:val="006D4B98"/>
    <w:rsid w:val="006E19CC"/>
    <w:rsid w:val="006E33B7"/>
    <w:rsid w:val="006E6159"/>
    <w:rsid w:val="006E62D5"/>
    <w:rsid w:val="006E6C93"/>
    <w:rsid w:val="006E7672"/>
    <w:rsid w:val="006F0308"/>
    <w:rsid w:val="006F0646"/>
    <w:rsid w:val="0070041D"/>
    <w:rsid w:val="00710B52"/>
    <w:rsid w:val="0071220C"/>
    <w:rsid w:val="007130AE"/>
    <w:rsid w:val="00714C47"/>
    <w:rsid w:val="00715181"/>
    <w:rsid w:val="00717156"/>
    <w:rsid w:val="0072080C"/>
    <w:rsid w:val="00722DCC"/>
    <w:rsid w:val="00723604"/>
    <w:rsid w:val="00723E87"/>
    <w:rsid w:val="007264CB"/>
    <w:rsid w:val="00731472"/>
    <w:rsid w:val="0074285F"/>
    <w:rsid w:val="00746586"/>
    <w:rsid w:val="00750036"/>
    <w:rsid w:val="0075051A"/>
    <w:rsid w:val="00754782"/>
    <w:rsid w:val="007555E9"/>
    <w:rsid w:val="007563BE"/>
    <w:rsid w:val="00761023"/>
    <w:rsid w:val="00763C63"/>
    <w:rsid w:val="00765B2F"/>
    <w:rsid w:val="00767246"/>
    <w:rsid w:val="00771078"/>
    <w:rsid w:val="00776728"/>
    <w:rsid w:val="00780E27"/>
    <w:rsid w:val="007826D5"/>
    <w:rsid w:val="00784745"/>
    <w:rsid w:val="00784B41"/>
    <w:rsid w:val="00791610"/>
    <w:rsid w:val="00797C75"/>
    <w:rsid w:val="007A40A3"/>
    <w:rsid w:val="007B3030"/>
    <w:rsid w:val="007B384E"/>
    <w:rsid w:val="007B419B"/>
    <w:rsid w:val="007B499B"/>
    <w:rsid w:val="007B4A09"/>
    <w:rsid w:val="007B56D3"/>
    <w:rsid w:val="007B64BF"/>
    <w:rsid w:val="007B6549"/>
    <w:rsid w:val="007C4810"/>
    <w:rsid w:val="007D04FA"/>
    <w:rsid w:val="007D0CE8"/>
    <w:rsid w:val="007D4BE8"/>
    <w:rsid w:val="007D7222"/>
    <w:rsid w:val="007D7676"/>
    <w:rsid w:val="007E210E"/>
    <w:rsid w:val="007F05B6"/>
    <w:rsid w:val="007F5E30"/>
    <w:rsid w:val="007F76FD"/>
    <w:rsid w:val="008000BE"/>
    <w:rsid w:val="00802BA4"/>
    <w:rsid w:val="008050A0"/>
    <w:rsid w:val="008057D1"/>
    <w:rsid w:val="00806575"/>
    <w:rsid w:val="00806C35"/>
    <w:rsid w:val="00811555"/>
    <w:rsid w:val="00811CB3"/>
    <w:rsid w:val="0082164E"/>
    <w:rsid w:val="00826901"/>
    <w:rsid w:val="008307A2"/>
    <w:rsid w:val="008309D7"/>
    <w:rsid w:val="00830FFA"/>
    <w:rsid w:val="008331EA"/>
    <w:rsid w:val="00833250"/>
    <w:rsid w:val="00835E92"/>
    <w:rsid w:val="008411CB"/>
    <w:rsid w:val="008419A2"/>
    <w:rsid w:val="0084473D"/>
    <w:rsid w:val="00851088"/>
    <w:rsid w:val="00852B74"/>
    <w:rsid w:val="00854A87"/>
    <w:rsid w:val="008605A2"/>
    <w:rsid w:val="00874FC7"/>
    <w:rsid w:val="00877B59"/>
    <w:rsid w:val="00880DC8"/>
    <w:rsid w:val="00885A2D"/>
    <w:rsid w:val="00887332"/>
    <w:rsid w:val="00893B0D"/>
    <w:rsid w:val="00893D59"/>
    <w:rsid w:val="00896080"/>
    <w:rsid w:val="008A176C"/>
    <w:rsid w:val="008B3404"/>
    <w:rsid w:val="008B36F0"/>
    <w:rsid w:val="008B72A8"/>
    <w:rsid w:val="008C1EF3"/>
    <w:rsid w:val="008C2F1E"/>
    <w:rsid w:val="008C5C51"/>
    <w:rsid w:val="008D0C74"/>
    <w:rsid w:val="008E09E1"/>
    <w:rsid w:val="008E6C29"/>
    <w:rsid w:val="008E7D2F"/>
    <w:rsid w:val="008F4ACA"/>
    <w:rsid w:val="00901472"/>
    <w:rsid w:val="009034E9"/>
    <w:rsid w:val="0090559E"/>
    <w:rsid w:val="00905EB3"/>
    <w:rsid w:val="009063DE"/>
    <w:rsid w:val="0091048F"/>
    <w:rsid w:val="00914608"/>
    <w:rsid w:val="00922CCC"/>
    <w:rsid w:val="009307F1"/>
    <w:rsid w:val="00931A13"/>
    <w:rsid w:val="00933722"/>
    <w:rsid w:val="009375FA"/>
    <w:rsid w:val="009415F3"/>
    <w:rsid w:val="00943376"/>
    <w:rsid w:val="009469DB"/>
    <w:rsid w:val="00946B62"/>
    <w:rsid w:val="00947011"/>
    <w:rsid w:val="0095195D"/>
    <w:rsid w:val="009554DF"/>
    <w:rsid w:val="00956F47"/>
    <w:rsid w:val="0096420F"/>
    <w:rsid w:val="00964B20"/>
    <w:rsid w:val="00966CDC"/>
    <w:rsid w:val="00971670"/>
    <w:rsid w:val="009722AA"/>
    <w:rsid w:val="00976AF8"/>
    <w:rsid w:val="00976BE4"/>
    <w:rsid w:val="00981182"/>
    <w:rsid w:val="00984DBF"/>
    <w:rsid w:val="009A5868"/>
    <w:rsid w:val="009B4482"/>
    <w:rsid w:val="009B7A83"/>
    <w:rsid w:val="009C1704"/>
    <w:rsid w:val="009C2BF8"/>
    <w:rsid w:val="009D0709"/>
    <w:rsid w:val="009D3B2B"/>
    <w:rsid w:val="009E0396"/>
    <w:rsid w:val="009E5C5C"/>
    <w:rsid w:val="009E7243"/>
    <w:rsid w:val="009E72F7"/>
    <w:rsid w:val="009F0322"/>
    <w:rsid w:val="009F5461"/>
    <w:rsid w:val="00A00B28"/>
    <w:rsid w:val="00A0304C"/>
    <w:rsid w:val="00A03425"/>
    <w:rsid w:val="00A0679D"/>
    <w:rsid w:val="00A11FC2"/>
    <w:rsid w:val="00A12CFB"/>
    <w:rsid w:val="00A15B05"/>
    <w:rsid w:val="00A21DF7"/>
    <w:rsid w:val="00A22C76"/>
    <w:rsid w:val="00A25BDD"/>
    <w:rsid w:val="00A2685D"/>
    <w:rsid w:val="00A30A2D"/>
    <w:rsid w:val="00A317F9"/>
    <w:rsid w:val="00A32733"/>
    <w:rsid w:val="00A35989"/>
    <w:rsid w:val="00A4003D"/>
    <w:rsid w:val="00A430EE"/>
    <w:rsid w:val="00A437EA"/>
    <w:rsid w:val="00A44399"/>
    <w:rsid w:val="00A45BF1"/>
    <w:rsid w:val="00A46A7D"/>
    <w:rsid w:val="00A509EB"/>
    <w:rsid w:val="00A522DD"/>
    <w:rsid w:val="00A552F3"/>
    <w:rsid w:val="00A62D25"/>
    <w:rsid w:val="00A630D3"/>
    <w:rsid w:val="00A63E52"/>
    <w:rsid w:val="00A67EAD"/>
    <w:rsid w:val="00A76379"/>
    <w:rsid w:val="00A77B3B"/>
    <w:rsid w:val="00A77DA5"/>
    <w:rsid w:val="00A81053"/>
    <w:rsid w:val="00A812DF"/>
    <w:rsid w:val="00A83EDE"/>
    <w:rsid w:val="00A912A6"/>
    <w:rsid w:val="00A93D43"/>
    <w:rsid w:val="00A94713"/>
    <w:rsid w:val="00A94A50"/>
    <w:rsid w:val="00AA399E"/>
    <w:rsid w:val="00AA53F6"/>
    <w:rsid w:val="00AB0CF9"/>
    <w:rsid w:val="00AD04AA"/>
    <w:rsid w:val="00AD066A"/>
    <w:rsid w:val="00AD541A"/>
    <w:rsid w:val="00AD57EE"/>
    <w:rsid w:val="00AE3B28"/>
    <w:rsid w:val="00AE58F9"/>
    <w:rsid w:val="00AE644C"/>
    <w:rsid w:val="00AF2564"/>
    <w:rsid w:val="00AF35FF"/>
    <w:rsid w:val="00AF395D"/>
    <w:rsid w:val="00B01AB6"/>
    <w:rsid w:val="00B048DF"/>
    <w:rsid w:val="00B11DDE"/>
    <w:rsid w:val="00B13412"/>
    <w:rsid w:val="00B14993"/>
    <w:rsid w:val="00B20875"/>
    <w:rsid w:val="00B339BA"/>
    <w:rsid w:val="00B40210"/>
    <w:rsid w:val="00B409E9"/>
    <w:rsid w:val="00B42D4C"/>
    <w:rsid w:val="00B44347"/>
    <w:rsid w:val="00B446A5"/>
    <w:rsid w:val="00B5127F"/>
    <w:rsid w:val="00B51737"/>
    <w:rsid w:val="00B51D38"/>
    <w:rsid w:val="00B56912"/>
    <w:rsid w:val="00B56C76"/>
    <w:rsid w:val="00B62AF2"/>
    <w:rsid w:val="00B64D9A"/>
    <w:rsid w:val="00B66F39"/>
    <w:rsid w:val="00B764D5"/>
    <w:rsid w:val="00B7690A"/>
    <w:rsid w:val="00B76C92"/>
    <w:rsid w:val="00B8006D"/>
    <w:rsid w:val="00B808BA"/>
    <w:rsid w:val="00B8491C"/>
    <w:rsid w:val="00BA1575"/>
    <w:rsid w:val="00BA5088"/>
    <w:rsid w:val="00BA6AA4"/>
    <w:rsid w:val="00BB481D"/>
    <w:rsid w:val="00BB6C3D"/>
    <w:rsid w:val="00BB72D3"/>
    <w:rsid w:val="00BB76BF"/>
    <w:rsid w:val="00BB7DD5"/>
    <w:rsid w:val="00BC5AFE"/>
    <w:rsid w:val="00BD23A2"/>
    <w:rsid w:val="00BD2C2F"/>
    <w:rsid w:val="00BD2CF7"/>
    <w:rsid w:val="00BD59D2"/>
    <w:rsid w:val="00BE0A85"/>
    <w:rsid w:val="00BE37DB"/>
    <w:rsid w:val="00BE37F2"/>
    <w:rsid w:val="00BE54FC"/>
    <w:rsid w:val="00C13E78"/>
    <w:rsid w:val="00C17A94"/>
    <w:rsid w:val="00C17AA8"/>
    <w:rsid w:val="00C25035"/>
    <w:rsid w:val="00C253BF"/>
    <w:rsid w:val="00C27F39"/>
    <w:rsid w:val="00C30801"/>
    <w:rsid w:val="00C352F7"/>
    <w:rsid w:val="00C36519"/>
    <w:rsid w:val="00C422A1"/>
    <w:rsid w:val="00C43BC5"/>
    <w:rsid w:val="00C447AC"/>
    <w:rsid w:val="00C44AC1"/>
    <w:rsid w:val="00C45DDD"/>
    <w:rsid w:val="00C55629"/>
    <w:rsid w:val="00C55BAC"/>
    <w:rsid w:val="00C62948"/>
    <w:rsid w:val="00C63996"/>
    <w:rsid w:val="00C65617"/>
    <w:rsid w:val="00C665FE"/>
    <w:rsid w:val="00C74487"/>
    <w:rsid w:val="00C75529"/>
    <w:rsid w:val="00C7780F"/>
    <w:rsid w:val="00C86593"/>
    <w:rsid w:val="00C86B26"/>
    <w:rsid w:val="00C87D3B"/>
    <w:rsid w:val="00CA21ED"/>
    <w:rsid w:val="00CB0B28"/>
    <w:rsid w:val="00CB0C36"/>
    <w:rsid w:val="00CB11C4"/>
    <w:rsid w:val="00CC1D1E"/>
    <w:rsid w:val="00CC335B"/>
    <w:rsid w:val="00CD30D2"/>
    <w:rsid w:val="00CD3967"/>
    <w:rsid w:val="00CE3FE3"/>
    <w:rsid w:val="00CE6F0C"/>
    <w:rsid w:val="00CF173A"/>
    <w:rsid w:val="00CF365D"/>
    <w:rsid w:val="00D004CD"/>
    <w:rsid w:val="00D022F3"/>
    <w:rsid w:val="00D02AAC"/>
    <w:rsid w:val="00D03D72"/>
    <w:rsid w:val="00D077AB"/>
    <w:rsid w:val="00D110DA"/>
    <w:rsid w:val="00D23266"/>
    <w:rsid w:val="00D31CB6"/>
    <w:rsid w:val="00D32235"/>
    <w:rsid w:val="00D34F37"/>
    <w:rsid w:val="00D43D10"/>
    <w:rsid w:val="00D44C58"/>
    <w:rsid w:val="00D450C1"/>
    <w:rsid w:val="00D53B29"/>
    <w:rsid w:val="00D55E63"/>
    <w:rsid w:val="00D62F34"/>
    <w:rsid w:val="00D63809"/>
    <w:rsid w:val="00D64367"/>
    <w:rsid w:val="00D77A73"/>
    <w:rsid w:val="00D801C0"/>
    <w:rsid w:val="00D84146"/>
    <w:rsid w:val="00D900AC"/>
    <w:rsid w:val="00DA575F"/>
    <w:rsid w:val="00DB1147"/>
    <w:rsid w:val="00DC3AB3"/>
    <w:rsid w:val="00DD257B"/>
    <w:rsid w:val="00DD291D"/>
    <w:rsid w:val="00DD6DF8"/>
    <w:rsid w:val="00DE0F3A"/>
    <w:rsid w:val="00DE23B0"/>
    <w:rsid w:val="00DE2B8C"/>
    <w:rsid w:val="00DF3EB8"/>
    <w:rsid w:val="00E0234F"/>
    <w:rsid w:val="00E03494"/>
    <w:rsid w:val="00E0468C"/>
    <w:rsid w:val="00E04FD8"/>
    <w:rsid w:val="00E055E3"/>
    <w:rsid w:val="00E05D79"/>
    <w:rsid w:val="00E06262"/>
    <w:rsid w:val="00E07AB3"/>
    <w:rsid w:val="00E10267"/>
    <w:rsid w:val="00E2717F"/>
    <w:rsid w:val="00E30CE7"/>
    <w:rsid w:val="00E34CB1"/>
    <w:rsid w:val="00E371BA"/>
    <w:rsid w:val="00E44A97"/>
    <w:rsid w:val="00E4504B"/>
    <w:rsid w:val="00E50213"/>
    <w:rsid w:val="00E5035D"/>
    <w:rsid w:val="00E512C7"/>
    <w:rsid w:val="00E53F1D"/>
    <w:rsid w:val="00E54C43"/>
    <w:rsid w:val="00E63B0D"/>
    <w:rsid w:val="00E6685A"/>
    <w:rsid w:val="00E715A1"/>
    <w:rsid w:val="00E71F08"/>
    <w:rsid w:val="00E7323F"/>
    <w:rsid w:val="00E757A2"/>
    <w:rsid w:val="00E757EA"/>
    <w:rsid w:val="00E75DE2"/>
    <w:rsid w:val="00E80216"/>
    <w:rsid w:val="00E83846"/>
    <w:rsid w:val="00E84BEA"/>
    <w:rsid w:val="00E85F24"/>
    <w:rsid w:val="00E952F7"/>
    <w:rsid w:val="00E973CE"/>
    <w:rsid w:val="00EA4E08"/>
    <w:rsid w:val="00EA7FF3"/>
    <w:rsid w:val="00EB413C"/>
    <w:rsid w:val="00EB71C2"/>
    <w:rsid w:val="00EC4071"/>
    <w:rsid w:val="00EC5341"/>
    <w:rsid w:val="00EC558B"/>
    <w:rsid w:val="00ED1310"/>
    <w:rsid w:val="00ED39E8"/>
    <w:rsid w:val="00ED4E8B"/>
    <w:rsid w:val="00ED6371"/>
    <w:rsid w:val="00EE1A36"/>
    <w:rsid w:val="00EE2278"/>
    <w:rsid w:val="00EF3497"/>
    <w:rsid w:val="00EF7270"/>
    <w:rsid w:val="00F01B36"/>
    <w:rsid w:val="00F0233C"/>
    <w:rsid w:val="00F05A00"/>
    <w:rsid w:val="00F14462"/>
    <w:rsid w:val="00F150F3"/>
    <w:rsid w:val="00F35713"/>
    <w:rsid w:val="00F35C21"/>
    <w:rsid w:val="00F37E49"/>
    <w:rsid w:val="00F439A9"/>
    <w:rsid w:val="00F462BA"/>
    <w:rsid w:val="00F506DA"/>
    <w:rsid w:val="00F50C58"/>
    <w:rsid w:val="00F576DE"/>
    <w:rsid w:val="00F606BF"/>
    <w:rsid w:val="00F60CDE"/>
    <w:rsid w:val="00F64596"/>
    <w:rsid w:val="00F65ED7"/>
    <w:rsid w:val="00F65F4C"/>
    <w:rsid w:val="00F7593D"/>
    <w:rsid w:val="00F7596E"/>
    <w:rsid w:val="00F775D2"/>
    <w:rsid w:val="00F80683"/>
    <w:rsid w:val="00F81FAF"/>
    <w:rsid w:val="00F8363D"/>
    <w:rsid w:val="00F8760E"/>
    <w:rsid w:val="00F87E16"/>
    <w:rsid w:val="00F92761"/>
    <w:rsid w:val="00F97391"/>
    <w:rsid w:val="00FB0278"/>
    <w:rsid w:val="00FB1F91"/>
    <w:rsid w:val="00FB4CB6"/>
    <w:rsid w:val="00FB7230"/>
    <w:rsid w:val="00FC522E"/>
    <w:rsid w:val="00FC786A"/>
    <w:rsid w:val="00FD27B8"/>
    <w:rsid w:val="00FD2CD7"/>
    <w:rsid w:val="00FD4097"/>
    <w:rsid w:val="00FD4D02"/>
    <w:rsid w:val="00FD7211"/>
    <w:rsid w:val="00FE7A63"/>
    <w:rsid w:val="00FF2169"/>
    <w:rsid w:val="00FF61C3"/>
    <w:rsid w:val="00FF635B"/>
    <w:rsid w:val="023A1064"/>
    <w:rsid w:val="031F3DF1"/>
    <w:rsid w:val="0A1A2396"/>
    <w:rsid w:val="0AA3355A"/>
    <w:rsid w:val="0D7A67F4"/>
    <w:rsid w:val="0FD0094D"/>
    <w:rsid w:val="1114699F"/>
    <w:rsid w:val="11FB53E6"/>
    <w:rsid w:val="12386C7D"/>
    <w:rsid w:val="17185126"/>
    <w:rsid w:val="197C1DC8"/>
    <w:rsid w:val="1C352D76"/>
    <w:rsid w:val="21E40288"/>
    <w:rsid w:val="22C34341"/>
    <w:rsid w:val="23DD1433"/>
    <w:rsid w:val="27466863"/>
    <w:rsid w:val="27F5348A"/>
    <w:rsid w:val="28810F26"/>
    <w:rsid w:val="28EA2628"/>
    <w:rsid w:val="2E3D31FA"/>
    <w:rsid w:val="2E9C2616"/>
    <w:rsid w:val="304F5466"/>
    <w:rsid w:val="33682A40"/>
    <w:rsid w:val="3814321D"/>
    <w:rsid w:val="3C011D0B"/>
    <w:rsid w:val="3C2B322B"/>
    <w:rsid w:val="3CA408E8"/>
    <w:rsid w:val="3D001FC2"/>
    <w:rsid w:val="41FB36A0"/>
    <w:rsid w:val="477C0DDF"/>
    <w:rsid w:val="4A6F0787"/>
    <w:rsid w:val="53D578AD"/>
    <w:rsid w:val="55905F3D"/>
    <w:rsid w:val="59914276"/>
    <w:rsid w:val="6111727D"/>
    <w:rsid w:val="61A22D98"/>
    <w:rsid w:val="641C32D6"/>
    <w:rsid w:val="69E3515C"/>
    <w:rsid w:val="6AC72062"/>
    <w:rsid w:val="7D2F777E"/>
    <w:rsid w:val="7D6E02A7"/>
    <w:rsid w:val="7EF1191F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DE795"/>
  <w15:docId w15:val="{7CEA47C5-7DE3-47F5-8726-A0212F32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hint="eastAsia"/>
      <w:szCs w:val="22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 w:cs="Times New Roman" w:hint="default"/>
      <w:kern w:val="2"/>
      <w:sz w:val="21"/>
      <w:szCs w:val="22"/>
    </w:rPr>
  </w:style>
  <w:style w:type="paragraph" w:customStyle="1" w:styleId="af2">
    <w:name w:val="日常使用"/>
    <w:basedOn w:val="a"/>
    <w:link w:val="af3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f3">
    <w:name w:val="日常使用 字符"/>
    <w:link w:val="af2"/>
    <w:qFormat/>
    <w:rPr>
      <w:rFonts w:ascii="Times New Roman" w:hAnsi="Times New Roman" w:cs="Times New Roman"/>
      <w:kern w:val="2"/>
      <w:sz w:val="24"/>
      <w:szCs w:val="19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</dc:creator>
  <cp:lastModifiedBy>徐艺珊</cp:lastModifiedBy>
  <cp:revision>54</cp:revision>
  <cp:lastPrinted>2021-05-18T01:47:00Z</cp:lastPrinted>
  <dcterms:created xsi:type="dcterms:W3CDTF">2022-03-28T10:45:00Z</dcterms:created>
  <dcterms:modified xsi:type="dcterms:W3CDTF">2025-05-22T06:18:00Z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07850AB897A4447E8FD8FF98522D107B_12</vt:lpwstr>
  </property>
  <property fmtid="{D5CDD505-2E9C-101B-9397-08002B2CF9AE}" pid="4" name="KSOTemplateDocerSaveRecord">
    <vt:lpwstr>eyJoZGlkIjoiMzM5MmQ0NTViMWNmZTIyOGJhYTJiOWFhNGE4YWUzMDQiLCJ1c2VySWQiOiI3NjQ5MjYwOTYifQ==</vt:lpwstr>
  </property>
</Properties>
</file>