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4094">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42A34E33">
      <w:pPr>
        <w:pStyle w:val="5"/>
        <w:spacing w:before="1"/>
        <w:rPr>
          <w:rFonts w:ascii="Times New Roman" w:hAnsi="Times New Roman" w:cs="Times New Roman"/>
          <w:b w:val="0"/>
          <w:sz w:val="14"/>
        </w:rPr>
      </w:pPr>
    </w:p>
    <w:p w14:paraId="0DFBCB9A">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0FBE9AF4">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转债</w:t>
      </w:r>
      <w:r>
        <w:rPr>
          <w:rFonts w:ascii="Times New Roman" w:hAnsi="Times New Roman" w:cs="Times New Roman"/>
          <w:b/>
          <w:sz w:val="24"/>
        </w:rPr>
        <w:t>代码：</w:t>
      </w:r>
      <w:r>
        <w:rPr>
          <w:rFonts w:ascii="Times New Roman" w:hAnsi="Times New Roman" w:cs="Times New Roman"/>
          <w:b/>
          <w:sz w:val="24"/>
          <w:lang w:val="en-US"/>
        </w:rPr>
        <w:t>118009</w:t>
      </w:r>
      <w:r>
        <w:rPr>
          <w:rFonts w:ascii="Times New Roman" w:hAnsi="Times New Roman" w:cs="Times New Roman"/>
          <w:b/>
          <w:sz w:val="24"/>
          <w:lang w:val="en-US"/>
        </w:rPr>
        <w:tab/>
      </w:r>
      <w:r>
        <w:rPr>
          <w:rFonts w:ascii="Times New Roman" w:hAnsi="Times New Roman" w:cs="Times New Roman"/>
          <w:b/>
          <w:sz w:val="24"/>
          <w:lang w:val="en-US"/>
        </w:rPr>
        <w:t>转债</w:t>
      </w:r>
      <w:r>
        <w:rPr>
          <w:rFonts w:ascii="Times New Roman" w:hAnsi="Times New Roman" w:cs="Times New Roman"/>
          <w:b/>
          <w:sz w:val="24"/>
        </w:rPr>
        <w:t>简称：华锐</w:t>
      </w:r>
      <w:r>
        <w:rPr>
          <w:rFonts w:ascii="Times New Roman" w:hAnsi="Times New Roman" w:cs="Times New Roman"/>
          <w:b/>
          <w:sz w:val="24"/>
          <w:lang w:val="en-US"/>
        </w:rPr>
        <w:t>转债</w:t>
      </w:r>
    </w:p>
    <w:p w14:paraId="1E4B4B79">
      <w:pPr>
        <w:spacing w:before="4"/>
        <w:rPr>
          <w:rFonts w:ascii="Times New Roman" w:hAnsi="Times New Roman" w:cs="Times New Roman"/>
          <w:b/>
          <w:sz w:val="20"/>
        </w:rPr>
      </w:pPr>
    </w:p>
    <w:p w14:paraId="499B29B6">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09C1344">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rPr>
        <w:t>202</w:t>
      </w:r>
      <w:r>
        <w:rPr>
          <w:rFonts w:hint="eastAsia" w:ascii="Times New Roman" w:hAnsi="Times New Roman" w:cs="Times New Roman"/>
          <w:lang w:val="en-US" w:eastAsia="zh-CN"/>
        </w:rPr>
        <w:t>5</w:t>
      </w:r>
      <w:r>
        <w:rPr>
          <w:rFonts w:hint="eastAsia" w:ascii="Times New Roman" w:hAnsi="Times New Roman" w:cs="Times New Roman"/>
          <w:lang w:val="en-US"/>
        </w:rPr>
        <w:t>年</w:t>
      </w:r>
      <w:r>
        <w:rPr>
          <w:rFonts w:hint="eastAsia" w:ascii="Times New Roman" w:hAnsi="Times New Roman" w:cs="Times New Roman"/>
          <w:lang w:val="en-US" w:eastAsia="zh-CN"/>
        </w:rPr>
        <w:t>5</w:t>
      </w:r>
      <w:r>
        <w:rPr>
          <w:rFonts w:hint="eastAsia" w:ascii="Times New Roman" w:hAnsi="Times New Roman" w:cs="Times New Roman"/>
          <w:lang w:val="en-US"/>
        </w:rPr>
        <w:t>月</w:t>
      </w:r>
      <w:r>
        <w:rPr>
          <w:rFonts w:hint="eastAsia" w:ascii="Times New Roman" w:hAnsi="Times New Roman" w:cs="Times New Roman"/>
          <w:lang w:val="en-US" w:eastAsia="zh-CN"/>
        </w:rPr>
        <w:t>23</w:t>
      </w:r>
      <w:r>
        <w:rPr>
          <w:rFonts w:hint="eastAsia" w:ascii="Times New Roman" w:hAnsi="Times New Roman" w:cs="Times New Roman"/>
          <w:lang w:val="en-US"/>
        </w:rPr>
        <w:t>日</w:t>
      </w:r>
      <w:r>
        <w:rPr>
          <w:rFonts w:ascii="Times New Roman" w:hAnsi="Times New Roman" w:cs="Times New Roman"/>
        </w:rPr>
        <w:t>）</w:t>
      </w:r>
    </w:p>
    <w:p w14:paraId="5E9C03F9">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D5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251535B">
            <w:pPr>
              <w:pStyle w:val="16"/>
              <w:rPr>
                <w:rFonts w:ascii="Times New Roman" w:hAnsi="Times New Roman" w:cs="Times New Roman"/>
                <w:kern w:val="2"/>
                <w:sz w:val="24"/>
              </w:rPr>
            </w:pPr>
          </w:p>
        </w:tc>
        <w:tc>
          <w:tcPr>
            <w:tcW w:w="7044" w:type="dxa"/>
            <w:vMerge w:val="restart"/>
          </w:tcPr>
          <w:p w14:paraId="24F7931E">
            <w:pPr>
              <w:pStyle w:val="16"/>
              <w:tabs>
                <w:tab w:val="left" w:pos="2959"/>
              </w:tabs>
              <w:rPr>
                <w:rFonts w:ascii="Times New Roman" w:hAnsi="Times New Roman" w:eastAsia="Wingdings" w:cs="Times New Roman"/>
                <w:kern w:val="2"/>
                <w:sz w:val="24"/>
              </w:rPr>
            </w:pP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8D39D32">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eastAsia="zh-CN"/>
              </w:rPr>
              <w:t>☑</w:t>
            </w:r>
            <w:r>
              <w:rPr>
                <w:rFonts w:ascii="Times New Roman" w:hAnsi="Times New Roman" w:cs="Times New Roman"/>
                <w:kern w:val="2"/>
                <w:sz w:val="24"/>
              </w:rPr>
              <w:t>业绩说明会</w:t>
            </w:r>
          </w:p>
          <w:p w14:paraId="794262F3">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ascii="Times New Roman" w:hAnsi="Times New Roman" w:cs="Times New Roman"/>
                <w:kern w:val="2"/>
                <w:sz w:val="24"/>
              </w:rPr>
              <w:t>□路演活动</w:t>
            </w:r>
            <w:bookmarkStart w:id="0" w:name="_GoBack"/>
            <w:bookmarkEnd w:id="0"/>
          </w:p>
          <w:p w14:paraId="02DAF1AD">
            <w:pPr>
              <w:pStyle w:val="16"/>
              <w:rPr>
                <w:rFonts w:ascii="Times New Roman" w:hAnsi="Times New Roman" w:cs="Times New Roman"/>
                <w:kern w:val="2"/>
                <w:sz w:val="24"/>
              </w:rPr>
            </w:pPr>
            <w:r>
              <w:rPr>
                <w:rFonts w:ascii="Times New Roman" w:hAnsi="Times New Roman" w:cs="Times New Roman"/>
                <w:kern w:val="2"/>
                <w:sz w:val="24"/>
              </w:rPr>
              <w:t>□现场参观</w:t>
            </w:r>
          </w:p>
          <w:p w14:paraId="247634D1">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6230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982DE1D">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6C8FC2CB">
            <w:pPr>
              <w:pStyle w:val="16"/>
              <w:tabs>
                <w:tab w:val="left" w:pos="2985"/>
              </w:tabs>
              <w:spacing w:before="93"/>
              <w:ind w:left="104"/>
              <w:rPr>
                <w:rFonts w:ascii="Times New Roman" w:hAnsi="Times New Roman" w:cs="Times New Roman"/>
                <w:kern w:val="2"/>
                <w:sz w:val="24"/>
              </w:rPr>
            </w:pPr>
          </w:p>
        </w:tc>
      </w:tr>
      <w:tr w14:paraId="456D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5ED2FE4">
            <w:pPr>
              <w:pStyle w:val="16"/>
              <w:rPr>
                <w:rFonts w:ascii="Times New Roman" w:hAnsi="Times New Roman" w:cs="Times New Roman"/>
                <w:kern w:val="2"/>
                <w:sz w:val="20"/>
              </w:rPr>
            </w:pPr>
          </w:p>
        </w:tc>
        <w:tc>
          <w:tcPr>
            <w:tcW w:w="7044" w:type="dxa"/>
            <w:vMerge w:val="continue"/>
          </w:tcPr>
          <w:p w14:paraId="7752FAD1">
            <w:pPr>
              <w:pStyle w:val="16"/>
              <w:spacing w:line="239" w:lineRule="exact"/>
              <w:ind w:left="104"/>
              <w:rPr>
                <w:rFonts w:ascii="Times New Roman" w:hAnsi="Times New Roman" w:cs="Times New Roman"/>
                <w:kern w:val="2"/>
                <w:sz w:val="24"/>
              </w:rPr>
            </w:pPr>
          </w:p>
        </w:tc>
      </w:tr>
      <w:tr w14:paraId="42F2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063B214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25798BBF">
            <w:pPr>
              <w:pStyle w:val="16"/>
              <w:spacing w:before="120" w:beforeLines="50" w:after="120" w:after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eastAsia="zh-CN"/>
              </w:rPr>
              <w:t>未备注名称的中小投资者</w:t>
            </w:r>
          </w:p>
        </w:tc>
      </w:tr>
      <w:tr w14:paraId="6662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62388">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26E23D9">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w:t>
            </w:r>
            <w:r>
              <w:rPr>
                <w:rFonts w:hint="eastAsia" w:ascii="Times New Roman" w:hAnsi="Times New Roman" w:cs="Times New Roman" w:eastAsiaTheme="minorEastAsia"/>
                <w:kern w:val="2"/>
                <w:sz w:val="24"/>
                <w:lang w:val="en-US" w:eastAsia="zh-CN"/>
              </w:rPr>
              <w:t>5</w:t>
            </w:r>
            <w:r>
              <w:rPr>
                <w:rFonts w:hint="eastAsia" w:ascii="Times New Roman" w:hAnsi="Times New Roman" w:cs="Times New Roman" w:eastAsiaTheme="minorEastAsia"/>
                <w:kern w:val="2"/>
                <w:sz w:val="24"/>
                <w:lang w:val="en-US"/>
              </w:rPr>
              <w:t>年</w:t>
            </w:r>
            <w:r>
              <w:rPr>
                <w:rFonts w:hint="eastAsia" w:ascii="Times New Roman" w:hAnsi="Times New Roman" w:cs="Times New Roman" w:eastAsiaTheme="minorEastAsia"/>
                <w:kern w:val="2"/>
                <w:sz w:val="24"/>
                <w:lang w:val="en-US" w:eastAsia="zh-CN"/>
              </w:rPr>
              <w:t>5</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23</w:t>
            </w:r>
            <w:r>
              <w:rPr>
                <w:rFonts w:hint="eastAsia" w:ascii="Times New Roman" w:hAnsi="Times New Roman" w:cs="Times New Roman" w:eastAsiaTheme="minorEastAsia"/>
                <w:kern w:val="2"/>
                <w:sz w:val="24"/>
                <w:lang w:val="en-US"/>
              </w:rPr>
              <w:t>日</w:t>
            </w:r>
          </w:p>
        </w:tc>
      </w:tr>
      <w:tr w14:paraId="1F27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831" w:type="dxa"/>
            <w:vAlign w:val="center"/>
          </w:tcPr>
          <w:p w14:paraId="5C19F6D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6B1EFEF3">
            <w:pPr>
              <w:pStyle w:val="16"/>
              <w:jc w:val="both"/>
              <w:rPr>
                <w:rFonts w:ascii="Times New Roman" w:hAnsi="Times New Roman" w:cs="Times New Roman"/>
                <w:kern w:val="2"/>
                <w:sz w:val="24"/>
                <w:lang w:val="en-US"/>
              </w:rPr>
            </w:pPr>
            <w:r>
              <w:rPr>
                <w:rFonts w:hint="eastAsia" w:ascii="Times New Roman" w:hAnsi="Times New Roman" w:eastAsia="宋体" w:cs="Times New Roman"/>
                <w:kern w:val="2"/>
                <w:sz w:val="24"/>
                <w:lang w:val="en-US" w:eastAsia="zh-CN"/>
              </w:rPr>
              <w:t>上证路演中心（http://roadshow.sseinfo.com）</w:t>
            </w:r>
          </w:p>
        </w:tc>
      </w:tr>
      <w:tr w14:paraId="3499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831" w:type="dxa"/>
            <w:vAlign w:val="center"/>
          </w:tcPr>
          <w:p w14:paraId="4FEF58E9">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C32C94C">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297D294C">
            <w:pPr>
              <w:pStyle w:val="16"/>
              <w:spacing w:before="120" w:beforeLines="50" w:line="360" w:lineRule="auto"/>
              <w:jc w:val="both"/>
              <w:rPr>
                <w:rFonts w:hint="eastAsia" w:ascii="Times New Roman" w:hAnsi="Times New Roman" w:cs="Times New Roman"/>
                <w:kern w:val="2"/>
                <w:sz w:val="24"/>
                <w:lang w:val="en-US"/>
              </w:rPr>
            </w:pPr>
            <w:r>
              <w:rPr>
                <w:rFonts w:hint="eastAsia" w:ascii="Times New Roman" w:hAnsi="Times New Roman" w:cs="Times New Roman"/>
                <w:kern w:val="2"/>
                <w:sz w:val="24"/>
                <w:lang w:val="en-US"/>
              </w:rPr>
              <w:t>董事长兼总经理肖旭凯先生</w:t>
            </w:r>
          </w:p>
          <w:p w14:paraId="27B4E286">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31B0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831" w:type="dxa"/>
            <w:vAlign w:val="center"/>
          </w:tcPr>
          <w:p w14:paraId="7A85F007">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F5634CD">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0979CD56">
            <w:pPr>
              <w:pStyle w:val="18"/>
              <w:keepNext w:val="0"/>
              <w:keepLines w:val="0"/>
              <w:pageBreakBefore w:val="0"/>
              <w:widowControl w:val="0"/>
              <w:numPr>
                <w:ilvl w:val="0"/>
                <w:numId w:val="0"/>
              </w:numPr>
              <w:kinsoku/>
              <w:wordWrap/>
              <w:overflowPunct/>
              <w:topLinePunct w:val="0"/>
              <w:autoSpaceDE/>
              <w:autoSpaceDN/>
              <w:bidi w:val="0"/>
              <w:adjustRightInd/>
              <w:snapToGrid/>
              <w:spacing w:before="120" w:after="120" w:afterLines="50"/>
              <w:ind w:firstLine="482" w:firstLineChars="200"/>
              <w:textAlignment w:val="auto"/>
              <w:rPr>
                <w:b/>
                <w:bCs/>
                <w:szCs w:val="24"/>
                <w:lang w:val="en-US"/>
              </w:rPr>
            </w:pPr>
            <w:r>
              <w:rPr>
                <w:rFonts w:hint="eastAsia"/>
                <w:b/>
                <w:bCs/>
                <w:szCs w:val="24"/>
                <w:lang w:val="en-US" w:eastAsia="zh-CN"/>
              </w:rPr>
              <w:t>一、</w:t>
            </w:r>
            <w:r>
              <w:rPr>
                <w:rFonts w:hint="eastAsia"/>
                <w:b/>
                <w:bCs/>
                <w:szCs w:val="24"/>
                <w:lang w:val="en-US"/>
              </w:rPr>
              <w:t>公司本期盈利水平如何？</w:t>
            </w:r>
            <w:r>
              <w:rPr>
                <w:rFonts w:hint="eastAsia"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行业本期整体业绩怎么样？你们跟其他公司比如何？</w:t>
            </w:r>
          </w:p>
          <w:p w14:paraId="5CFD1E63">
            <w:pPr>
              <w:pStyle w:val="18"/>
              <w:spacing w:before="120" w:after="120" w:afterLines="50"/>
              <w:ind w:firstLine="482"/>
              <w:rPr>
                <w:rFonts w:hint="eastAsia" w:ascii="Times New Roman" w:hAnsi="Times New Roman" w:cs="Times New Roman"/>
                <w:lang w:val="en-US" w:eastAsia="zh-CN"/>
              </w:rPr>
            </w:pPr>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t>尊敬的投资者您好，感谢您对公司的关注。</w:t>
            </w:r>
            <w:r>
              <w:rPr>
                <w:rFonts w:hint="eastAsia"/>
                <w:b w:val="0"/>
                <w:bCs w:val="0"/>
                <w:szCs w:val="24"/>
                <w:lang w:val="en-US" w:eastAsia="zh-CN"/>
              </w:rPr>
              <w:t>2025年第一季度，公司实现营业收入22,209.93万元，与去年同期相比增长30.48%，</w:t>
            </w:r>
            <w:r>
              <w:rPr>
                <w:rFonts w:hint="default" w:ascii="Times New Roman" w:hAnsi="Times New Roman" w:cs="Times New Roman"/>
                <w:lang w:val="en-US" w:eastAsia="zh-CN"/>
              </w:rPr>
              <w:t>主要系</w:t>
            </w:r>
            <w:r>
              <w:rPr>
                <w:rFonts w:hint="eastAsia" w:ascii="Times New Roman" w:hAnsi="Times New Roman" w:cs="Times New Roman"/>
                <w:lang w:val="en-US" w:eastAsia="zh-CN"/>
              </w:rPr>
              <w:t>下游需求有所回暖，同时</w:t>
            </w:r>
            <w:r>
              <w:rPr>
                <w:rFonts w:hint="default" w:ascii="Times New Roman" w:hAnsi="Times New Roman" w:cs="Times New Roman"/>
                <w:lang w:val="en-US" w:eastAsia="zh-CN"/>
              </w:rPr>
              <w:t>公司产品性能不断提升，品类日趋完善，渠道稳步开拓，产销量同比增长所致。</w:t>
            </w:r>
            <w:r>
              <w:rPr>
                <w:rFonts w:ascii="Times New Roman" w:hAnsi="Times New Roman" w:cs="Times New Roman"/>
              </w:rPr>
              <w:t>实现归属于</w:t>
            </w:r>
            <w:r>
              <w:rPr>
                <w:rFonts w:hint="eastAsia" w:ascii="Times New Roman" w:hAnsi="Times New Roman" w:cs="Times New Roman"/>
              </w:rPr>
              <w:t>母公司</w:t>
            </w:r>
            <w:r>
              <w:rPr>
                <w:rFonts w:ascii="Times New Roman" w:hAnsi="Times New Roman" w:cs="Times New Roman"/>
              </w:rPr>
              <w:t>所有者的净利润</w:t>
            </w:r>
            <w:r>
              <w:rPr>
                <w:rFonts w:hint="eastAsia" w:ascii="Times New Roman" w:hAnsi="Times New Roman" w:cs="Times New Roman"/>
              </w:rPr>
              <w:t>2,922.40</w:t>
            </w:r>
            <w:r>
              <w:rPr>
                <w:rFonts w:ascii="Times New Roman" w:hAnsi="Times New Roman" w:cs="Times New Roman"/>
              </w:rPr>
              <w:t>万元，与去年同期相比</w:t>
            </w:r>
            <w:r>
              <w:rPr>
                <w:rFonts w:hint="eastAsia" w:cs="Times New Roman"/>
                <w:lang w:val="en-US" w:eastAsia="zh-CN"/>
              </w:rPr>
              <w:t>增长70.00</w:t>
            </w:r>
            <w:r>
              <w:rPr>
                <w:rFonts w:ascii="Times New Roman" w:hAnsi="Times New Roman" w:cs="Times New Roman"/>
              </w:rPr>
              <w:t>%；实现归属于母</w:t>
            </w:r>
            <w:r>
              <w:rPr>
                <w:rFonts w:hint="eastAsia" w:ascii="Times New Roman" w:hAnsi="Times New Roman" w:cs="Times New Roman"/>
              </w:rPr>
              <w:t>公司</w:t>
            </w:r>
            <w:r>
              <w:rPr>
                <w:rFonts w:ascii="Times New Roman" w:hAnsi="Times New Roman" w:cs="Times New Roman"/>
              </w:rPr>
              <w:t>所有者的扣除非经常性损益的净利润</w:t>
            </w:r>
            <w:r>
              <w:rPr>
                <w:rFonts w:hint="eastAsia" w:ascii="Times New Roman" w:hAnsi="Times New Roman" w:cs="Times New Roman"/>
              </w:rPr>
              <w:t>2,823.04</w:t>
            </w:r>
            <w:r>
              <w:rPr>
                <w:rFonts w:ascii="Times New Roman" w:hAnsi="Times New Roman" w:cs="Times New Roman"/>
              </w:rPr>
              <w:t>万元，与去年同期相比</w:t>
            </w:r>
            <w:r>
              <w:rPr>
                <w:rFonts w:hint="eastAsia" w:cs="Times New Roman"/>
                <w:lang w:val="en-US" w:eastAsia="zh-CN"/>
              </w:rPr>
              <w:t>增长71.29</w:t>
            </w:r>
            <w:r>
              <w:rPr>
                <w:rFonts w:ascii="Times New Roman" w:hAnsi="Times New Roman" w:cs="Times New Roman"/>
              </w:rPr>
              <w:t>%</w:t>
            </w:r>
            <w:r>
              <w:rPr>
                <w:rFonts w:hint="eastAsia" w:cs="Times New Roman"/>
                <w:lang w:eastAsia="zh-CN"/>
              </w:rPr>
              <w:t>，</w:t>
            </w:r>
            <w:r>
              <w:rPr>
                <w:rFonts w:hint="eastAsia" w:ascii="Times New Roman" w:hAnsi="Times New Roman" w:cs="Times New Roman"/>
                <w:lang w:val="en-US" w:eastAsia="zh-CN"/>
              </w:rPr>
              <w:t>主要系：1、公司营业收入增长；2、股权激励计划结束，本期不再产生股权激励费用。</w:t>
            </w:r>
          </w:p>
          <w:p w14:paraId="2A9586A0">
            <w:pPr>
              <w:pStyle w:val="16"/>
              <w:spacing w:before="50" w:after="50" w:line="360" w:lineRule="auto"/>
              <w:ind w:firstLine="480" w:firstLineChars="200"/>
              <w:jc w:val="both"/>
              <w:rPr>
                <w:rFonts w:ascii="Times New Roman" w:hAnsi="Times New Roman" w:cs="Times New Roman"/>
                <w:sz w:val="24"/>
                <w:szCs w:val="24"/>
                <w:lang w:val="en-US"/>
              </w:rPr>
            </w:pPr>
          </w:p>
          <w:p w14:paraId="13E97237">
            <w:pPr>
              <w:pStyle w:val="18"/>
              <w:spacing w:before="120" w:after="120" w:afterLines="50"/>
              <w:ind w:firstLine="482"/>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b/>
                <w:bCs/>
                <w:sz w:val="24"/>
                <w:szCs w:val="24"/>
                <w:lang w:val="en-US" w:eastAsia="zh-CN"/>
              </w:rPr>
              <w:t>二、</w:t>
            </w:r>
            <w:r>
              <w:rPr>
                <w:rFonts w:hint="eastAsia"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公司之后的盈利有什么增长点？</w:t>
            </w:r>
          </w:p>
          <w:p w14:paraId="14FCEEF7">
            <w:pPr>
              <w:pStyle w:val="18"/>
              <w:spacing w:before="120" w:after="120" w:afterLines="50"/>
              <w:ind w:firstLine="480"/>
              <w:rPr>
                <w:rFonts w:hint="default" w:ascii="Times New Roman" w:hAnsi="Times New Roman" w:cs="Times New Roman"/>
                <w:sz w:val="24"/>
                <w:szCs w:val="32"/>
                <w:lang w:val="en-US" w:eastAsia="zh-CN"/>
              </w:rPr>
            </w:pPr>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t>尊敬的投资者您好，感谢您对公司的关注。</w:t>
            </w:r>
            <w:r>
              <w:rPr>
                <w:rFonts w:hint="default" w:ascii="Times New Roman" w:hAnsi="Times New Roman" w:cs="Times New Roman"/>
                <w:sz w:val="24"/>
                <w:szCs w:val="32"/>
              </w:rPr>
              <w:t>公司一贯秉承“自主研发、持续创新”的企业发展战略，专注于硬质合金数控刀具的研发、生产和销售</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未来公司将进一步夯实并发挥公司在技术创新、产品开发方面的优势，加大研发投入和人才队伍建设，以技术推动市场为导向，不断升级迭代产品并开发新产品。在巩固硬质合金数控刀</w:t>
            </w:r>
            <w:r>
              <w:rPr>
                <w:rFonts w:hint="eastAsia" w:ascii="Times New Roman" w:hAnsi="Times New Roman" w:cs="Times New Roman"/>
                <w:sz w:val="24"/>
                <w:szCs w:val="32"/>
                <w:lang w:val="en-US" w:eastAsia="zh-CN"/>
              </w:rPr>
              <w:t>具</w:t>
            </w:r>
            <w:r>
              <w:rPr>
                <w:rFonts w:hint="default" w:ascii="Times New Roman" w:hAnsi="Times New Roman" w:cs="Times New Roman"/>
                <w:sz w:val="24"/>
                <w:szCs w:val="32"/>
                <w:lang w:val="en-US" w:eastAsia="zh-CN"/>
              </w:rPr>
              <w:t>市场优势地位的基础上，优先开展基础材料技术的研究，进军金属陶瓷、陶瓷、超硬材料等新材料领域、同时，通过新品项目的开发，向工具系统、精密复杂组合刀具领域拓展，进一步丰富公司的产品线，将公司从硬质合金切削刀具制造商打造成为国内领先的整体切削解决方案供应商。</w:t>
            </w:r>
          </w:p>
          <w:p w14:paraId="291D5A56">
            <w:pPr>
              <w:pStyle w:val="16"/>
              <w:spacing w:before="50" w:after="50" w:line="360" w:lineRule="auto"/>
              <w:ind w:firstLine="480" w:firstLineChars="200"/>
              <w:jc w:val="both"/>
              <w:rPr>
                <w:rFonts w:hint="eastAsia" w:ascii="Times New Roman" w:hAnsi="Times New Roman" w:eastAsia="宋体" w:cs="Times New Roman"/>
                <w:sz w:val="24"/>
                <w:szCs w:val="24"/>
                <w:lang w:val="en-US" w:eastAsia="zh-CN"/>
              </w:rPr>
            </w:pPr>
          </w:p>
          <w:p w14:paraId="55980DFB">
            <w:pPr>
              <w:pStyle w:val="18"/>
              <w:spacing w:before="120" w:after="120" w:afterLines="50"/>
              <w:ind w:firstLine="482"/>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b/>
                <w:bCs/>
                <w:sz w:val="24"/>
                <w:szCs w:val="24"/>
                <w:lang w:val="en-US" w:eastAsia="zh-CN"/>
              </w:rPr>
              <w:t>三、</w:t>
            </w:r>
            <w:r>
              <w:rPr>
                <w:rFonts w:hint="eastAsia"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公司海外市场拓展如何？</w:t>
            </w:r>
          </w:p>
          <w:p w14:paraId="2E6B67BA">
            <w:pPr>
              <w:pStyle w:val="18"/>
              <w:spacing w:before="120" w:after="120" w:afterLines="50"/>
              <w:ind w:firstLine="482"/>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t>尊敬的投资者您好，感谢您对公司的关注。2024年度，公司为开拓市场多措并举，推动在产品宣传、渠道完善、产品服务、销售队伍建设的转型升级。公司积极参加国内各大展会、参与行业协会举办的学术交流活动，积极推广公司产品。公司坚持以客户需求为导向，以快速响应客户需求为目标，在成熟的经销体系基础上，进一步加大了直销团队的建设力度与直销客户的开发力度，公司技术开发能力及技术服务能力不断提升，与国内一些重点行业重点客户达成合作。此外，公司加快“走出去”步伐，加大海外开拓力度，积极参加国际机床工业展，新设孙公司德国华锐，持续开拓新客户，完善海外渠道布局，2024年实现海外营业收入4,990.52万元，同比增长6.73%。</w:t>
            </w:r>
          </w:p>
          <w:p w14:paraId="1634030F">
            <w:pPr>
              <w:pStyle w:val="16"/>
              <w:spacing w:before="50" w:after="50" w:line="360" w:lineRule="auto"/>
              <w:ind w:firstLine="480" w:firstLineChars="200"/>
              <w:jc w:val="both"/>
              <w:rPr>
                <w:rFonts w:hint="default" w:ascii="Times New Roman" w:hAnsi="Times New Roman" w:eastAsia="宋体" w:cs="Times New Roman"/>
                <w:sz w:val="24"/>
                <w:szCs w:val="24"/>
                <w:lang w:val="en-US" w:eastAsia="zh-CN"/>
              </w:rPr>
            </w:pPr>
          </w:p>
          <w:p w14:paraId="179E0197">
            <w:pPr>
              <w:pStyle w:val="18"/>
              <w:spacing w:before="120" w:after="120" w:afterLines="50"/>
              <w:ind w:firstLine="482"/>
              <w:rPr>
                <w:rFonts w:hint="eastAsia"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b/>
                <w:bCs/>
                <w:sz w:val="24"/>
                <w:szCs w:val="24"/>
                <w:lang w:val="en-US" w:eastAsia="zh-CN"/>
              </w:rPr>
              <w:t>四、</w:t>
            </w:r>
            <w:r>
              <w:rPr>
                <w:rFonts w:hint="eastAsia"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行业以后的发展前景怎样？</w:t>
            </w:r>
          </w:p>
          <w:p w14:paraId="29BCB278">
            <w:pPr>
              <w:pStyle w:val="16"/>
              <w:spacing w:before="50" w:after="50" w:line="360" w:lineRule="auto"/>
              <w:ind w:firstLine="480" w:firstLineChars="200"/>
              <w:jc w:val="both"/>
              <w:rPr>
                <w:rFonts w:hint="eastAsia"/>
                <w:b/>
                <w:bCs/>
                <w:szCs w:val="24"/>
                <w:lang w:val="en-US"/>
              </w:rPr>
            </w:pPr>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t>尊敬的投资者您好，感谢您对公司的关注。</w:t>
            </w:r>
            <w:r>
              <w:rPr>
                <w:sz w:val="24"/>
                <w:szCs w:val="24"/>
                <w:lang w:val="en-US"/>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替代，加速了数控刀具的国产化。</w:t>
            </w:r>
          </w:p>
        </w:tc>
      </w:tr>
      <w:tr w14:paraId="2BB7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ED8B6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200AD687">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AD4AB2B">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326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975C045">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55DDE8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2D2F85A4">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615C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4C6A4E53">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254BA098">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0437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3A09006E">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06624D30">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w:t>
            </w:r>
            <w:r>
              <w:rPr>
                <w:rFonts w:hint="eastAsia" w:ascii="Times New Roman" w:hAnsi="Times New Roman" w:cs="Times New Roman" w:eastAsiaTheme="minorEastAsia"/>
                <w:kern w:val="2"/>
                <w:sz w:val="24"/>
                <w:lang w:val="en-US" w:eastAsia="zh-CN"/>
              </w:rPr>
              <w:t>5</w:t>
            </w:r>
            <w:r>
              <w:rPr>
                <w:rFonts w:hint="eastAsia" w:ascii="Times New Roman" w:hAnsi="Times New Roman" w:cs="Times New Roman" w:eastAsiaTheme="minorEastAsia"/>
                <w:kern w:val="2"/>
                <w:sz w:val="24"/>
                <w:lang w:val="en-US"/>
              </w:rPr>
              <w:t>年</w:t>
            </w:r>
            <w:r>
              <w:rPr>
                <w:rFonts w:hint="eastAsia" w:ascii="Times New Roman" w:hAnsi="Times New Roman" w:cs="Times New Roman" w:eastAsiaTheme="minorEastAsia"/>
                <w:kern w:val="2"/>
                <w:sz w:val="24"/>
                <w:lang w:val="en-US" w:eastAsia="zh-CN"/>
              </w:rPr>
              <w:t>5</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23</w:t>
            </w:r>
            <w:r>
              <w:rPr>
                <w:rFonts w:hint="eastAsia" w:ascii="Times New Roman" w:hAnsi="Times New Roman" w:cs="Times New Roman" w:eastAsiaTheme="minorEastAsia"/>
                <w:kern w:val="2"/>
                <w:sz w:val="24"/>
                <w:lang w:val="en-US"/>
              </w:rPr>
              <w:t>日</w:t>
            </w:r>
          </w:p>
        </w:tc>
      </w:tr>
    </w:tbl>
    <w:p w14:paraId="6DB3B267">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DE0C">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41D583F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41D583F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21285"/>
    <w:rsid w:val="0082409B"/>
    <w:rsid w:val="0082467D"/>
    <w:rsid w:val="00831FE1"/>
    <w:rsid w:val="008378FA"/>
    <w:rsid w:val="00840E5F"/>
    <w:rsid w:val="00842862"/>
    <w:rsid w:val="008463BC"/>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D2256D"/>
    <w:rsid w:val="07D72980"/>
    <w:rsid w:val="07DD1307"/>
    <w:rsid w:val="08191757"/>
    <w:rsid w:val="082F4AD6"/>
    <w:rsid w:val="08577669"/>
    <w:rsid w:val="086C1F40"/>
    <w:rsid w:val="087B79DB"/>
    <w:rsid w:val="088405DA"/>
    <w:rsid w:val="08856DEC"/>
    <w:rsid w:val="089F5E5A"/>
    <w:rsid w:val="08B60493"/>
    <w:rsid w:val="08E13F7A"/>
    <w:rsid w:val="08E2059F"/>
    <w:rsid w:val="08EB30F3"/>
    <w:rsid w:val="08FB151E"/>
    <w:rsid w:val="092B7994"/>
    <w:rsid w:val="0946032A"/>
    <w:rsid w:val="09482972"/>
    <w:rsid w:val="09B16EAB"/>
    <w:rsid w:val="09B90AFC"/>
    <w:rsid w:val="09CB032D"/>
    <w:rsid w:val="09E42E0C"/>
    <w:rsid w:val="0A0579FD"/>
    <w:rsid w:val="0A100800"/>
    <w:rsid w:val="0A121772"/>
    <w:rsid w:val="0A434869"/>
    <w:rsid w:val="0A5170B9"/>
    <w:rsid w:val="0A590FB7"/>
    <w:rsid w:val="0A5C2888"/>
    <w:rsid w:val="0A5E16A3"/>
    <w:rsid w:val="0A6068BB"/>
    <w:rsid w:val="0A717628"/>
    <w:rsid w:val="0A807DAE"/>
    <w:rsid w:val="0A9926DB"/>
    <w:rsid w:val="0ABC4D71"/>
    <w:rsid w:val="0AD83C5C"/>
    <w:rsid w:val="0AD931A2"/>
    <w:rsid w:val="0AE20B0A"/>
    <w:rsid w:val="0AE71698"/>
    <w:rsid w:val="0AFC05DE"/>
    <w:rsid w:val="0B02591F"/>
    <w:rsid w:val="0B0D6E40"/>
    <w:rsid w:val="0B0F0946"/>
    <w:rsid w:val="0B254889"/>
    <w:rsid w:val="0B261D0E"/>
    <w:rsid w:val="0B2823DD"/>
    <w:rsid w:val="0B2F477F"/>
    <w:rsid w:val="0B3670A4"/>
    <w:rsid w:val="0B3D42FF"/>
    <w:rsid w:val="0B5D51EF"/>
    <w:rsid w:val="0B623780"/>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7068D"/>
    <w:rsid w:val="0C305574"/>
    <w:rsid w:val="0C3E5A59"/>
    <w:rsid w:val="0C4A74E7"/>
    <w:rsid w:val="0C4B1250"/>
    <w:rsid w:val="0C564B9B"/>
    <w:rsid w:val="0C672010"/>
    <w:rsid w:val="0C7D22B4"/>
    <w:rsid w:val="0CA862B1"/>
    <w:rsid w:val="0CB56098"/>
    <w:rsid w:val="0CE54E13"/>
    <w:rsid w:val="0CF37015"/>
    <w:rsid w:val="0CF87AE3"/>
    <w:rsid w:val="0D1706A5"/>
    <w:rsid w:val="0D1A5D55"/>
    <w:rsid w:val="0D444E00"/>
    <w:rsid w:val="0D4922F4"/>
    <w:rsid w:val="0D6A518B"/>
    <w:rsid w:val="0D6D4DC9"/>
    <w:rsid w:val="0D6E6D16"/>
    <w:rsid w:val="0D7C41FE"/>
    <w:rsid w:val="0D882DBC"/>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E4936"/>
    <w:rsid w:val="12616CD8"/>
    <w:rsid w:val="12647A72"/>
    <w:rsid w:val="12751C80"/>
    <w:rsid w:val="12837595"/>
    <w:rsid w:val="12887C05"/>
    <w:rsid w:val="12D31BE1"/>
    <w:rsid w:val="131B42F0"/>
    <w:rsid w:val="131F061B"/>
    <w:rsid w:val="133241DB"/>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E4F2C"/>
    <w:rsid w:val="16D63E48"/>
    <w:rsid w:val="16E86955"/>
    <w:rsid w:val="16EA08F8"/>
    <w:rsid w:val="16F37B9A"/>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D3F0D"/>
    <w:rsid w:val="1815791A"/>
    <w:rsid w:val="1828118F"/>
    <w:rsid w:val="183F7282"/>
    <w:rsid w:val="186B56B7"/>
    <w:rsid w:val="18B90918"/>
    <w:rsid w:val="18BB57D9"/>
    <w:rsid w:val="18CD6367"/>
    <w:rsid w:val="18DA3B88"/>
    <w:rsid w:val="18E07450"/>
    <w:rsid w:val="18F93EB7"/>
    <w:rsid w:val="18FB3267"/>
    <w:rsid w:val="18FE643B"/>
    <w:rsid w:val="190B7B36"/>
    <w:rsid w:val="19121FD6"/>
    <w:rsid w:val="193B777F"/>
    <w:rsid w:val="193F2F23"/>
    <w:rsid w:val="19486114"/>
    <w:rsid w:val="194B2FB2"/>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216501"/>
    <w:rsid w:val="1B2D78E5"/>
    <w:rsid w:val="1B2D7E89"/>
    <w:rsid w:val="1B342F18"/>
    <w:rsid w:val="1B4712E5"/>
    <w:rsid w:val="1B7F1479"/>
    <w:rsid w:val="1B950C9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E036392"/>
    <w:rsid w:val="1E177425"/>
    <w:rsid w:val="1E195B01"/>
    <w:rsid w:val="1E1C3BAB"/>
    <w:rsid w:val="1E206A95"/>
    <w:rsid w:val="1E2A7DC2"/>
    <w:rsid w:val="1E2F3219"/>
    <w:rsid w:val="1E312EFF"/>
    <w:rsid w:val="1E3D34E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6A26F8"/>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16BCC"/>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A1293F"/>
    <w:rsid w:val="23A97DE0"/>
    <w:rsid w:val="23B206C7"/>
    <w:rsid w:val="23D031BA"/>
    <w:rsid w:val="23FA0237"/>
    <w:rsid w:val="23FF22F1"/>
    <w:rsid w:val="24064BC6"/>
    <w:rsid w:val="2426169D"/>
    <w:rsid w:val="242A65FD"/>
    <w:rsid w:val="242C1755"/>
    <w:rsid w:val="2431659D"/>
    <w:rsid w:val="249317A3"/>
    <w:rsid w:val="24C37DD6"/>
    <w:rsid w:val="24D47DB8"/>
    <w:rsid w:val="24E5548B"/>
    <w:rsid w:val="24E87A6B"/>
    <w:rsid w:val="24FD2A9C"/>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844491"/>
    <w:rsid w:val="26882E12"/>
    <w:rsid w:val="268C7923"/>
    <w:rsid w:val="268E5905"/>
    <w:rsid w:val="26C16BA3"/>
    <w:rsid w:val="26EA5DA5"/>
    <w:rsid w:val="26FC48F3"/>
    <w:rsid w:val="27133AE9"/>
    <w:rsid w:val="27237CA5"/>
    <w:rsid w:val="2730616D"/>
    <w:rsid w:val="27335F39"/>
    <w:rsid w:val="275257A5"/>
    <w:rsid w:val="27683A75"/>
    <w:rsid w:val="2770566B"/>
    <w:rsid w:val="27803643"/>
    <w:rsid w:val="2793495C"/>
    <w:rsid w:val="27956222"/>
    <w:rsid w:val="279E169D"/>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3B0F37"/>
    <w:rsid w:val="2C5C03A2"/>
    <w:rsid w:val="2C7326B8"/>
    <w:rsid w:val="2C7E27DB"/>
    <w:rsid w:val="2C9F6BDF"/>
    <w:rsid w:val="2CB05936"/>
    <w:rsid w:val="2CBF3DC0"/>
    <w:rsid w:val="2CCC5F2D"/>
    <w:rsid w:val="2CF11E25"/>
    <w:rsid w:val="2D0C0F9F"/>
    <w:rsid w:val="2D10263F"/>
    <w:rsid w:val="2D173469"/>
    <w:rsid w:val="2D190B64"/>
    <w:rsid w:val="2D1C7470"/>
    <w:rsid w:val="2D2D4762"/>
    <w:rsid w:val="2D2E3629"/>
    <w:rsid w:val="2D360531"/>
    <w:rsid w:val="2D3B3B3E"/>
    <w:rsid w:val="2D3C0C46"/>
    <w:rsid w:val="2D586C54"/>
    <w:rsid w:val="2D6D0456"/>
    <w:rsid w:val="2D792E5A"/>
    <w:rsid w:val="2D7B5F44"/>
    <w:rsid w:val="2D81006B"/>
    <w:rsid w:val="2D822C81"/>
    <w:rsid w:val="2D8661AA"/>
    <w:rsid w:val="2D8C0151"/>
    <w:rsid w:val="2D962D7E"/>
    <w:rsid w:val="2D9646C5"/>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F5433"/>
    <w:rsid w:val="2F330266"/>
    <w:rsid w:val="2F3C1703"/>
    <w:rsid w:val="2F5910E2"/>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F043E"/>
    <w:rsid w:val="32B1065A"/>
    <w:rsid w:val="32B37F2E"/>
    <w:rsid w:val="32B53CA7"/>
    <w:rsid w:val="32B8524F"/>
    <w:rsid w:val="32BD1987"/>
    <w:rsid w:val="32D512FB"/>
    <w:rsid w:val="32D54D44"/>
    <w:rsid w:val="32D558F6"/>
    <w:rsid w:val="32E65CF1"/>
    <w:rsid w:val="32EF62CB"/>
    <w:rsid w:val="32FB01FE"/>
    <w:rsid w:val="33085ABF"/>
    <w:rsid w:val="3315081F"/>
    <w:rsid w:val="331734EF"/>
    <w:rsid w:val="332413CD"/>
    <w:rsid w:val="333746BC"/>
    <w:rsid w:val="333813AA"/>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EB5C5E"/>
    <w:rsid w:val="34FB796B"/>
    <w:rsid w:val="350555F5"/>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4A6DFC"/>
    <w:rsid w:val="364C01C6"/>
    <w:rsid w:val="365E28A7"/>
    <w:rsid w:val="36633A19"/>
    <w:rsid w:val="367117EC"/>
    <w:rsid w:val="369B31B3"/>
    <w:rsid w:val="369E4B69"/>
    <w:rsid w:val="36A2315E"/>
    <w:rsid w:val="36A36EDD"/>
    <w:rsid w:val="36AD0447"/>
    <w:rsid w:val="36BF1827"/>
    <w:rsid w:val="36D51DE9"/>
    <w:rsid w:val="36D960C6"/>
    <w:rsid w:val="36EA0265"/>
    <w:rsid w:val="36ED2EEF"/>
    <w:rsid w:val="36ED79DC"/>
    <w:rsid w:val="36FE72C1"/>
    <w:rsid w:val="37362CDE"/>
    <w:rsid w:val="373936EB"/>
    <w:rsid w:val="37490E61"/>
    <w:rsid w:val="375515B4"/>
    <w:rsid w:val="375E5072"/>
    <w:rsid w:val="37812AC1"/>
    <w:rsid w:val="37845A95"/>
    <w:rsid w:val="379E73FF"/>
    <w:rsid w:val="37BC7885"/>
    <w:rsid w:val="37C63446"/>
    <w:rsid w:val="37E368FA"/>
    <w:rsid w:val="37FB23FC"/>
    <w:rsid w:val="38060B00"/>
    <w:rsid w:val="380C0CD1"/>
    <w:rsid w:val="38113A78"/>
    <w:rsid w:val="38357FDF"/>
    <w:rsid w:val="383B35AC"/>
    <w:rsid w:val="38892684"/>
    <w:rsid w:val="38960718"/>
    <w:rsid w:val="38B22A36"/>
    <w:rsid w:val="38BD6B23"/>
    <w:rsid w:val="38ED0904"/>
    <w:rsid w:val="38FA68B7"/>
    <w:rsid w:val="3914549F"/>
    <w:rsid w:val="392D1CB2"/>
    <w:rsid w:val="398050EA"/>
    <w:rsid w:val="398A4394"/>
    <w:rsid w:val="39914B09"/>
    <w:rsid w:val="399A30E5"/>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E0F7F"/>
    <w:rsid w:val="3D53086A"/>
    <w:rsid w:val="3D580050"/>
    <w:rsid w:val="3D606F05"/>
    <w:rsid w:val="3D6C3AFB"/>
    <w:rsid w:val="3D8B3E96"/>
    <w:rsid w:val="3DAB63D2"/>
    <w:rsid w:val="3DB0285E"/>
    <w:rsid w:val="3DBA5BC3"/>
    <w:rsid w:val="3DBD7EB3"/>
    <w:rsid w:val="3DCA632E"/>
    <w:rsid w:val="3DEE7764"/>
    <w:rsid w:val="3DF31B27"/>
    <w:rsid w:val="3E060BB8"/>
    <w:rsid w:val="3E0713D5"/>
    <w:rsid w:val="3E0A678C"/>
    <w:rsid w:val="3E111ED2"/>
    <w:rsid w:val="3E3A7A57"/>
    <w:rsid w:val="3E3C456A"/>
    <w:rsid w:val="3E4C08F7"/>
    <w:rsid w:val="3E4C6113"/>
    <w:rsid w:val="3E5971D4"/>
    <w:rsid w:val="3E600D75"/>
    <w:rsid w:val="3E9545FC"/>
    <w:rsid w:val="3E970ED5"/>
    <w:rsid w:val="3EAF0525"/>
    <w:rsid w:val="3EBB38BF"/>
    <w:rsid w:val="3ED95395"/>
    <w:rsid w:val="3EEC74DA"/>
    <w:rsid w:val="3EED2A1A"/>
    <w:rsid w:val="3F0942F2"/>
    <w:rsid w:val="3F2B4BC7"/>
    <w:rsid w:val="3F3643C1"/>
    <w:rsid w:val="3F392BA0"/>
    <w:rsid w:val="3F455BEE"/>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400E2C48"/>
    <w:rsid w:val="40153FD6"/>
    <w:rsid w:val="402C30CE"/>
    <w:rsid w:val="403F51D0"/>
    <w:rsid w:val="4075369B"/>
    <w:rsid w:val="40753A2D"/>
    <w:rsid w:val="40817F9B"/>
    <w:rsid w:val="408728ED"/>
    <w:rsid w:val="408818FE"/>
    <w:rsid w:val="409C0254"/>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D62F1"/>
    <w:rsid w:val="41D34BDB"/>
    <w:rsid w:val="41EA4926"/>
    <w:rsid w:val="42052ADD"/>
    <w:rsid w:val="420732A3"/>
    <w:rsid w:val="421B74B5"/>
    <w:rsid w:val="422875CB"/>
    <w:rsid w:val="4234715A"/>
    <w:rsid w:val="423D7815"/>
    <w:rsid w:val="42466745"/>
    <w:rsid w:val="425C4E6B"/>
    <w:rsid w:val="426C5343"/>
    <w:rsid w:val="42764A3E"/>
    <w:rsid w:val="42874F0F"/>
    <w:rsid w:val="428A7B2C"/>
    <w:rsid w:val="428C3459"/>
    <w:rsid w:val="429B28C0"/>
    <w:rsid w:val="42AA7468"/>
    <w:rsid w:val="42BD782D"/>
    <w:rsid w:val="42C74E08"/>
    <w:rsid w:val="42F62AF8"/>
    <w:rsid w:val="42FE6FA4"/>
    <w:rsid w:val="43002220"/>
    <w:rsid w:val="430758D5"/>
    <w:rsid w:val="430B7913"/>
    <w:rsid w:val="4323397D"/>
    <w:rsid w:val="433400A4"/>
    <w:rsid w:val="43416B84"/>
    <w:rsid w:val="435561A7"/>
    <w:rsid w:val="436239D7"/>
    <w:rsid w:val="436855C0"/>
    <w:rsid w:val="4393762D"/>
    <w:rsid w:val="4397373B"/>
    <w:rsid w:val="43A4293E"/>
    <w:rsid w:val="43A538CB"/>
    <w:rsid w:val="43AC15BA"/>
    <w:rsid w:val="43B36BDA"/>
    <w:rsid w:val="43FA7187"/>
    <w:rsid w:val="44077BDE"/>
    <w:rsid w:val="440D4FBD"/>
    <w:rsid w:val="442E5667"/>
    <w:rsid w:val="445B18AB"/>
    <w:rsid w:val="4473751E"/>
    <w:rsid w:val="44891103"/>
    <w:rsid w:val="449D459A"/>
    <w:rsid w:val="44A409D6"/>
    <w:rsid w:val="44A40B8C"/>
    <w:rsid w:val="44BF717D"/>
    <w:rsid w:val="44CC2106"/>
    <w:rsid w:val="44D85C85"/>
    <w:rsid w:val="44E86CCF"/>
    <w:rsid w:val="44F10CAD"/>
    <w:rsid w:val="45297689"/>
    <w:rsid w:val="453A628D"/>
    <w:rsid w:val="45431740"/>
    <w:rsid w:val="454E1745"/>
    <w:rsid w:val="45513BE6"/>
    <w:rsid w:val="45592AC9"/>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1F573B"/>
    <w:rsid w:val="4748547E"/>
    <w:rsid w:val="474B4782"/>
    <w:rsid w:val="47583F97"/>
    <w:rsid w:val="475C3E58"/>
    <w:rsid w:val="475F1429"/>
    <w:rsid w:val="47616EFE"/>
    <w:rsid w:val="4779505F"/>
    <w:rsid w:val="47803DC0"/>
    <w:rsid w:val="479A532E"/>
    <w:rsid w:val="47C85DD2"/>
    <w:rsid w:val="47D05559"/>
    <w:rsid w:val="47F31E9E"/>
    <w:rsid w:val="47FD6766"/>
    <w:rsid w:val="48076D81"/>
    <w:rsid w:val="48094372"/>
    <w:rsid w:val="48166B3E"/>
    <w:rsid w:val="48237A49"/>
    <w:rsid w:val="48313978"/>
    <w:rsid w:val="483A4518"/>
    <w:rsid w:val="484A2753"/>
    <w:rsid w:val="48621D83"/>
    <w:rsid w:val="489901E7"/>
    <w:rsid w:val="48C0065E"/>
    <w:rsid w:val="48D90393"/>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EF5271"/>
    <w:rsid w:val="4C001FDF"/>
    <w:rsid w:val="4C0D46FC"/>
    <w:rsid w:val="4C12444C"/>
    <w:rsid w:val="4C172AE9"/>
    <w:rsid w:val="4C285091"/>
    <w:rsid w:val="4C2C4B82"/>
    <w:rsid w:val="4C2D715A"/>
    <w:rsid w:val="4C4E0701"/>
    <w:rsid w:val="4C5C757C"/>
    <w:rsid w:val="4C6C1571"/>
    <w:rsid w:val="4C96024D"/>
    <w:rsid w:val="4CA37CC7"/>
    <w:rsid w:val="4CA679BA"/>
    <w:rsid w:val="4CB665C8"/>
    <w:rsid w:val="4CB87A12"/>
    <w:rsid w:val="4CCF375F"/>
    <w:rsid w:val="4CFE63D3"/>
    <w:rsid w:val="4D000BB2"/>
    <w:rsid w:val="4D230F75"/>
    <w:rsid w:val="4D322DEC"/>
    <w:rsid w:val="4D807A26"/>
    <w:rsid w:val="4D8101BB"/>
    <w:rsid w:val="4D9A7219"/>
    <w:rsid w:val="4D9C5D37"/>
    <w:rsid w:val="4D9E1AAF"/>
    <w:rsid w:val="4DA75835"/>
    <w:rsid w:val="4DB10829"/>
    <w:rsid w:val="4DDB339F"/>
    <w:rsid w:val="4DE37BAB"/>
    <w:rsid w:val="4E032F43"/>
    <w:rsid w:val="4E091E32"/>
    <w:rsid w:val="4E125FF9"/>
    <w:rsid w:val="4E184C25"/>
    <w:rsid w:val="4E1A0C33"/>
    <w:rsid w:val="4E21448E"/>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B7954"/>
    <w:rsid w:val="4FBD1F95"/>
    <w:rsid w:val="501020BD"/>
    <w:rsid w:val="502E67D4"/>
    <w:rsid w:val="503009B9"/>
    <w:rsid w:val="5049110A"/>
    <w:rsid w:val="505471A8"/>
    <w:rsid w:val="50566671"/>
    <w:rsid w:val="50574928"/>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C2C84"/>
    <w:rsid w:val="53C47D96"/>
    <w:rsid w:val="53C60C35"/>
    <w:rsid w:val="53C756ED"/>
    <w:rsid w:val="53D651FF"/>
    <w:rsid w:val="53F21953"/>
    <w:rsid w:val="53FA5010"/>
    <w:rsid w:val="544476C8"/>
    <w:rsid w:val="5449029B"/>
    <w:rsid w:val="544E2532"/>
    <w:rsid w:val="54505185"/>
    <w:rsid w:val="54680AF3"/>
    <w:rsid w:val="54786129"/>
    <w:rsid w:val="54905D84"/>
    <w:rsid w:val="54A63265"/>
    <w:rsid w:val="54B430BC"/>
    <w:rsid w:val="54BB2F47"/>
    <w:rsid w:val="54C120D0"/>
    <w:rsid w:val="54D1518C"/>
    <w:rsid w:val="54DE09E3"/>
    <w:rsid w:val="54EA440D"/>
    <w:rsid w:val="54EC75A4"/>
    <w:rsid w:val="54FC3CDE"/>
    <w:rsid w:val="551E7032"/>
    <w:rsid w:val="556C76ED"/>
    <w:rsid w:val="55740D24"/>
    <w:rsid w:val="557A0AE7"/>
    <w:rsid w:val="558C729E"/>
    <w:rsid w:val="558E2409"/>
    <w:rsid w:val="559B14C5"/>
    <w:rsid w:val="55B72675"/>
    <w:rsid w:val="55CB6322"/>
    <w:rsid w:val="55E97640"/>
    <w:rsid w:val="55F42962"/>
    <w:rsid w:val="56077D79"/>
    <w:rsid w:val="560B3A5A"/>
    <w:rsid w:val="561548BD"/>
    <w:rsid w:val="5625632C"/>
    <w:rsid w:val="56344425"/>
    <w:rsid w:val="565847C5"/>
    <w:rsid w:val="56636203"/>
    <w:rsid w:val="56867733"/>
    <w:rsid w:val="56B23183"/>
    <w:rsid w:val="56C41520"/>
    <w:rsid w:val="56CD32B1"/>
    <w:rsid w:val="56D60D89"/>
    <w:rsid w:val="56E073B4"/>
    <w:rsid w:val="56F52014"/>
    <w:rsid w:val="571C3A45"/>
    <w:rsid w:val="57296541"/>
    <w:rsid w:val="573050F9"/>
    <w:rsid w:val="57400F9F"/>
    <w:rsid w:val="5776344A"/>
    <w:rsid w:val="57A92D8C"/>
    <w:rsid w:val="57C15103"/>
    <w:rsid w:val="57C57C38"/>
    <w:rsid w:val="57CF1AC2"/>
    <w:rsid w:val="57D305A7"/>
    <w:rsid w:val="57D850B1"/>
    <w:rsid w:val="57D91936"/>
    <w:rsid w:val="57DB745C"/>
    <w:rsid w:val="57DB7C26"/>
    <w:rsid w:val="57FF0937"/>
    <w:rsid w:val="5803005A"/>
    <w:rsid w:val="5804270C"/>
    <w:rsid w:val="581356E9"/>
    <w:rsid w:val="58773D36"/>
    <w:rsid w:val="5880045E"/>
    <w:rsid w:val="58807673"/>
    <w:rsid w:val="58816255"/>
    <w:rsid w:val="58904191"/>
    <w:rsid w:val="5897205D"/>
    <w:rsid w:val="589A60C8"/>
    <w:rsid w:val="589B2DC6"/>
    <w:rsid w:val="58A3441E"/>
    <w:rsid w:val="58D02D39"/>
    <w:rsid w:val="58D14C69"/>
    <w:rsid w:val="591B0458"/>
    <w:rsid w:val="59617E35"/>
    <w:rsid w:val="59653481"/>
    <w:rsid w:val="59740953"/>
    <w:rsid w:val="598952C5"/>
    <w:rsid w:val="59910FE5"/>
    <w:rsid w:val="59926240"/>
    <w:rsid w:val="59C1607D"/>
    <w:rsid w:val="59D108D5"/>
    <w:rsid w:val="5A003084"/>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70610D"/>
    <w:rsid w:val="5B7B5CBA"/>
    <w:rsid w:val="5B9E0A3B"/>
    <w:rsid w:val="5BA673C2"/>
    <w:rsid w:val="5BAB5397"/>
    <w:rsid w:val="5BAD6B57"/>
    <w:rsid w:val="5BCC6458"/>
    <w:rsid w:val="5BD858DE"/>
    <w:rsid w:val="5C031DC6"/>
    <w:rsid w:val="5C13269F"/>
    <w:rsid w:val="5C2D1DB7"/>
    <w:rsid w:val="5C4974C2"/>
    <w:rsid w:val="5C514FA9"/>
    <w:rsid w:val="5C602D56"/>
    <w:rsid w:val="5C67089C"/>
    <w:rsid w:val="5C747582"/>
    <w:rsid w:val="5C936557"/>
    <w:rsid w:val="5C95435B"/>
    <w:rsid w:val="5CAB43EE"/>
    <w:rsid w:val="5CAB5774"/>
    <w:rsid w:val="5CB3338E"/>
    <w:rsid w:val="5CD9290E"/>
    <w:rsid w:val="5CE60D7D"/>
    <w:rsid w:val="5CEA796E"/>
    <w:rsid w:val="5CEC0894"/>
    <w:rsid w:val="5CF85D94"/>
    <w:rsid w:val="5D0B2591"/>
    <w:rsid w:val="5D504F0B"/>
    <w:rsid w:val="5D635307"/>
    <w:rsid w:val="5D9A6AD3"/>
    <w:rsid w:val="5D9D42EE"/>
    <w:rsid w:val="5D9F0F2C"/>
    <w:rsid w:val="5DD24E5D"/>
    <w:rsid w:val="5DD961EC"/>
    <w:rsid w:val="5DDE0BB4"/>
    <w:rsid w:val="5DEA77BD"/>
    <w:rsid w:val="5E0A0A9B"/>
    <w:rsid w:val="5E0A598D"/>
    <w:rsid w:val="5E0C14B0"/>
    <w:rsid w:val="5E23390B"/>
    <w:rsid w:val="5E2F22B0"/>
    <w:rsid w:val="5E3252D6"/>
    <w:rsid w:val="5E370D27"/>
    <w:rsid w:val="5E5B62BC"/>
    <w:rsid w:val="5E6C7E5E"/>
    <w:rsid w:val="5E771043"/>
    <w:rsid w:val="5E7F70C9"/>
    <w:rsid w:val="5E8A39DA"/>
    <w:rsid w:val="5EBD5B0D"/>
    <w:rsid w:val="5EC073AC"/>
    <w:rsid w:val="5EE03675"/>
    <w:rsid w:val="5EE96BDE"/>
    <w:rsid w:val="5EF26507"/>
    <w:rsid w:val="5EF45ED8"/>
    <w:rsid w:val="5F015CCB"/>
    <w:rsid w:val="5F021772"/>
    <w:rsid w:val="5F0553C0"/>
    <w:rsid w:val="5F0F575A"/>
    <w:rsid w:val="5F1B5472"/>
    <w:rsid w:val="5F203116"/>
    <w:rsid w:val="5F2256F8"/>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593614"/>
    <w:rsid w:val="60597AB8"/>
    <w:rsid w:val="606B36FC"/>
    <w:rsid w:val="607C45A1"/>
    <w:rsid w:val="60A85038"/>
    <w:rsid w:val="60A952CA"/>
    <w:rsid w:val="60B13399"/>
    <w:rsid w:val="60B928FD"/>
    <w:rsid w:val="60C3607A"/>
    <w:rsid w:val="60C45DAE"/>
    <w:rsid w:val="60E41825"/>
    <w:rsid w:val="60F57E72"/>
    <w:rsid w:val="610871DB"/>
    <w:rsid w:val="611763B9"/>
    <w:rsid w:val="61227E86"/>
    <w:rsid w:val="61254ACC"/>
    <w:rsid w:val="61321539"/>
    <w:rsid w:val="614B11AE"/>
    <w:rsid w:val="615E2F29"/>
    <w:rsid w:val="616F4043"/>
    <w:rsid w:val="61870FB3"/>
    <w:rsid w:val="618A26B5"/>
    <w:rsid w:val="619C0E29"/>
    <w:rsid w:val="61BC737B"/>
    <w:rsid w:val="61D778B0"/>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550CF"/>
    <w:rsid w:val="629E217A"/>
    <w:rsid w:val="62A212A2"/>
    <w:rsid w:val="62A50C52"/>
    <w:rsid w:val="62A8026B"/>
    <w:rsid w:val="62A82630"/>
    <w:rsid w:val="62B114E5"/>
    <w:rsid w:val="62C27B96"/>
    <w:rsid w:val="62E96ED1"/>
    <w:rsid w:val="62ED192C"/>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D0FFA"/>
    <w:rsid w:val="640B731B"/>
    <w:rsid w:val="64132E70"/>
    <w:rsid w:val="642161BD"/>
    <w:rsid w:val="643423F9"/>
    <w:rsid w:val="64342D5D"/>
    <w:rsid w:val="644C4AC7"/>
    <w:rsid w:val="64577F0A"/>
    <w:rsid w:val="64622E30"/>
    <w:rsid w:val="646302F1"/>
    <w:rsid w:val="646533CF"/>
    <w:rsid w:val="64656A2B"/>
    <w:rsid w:val="648844C8"/>
    <w:rsid w:val="64942E6C"/>
    <w:rsid w:val="649B5200"/>
    <w:rsid w:val="64B21544"/>
    <w:rsid w:val="64B95B03"/>
    <w:rsid w:val="64C74ED6"/>
    <w:rsid w:val="64D40A42"/>
    <w:rsid w:val="64DB4A40"/>
    <w:rsid w:val="64EE6A20"/>
    <w:rsid w:val="650171A3"/>
    <w:rsid w:val="65075340"/>
    <w:rsid w:val="6533652A"/>
    <w:rsid w:val="65633E73"/>
    <w:rsid w:val="656447FC"/>
    <w:rsid w:val="656C558D"/>
    <w:rsid w:val="65893D4E"/>
    <w:rsid w:val="658D4EB1"/>
    <w:rsid w:val="65911875"/>
    <w:rsid w:val="65B41784"/>
    <w:rsid w:val="65B55281"/>
    <w:rsid w:val="65D62ECE"/>
    <w:rsid w:val="65F54567"/>
    <w:rsid w:val="660A0CFF"/>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705BD1"/>
    <w:rsid w:val="6A9E2C97"/>
    <w:rsid w:val="6AC92834"/>
    <w:rsid w:val="6AC9597A"/>
    <w:rsid w:val="6AD05CE9"/>
    <w:rsid w:val="6AD80229"/>
    <w:rsid w:val="6AFF69E5"/>
    <w:rsid w:val="6B0E2E23"/>
    <w:rsid w:val="6B152EA5"/>
    <w:rsid w:val="6B20533E"/>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AB257A"/>
    <w:rsid w:val="6CB23210"/>
    <w:rsid w:val="6CC11D87"/>
    <w:rsid w:val="6CC65261"/>
    <w:rsid w:val="6CD00EFE"/>
    <w:rsid w:val="6CD3474E"/>
    <w:rsid w:val="6CE9181A"/>
    <w:rsid w:val="6D0306F7"/>
    <w:rsid w:val="6D03108D"/>
    <w:rsid w:val="6D246FB3"/>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7236DC"/>
    <w:rsid w:val="6E8B22C3"/>
    <w:rsid w:val="6E8F0F98"/>
    <w:rsid w:val="6EAD52AF"/>
    <w:rsid w:val="6ECB13C7"/>
    <w:rsid w:val="6EFF5CCE"/>
    <w:rsid w:val="6F052765"/>
    <w:rsid w:val="6F0C7EFF"/>
    <w:rsid w:val="6F0F4773"/>
    <w:rsid w:val="6F265009"/>
    <w:rsid w:val="6F355C1A"/>
    <w:rsid w:val="6F485CB9"/>
    <w:rsid w:val="6F5146BA"/>
    <w:rsid w:val="6F66482C"/>
    <w:rsid w:val="6F697353"/>
    <w:rsid w:val="6F8A37EA"/>
    <w:rsid w:val="6F8B4E7A"/>
    <w:rsid w:val="6F8F7052"/>
    <w:rsid w:val="6F912DCA"/>
    <w:rsid w:val="6F9B098D"/>
    <w:rsid w:val="6FAB14F6"/>
    <w:rsid w:val="6FF26985"/>
    <w:rsid w:val="6FF43782"/>
    <w:rsid w:val="70082F3E"/>
    <w:rsid w:val="700B153E"/>
    <w:rsid w:val="700E4CD4"/>
    <w:rsid w:val="701A0E55"/>
    <w:rsid w:val="701B10DA"/>
    <w:rsid w:val="701E69C5"/>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7016E7"/>
    <w:rsid w:val="72856BED"/>
    <w:rsid w:val="72881BC4"/>
    <w:rsid w:val="728E2D3F"/>
    <w:rsid w:val="72914E8F"/>
    <w:rsid w:val="72970386"/>
    <w:rsid w:val="72B868C0"/>
    <w:rsid w:val="72C60FDD"/>
    <w:rsid w:val="72D815C5"/>
    <w:rsid w:val="72D92D0A"/>
    <w:rsid w:val="72F654FD"/>
    <w:rsid w:val="73271E98"/>
    <w:rsid w:val="733D5BF1"/>
    <w:rsid w:val="735540DE"/>
    <w:rsid w:val="735A11C6"/>
    <w:rsid w:val="735C724B"/>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C0373B"/>
    <w:rsid w:val="75C44A38"/>
    <w:rsid w:val="75C92955"/>
    <w:rsid w:val="75E23873"/>
    <w:rsid w:val="75F168C8"/>
    <w:rsid w:val="75F55735"/>
    <w:rsid w:val="761756AB"/>
    <w:rsid w:val="761A356D"/>
    <w:rsid w:val="76325CC0"/>
    <w:rsid w:val="76371993"/>
    <w:rsid w:val="764B35A7"/>
    <w:rsid w:val="764E7580"/>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72480D"/>
    <w:rsid w:val="7881799D"/>
    <w:rsid w:val="789256B0"/>
    <w:rsid w:val="78A62E25"/>
    <w:rsid w:val="78AC657F"/>
    <w:rsid w:val="78C23247"/>
    <w:rsid w:val="78D85D66"/>
    <w:rsid w:val="78D930EC"/>
    <w:rsid w:val="78DA7590"/>
    <w:rsid w:val="78E62CEF"/>
    <w:rsid w:val="78F63C9E"/>
    <w:rsid w:val="790F4D60"/>
    <w:rsid w:val="79185895"/>
    <w:rsid w:val="793A5EEF"/>
    <w:rsid w:val="795D3C37"/>
    <w:rsid w:val="7967694A"/>
    <w:rsid w:val="7975478C"/>
    <w:rsid w:val="797C42A5"/>
    <w:rsid w:val="79831DC6"/>
    <w:rsid w:val="798C582B"/>
    <w:rsid w:val="79962FB3"/>
    <w:rsid w:val="79983CE7"/>
    <w:rsid w:val="79A33E26"/>
    <w:rsid w:val="79A669E4"/>
    <w:rsid w:val="79A77D37"/>
    <w:rsid w:val="79B80FAC"/>
    <w:rsid w:val="79D61AA8"/>
    <w:rsid w:val="79DA66F5"/>
    <w:rsid w:val="79E306C6"/>
    <w:rsid w:val="7A2B13ED"/>
    <w:rsid w:val="7A507653"/>
    <w:rsid w:val="7A524800"/>
    <w:rsid w:val="7A546ECE"/>
    <w:rsid w:val="7A6A4943"/>
    <w:rsid w:val="7A8275A9"/>
    <w:rsid w:val="7AA86A41"/>
    <w:rsid w:val="7AD72985"/>
    <w:rsid w:val="7AF26914"/>
    <w:rsid w:val="7B01715F"/>
    <w:rsid w:val="7B1450F7"/>
    <w:rsid w:val="7B1A213D"/>
    <w:rsid w:val="7B203254"/>
    <w:rsid w:val="7B296D03"/>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1423</Words>
  <Characters>1528</Characters>
  <Lines>6</Lines>
  <Paragraphs>1</Paragraphs>
  <TotalTime>0</TotalTime>
  <ScaleCrop>false</ScaleCrop>
  <LinksUpToDate>false</LinksUpToDate>
  <CharactersWithSpaces>1639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hbx</cp:lastModifiedBy>
  <cp:lastPrinted>2023-09-01T03:04:00Z</cp:lastPrinted>
  <dcterms:modified xsi:type="dcterms:W3CDTF">2025-05-23T08:03:18Z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2052-12.1.0.20784</vt:lpwstr>
  </property>
  <property fmtid="{D5CDD505-2E9C-101B-9397-08002B2CF9AE}" pid="6" name="ICV">
    <vt:lpwstr>ADD0061789204B7F9AAE63F99A5592B4_13</vt:lpwstr>
  </property>
  <property fmtid="{D5CDD505-2E9C-101B-9397-08002B2CF9AE}" pid="7" name="KSOTemplateDocerSaveRecord">
    <vt:lpwstr>eyJoZGlkIjoiNjU5MDIzYjcxM2E0Mjg3NzY1NmJhNzI2ZmI3Y2E1NWQiLCJ1c2VySWQiOiIxMTQzNDg4NTE4In0=</vt:lpwstr>
  </property>
</Properties>
</file>